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7"/>
        <w:rPr>
          <w:rFonts w:ascii="Times New Roman"/>
          <w:sz w:val="16"/>
        </w:rPr>
      </w:pPr>
    </w:p>
    <w:p>
      <w:pPr>
        <w:pStyle w:val="2"/>
        <w:spacing w:before="31"/>
        <w:ind w:left="0" w:leftChars="0" w:firstLine="0" w:firstLineChars="0"/>
        <w:jc w:val="center"/>
        <w:rPr>
          <w:rFonts w:hint="eastAsia" w:eastAsia="宋体"/>
          <w:lang w:eastAsia="zh-CN"/>
        </w:rPr>
      </w:pPr>
      <w:r>
        <w:rPr>
          <w:rFonts w:hint="eastAsia"/>
        </w:rPr>
        <w:t>江苏省危险废物产生单位信息公开</w:t>
      </w:r>
      <w:r>
        <w:rPr>
          <w:rFonts w:hint="eastAsia"/>
          <w:lang w:eastAsia="zh-CN"/>
        </w:rPr>
        <w:t>情况（</w:t>
      </w:r>
      <w:r>
        <w:rPr>
          <w:rFonts w:hint="eastAsia"/>
          <w:lang w:val="en-US" w:eastAsia="zh-CN"/>
        </w:rPr>
        <w:t>2019年第三季度</w:t>
      </w:r>
      <w:r>
        <w:rPr>
          <w:rFonts w:hint="eastAsia"/>
          <w:lang w:eastAsia="zh-CN"/>
        </w:rPr>
        <w:t>）</w:t>
      </w:r>
    </w:p>
    <w:p>
      <w:pPr>
        <w:pStyle w:val="3"/>
        <w:spacing w:before="3"/>
        <w:rPr>
          <w:sz w:val="10"/>
        </w:rPr>
      </w:pPr>
    </w:p>
    <w:tbl>
      <w:tblPr>
        <w:tblStyle w:val="6"/>
        <w:tblW w:w="14760" w:type="dxa"/>
        <w:tblInd w:w="347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671"/>
        <w:gridCol w:w="1601"/>
        <w:gridCol w:w="2185"/>
        <w:gridCol w:w="2029"/>
        <w:gridCol w:w="1747"/>
        <w:gridCol w:w="1454"/>
        <w:gridCol w:w="1747"/>
        <w:gridCol w:w="232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2" w:hRule="atLeast"/>
        </w:trPr>
        <w:tc>
          <w:tcPr>
            <w:tcW w:w="1671" w:type="dxa"/>
          </w:tcPr>
          <w:p>
            <w:pPr>
              <w:pStyle w:val="12"/>
              <w:spacing w:before="5"/>
              <w:rPr>
                <w:sz w:val="30"/>
              </w:rPr>
            </w:pPr>
          </w:p>
          <w:p>
            <w:pPr>
              <w:pStyle w:val="12"/>
              <w:ind w:left="273"/>
              <w:rPr>
                <w:sz w:val="28"/>
              </w:rPr>
            </w:pPr>
            <w:r>
              <w:rPr>
                <w:rFonts w:hint="eastAsia"/>
                <w:sz w:val="28"/>
              </w:rPr>
              <w:t>企业名称</w:t>
            </w:r>
          </w:p>
        </w:tc>
        <w:tc>
          <w:tcPr>
            <w:tcW w:w="1601" w:type="dxa"/>
          </w:tcPr>
          <w:p>
            <w:pPr>
              <w:pStyle w:val="12"/>
              <w:spacing w:before="5"/>
              <w:rPr>
                <w:sz w:val="30"/>
              </w:rPr>
            </w:pPr>
          </w:p>
          <w:p>
            <w:pPr>
              <w:pStyle w:val="12"/>
              <w:ind w:left="237"/>
              <w:rPr>
                <w:sz w:val="28"/>
              </w:rPr>
            </w:pPr>
            <w:r>
              <w:rPr>
                <w:rFonts w:hint="eastAsia"/>
                <w:sz w:val="28"/>
              </w:rPr>
              <w:t>主要产品</w:t>
            </w:r>
          </w:p>
        </w:tc>
        <w:tc>
          <w:tcPr>
            <w:tcW w:w="2185" w:type="dxa"/>
          </w:tcPr>
          <w:p>
            <w:pPr>
              <w:pStyle w:val="12"/>
              <w:spacing w:before="238" w:line="225" w:lineRule="auto"/>
              <w:ind w:left="391" w:right="236" w:hanging="142"/>
              <w:rPr>
                <w:sz w:val="28"/>
              </w:rPr>
            </w:pPr>
            <w:r>
              <w:rPr>
                <w:rFonts w:hint="eastAsia"/>
                <w:sz w:val="28"/>
              </w:rPr>
              <w:t>产生危险废物种类及编号</w:t>
            </w:r>
          </w:p>
        </w:tc>
        <w:tc>
          <w:tcPr>
            <w:tcW w:w="2029" w:type="dxa"/>
          </w:tcPr>
          <w:p>
            <w:pPr>
              <w:pStyle w:val="12"/>
              <w:spacing w:before="68" w:line="225" w:lineRule="auto"/>
              <w:ind w:left="312" w:right="298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危险废物</w:t>
            </w:r>
            <w:r>
              <w:rPr>
                <w:sz w:val="28"/>
              </w:rPr>
              <w:t xml:space="preserve"> </w:t>
            </w:r>
            <w:r>
              <w:rPr>
                <w:rFonts w:hint="eastAsia"/>
                <w:spacing w:val="-4"/>
                <w:sz w:val="28"/>
              </w:rPr>
              <w:t>实际产生量</w:t>
            </w:r>
          </w:p>
          <w:p>
            <w:pPr>
              <w:pStyle w:val="12"/>
              <w:spacing w:line="347" w:lineRule="exact"/>
              <w:ind w:left="312" w:right="298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（吨）</w:t>
            </w:r>
          </w:p>
        </w:tc>
        <w:tc>
          <w:tcPr>
            <w:tcW w:w="1747" w:type="dxa"/>
          </w:tcPr>
          <w:p>
            <w:pPr>
              <w:pStyle w:val="12"/>
              <w:spacing w:before="68" w:line="225" w:lineRule="auto"/>
              <w:ind w:left="313" w:right="295"/>
              <w:jc w:val="center"/>
              <w:rPr>
                <w:sz w:val="28"/>
              </w:rPr>
            </w:pPr>
            <w:r>
              <w:rPr>
                <w:rFonts w:hint="eastAsia"/>
                <w:spacing w:val="-5"/>
                <w:sz w:val="28"/>
              </w:rPr>
              <w:t>实际利用</w:t>
            </w:r>
            <w:r>
              <w:rPr>
                <w:rFonts w:hint="eastAsia"/>
                <w:sz w:val="28"/>
              </w:rPr>
              <w:t>处置量</w:t>
            </w:r>
          </w:p>
          <w:p>
            <w:pPr>
              <w:pStyle w:val="12"/>
              <w:spacing w:line="347" w:lineRule="exact"/>
              <w:ind w:left="307" w:right="295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（吨）</w:t>
            </w:r>
          </w:p>
        </w:tc>
        <w:tc>
          <w:tcPr>
            <w:tcW w:w="1454" w:type="dxa"/>
          </w:tcPr>
          <w:p>
            <w:pPr>
              <w:pStyle w:val="12"/>
              <w:spacing w:before="238" w:line="225" w:lineRule="auto"/>
              <w:ind w:left="447" w:right="148" w:hanging="281"/>
              <w:rPr>
                <w:sz w:val="28"/>
              </w:rPr>
            </w:pPr>
            <w:r>
              <w:rPr>
                <w:rFonts w:hint="eastAsia"/>
                <w:sz w:val="28"/>
              </w:rPr>
              <w:t>利用处置去向</w:t>
            </w:r>
          </w:p>
        </w:tc>
        <w:tc>
          <w:tcPr>
            <w:tcW w:w="1747" w:type="dxa"/>
          </w:tcPr>
          <w:p>
            <w:pPr>
              <w:pStyle w:val="12"/>
              <w:spacing w:before="221" w:line="349" w:lineRule="exact"/>
              <w:ind w:left="155" w:right="138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累计贮存量</w:t>
            </w:r>
          </w:p>
          <w:p>
            <w:pPr>
              <w:pStyle w:val="12"/>
              <w:spacing w:line="349" w:lineRule="exact"/>
              <w:ind w:left="310" w:right="295"/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（吨）</w:t>
            </w:r>
          </w:p>
        </w:tc>
        <w:tc>
          <w:tcPr>
            <w:tcW w:w="2326" w:type="dxa"/>
            <w:tcBorders>
              <w:bottom w:val="single" w:color="auto" w:sz="4" w:space="0"/>
            </w:tcBorders>
          </w:tcPr>
          <w:p>
            <w:pPr>
              <w:pStyle w:val="12"/>
              <w:spacing w:before="65" w:line="228" w:lineRule="auto"/>
              <w:ind w:left="324" w:right="303"/>
              <w:jc w:val="center"/>
              <w:rPr>
                <w:sz w:val="28"/>
              </w:rPr>
            </w:pPr>
            <w:r>
              <w:rPr>
                <w:rFonts w:hint="eastAsia"/>
                <w:spacing w:val="-4"/>
                <w:sz w:val="28"/>
              </w:rPr>
              <w:t>存在危险废物</w:t>
            </w:r>
            <w:r>
              <w:rPr>
                <w:rFonts w:hint="eastAsia"/>
                <w:spacing w:val="-1"/>
                <w:sz w:val="28"/>
              </w:rPr>
              <w:t>相关问题及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rFonts w:hint="eastAsia"/>
                <w:spacing w:val="-1"/>
                <w:sz w:val="28"/>
              </w:rPr>
              <w:t>整改情况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9" w:hRule="atLeast"/>
        </w:trPr>
        <w:tc>
          <w:tcPr>
            <w:tcW w:w="1671" w:type="dxa"/>
            <w:vMerge w:val="restart"/>
            <w:vAlign w:val="center"/>
          </w:tcPr>
          <w:p>
            <w:pPr>
              <w:pStyle w:val="12"/>
              <w:jc w:val="center"/>
              <w:rPr>
                <w:rFonts w:hint="eastAsia" w:ascii="Times New Roman" w:eastAsia="宋体"/>
                <w:sz w:val="28"/>
                <w:lang w:eastAsia="zh-CN"/>
              </w:rPr>
            </w:pPr>
            <w:r>
              <w:rPr>
                <w:rFonts w:hint="eastAsia" w:ascii="Times New Roman"/>
                <w:sz w:val="28"/>
                <w:lang w:eastAsia="zh-CN"/>
              </w:rPr>
              <w:t>江苏瑞盛新材料科技有限公司</w:t>
            </w:r>
          </w:p>
        </w:tc>
        <w:tc>
          <w:tcPr>
            <w:tcW w:w="1601" w:type="dxa"/>
            <w:vMerge w:val="restart"/>
            <w:vAlign w:val="center"/>
          </w:tcPr>
          <w:p>
            <w:pPr>
              <w:pStyle w:val="12"/>
              <w:spacing w:line="375" w:lineRule="exact"/>
              <w:ind w:left="107"/>
              <w:jc w:val="center"/>
              <w:rPr>
                <w:rFonts w:hint="eastAsia" w:eastAsia="宋体"/>
                <w:sz w:val="32"/>
                <w:lang w:eastAsia="zh-CN"/>
              </w:rPr>
            </w:pPr>
            <w:r>
              <w:rPr>
                <w:rFonts w:hint="eastAsia"/>
                <w:sz w:val="32"/>
                <w:lang w:eastAsia="zh-CN"/>
              </w:rPr>
              <w:t>对位芳纶纤维</w:t>
            </w:r>
          </w:p>
        </w:tc>
        <w:tc>
          <w:tcPr>
            <w:tcW w:w="2185" w:type="dxa"/>
            <w:vAlign w:val="center"/>
          </w:tcPr>
          <w:p>
            <w:pPr>
              <w:pStyle w:val="12"/>
              <w:jc w:val="center"/>
              <w:rPr>
                <w:rFonts w:hint="eastAsia" w:ascii="Times New Roman"/>
                <w:sz w:val="28"/>
                <w:lang w:val="en-US" w:eastAsia="zh-CN"/>
              </w:rPr>
            </w:pPr>
            <w:r>
              <w:rPr>
                <w:rFonts w:hint="eastAsia" w:ascii="Times New Roman"/>
                <w:sz w:val="28"/>
                <w:lang w:val="en-US" w:eastAsia="zh-CN"/>
              </w:rPr>
              <w:t>滤渣</w:t>
            </w:r>
          </w:p>
          <w:p>
            <w:pPr>
              <w:pStyle w:val="12"/>
              <w:jc w:val="center"/>
              <w:rPr>
                <w:rFonts w:hint="eastAsia" w:ascii="Times New Roman" w:eastAsia="宋体"/>
                <w:sz w:val="28"/>
                <w:lang w:val="en-US" w:eastAsia="zh-CN"/>
              </w:rPr>
            </w:pPr>
            <w:r>
              <w:rPr>
                <w:rFonts w:hint="eastAsia" w:ascii="Times New Roman"/>
                <w:sz w:val="28"/>
                <w:lang w:val="en-US" w:eastAsia="zh-CN"/>
              </w:rPr>
              <w:t>HW13 900-016-13</w:t>
            </w:r>
          </w:p>
        </w:tc>
        <w:tc>
          <w:tcPr>
            <w:tcW w:w="2029" w:type="dxa"/>
            <w:vAlign w:val="center"/>
          </w:tcPr>
          <w:p>
            <w:pPr>
              <w:pStyle w:val="12"/>
              <w:jc w:val="center"/>
              <w:rPr>
                <w:rFonts w:hint="default" w:ascii="Times New Roman" w:eastAsia="宋体"/>
                <w:sz w:val="28"/>
                <w:lang w:val="en-US" w:eastAsia="zh-CN"/>
              </w:rPr>
            </w:pPr>
            <w:r>
              <w:rPr>
                <w:rFonts w:hint="eastAsia" w:ascii="Times New Roman"/>
                <w:sz w:val="28"/>
                <w:lang w:val="en-US" w:eastAsia="zh-CN"/>
              </w:rPr>
              <w:t>0.1360</w:t>
            </w:r>
          </w:p>
        </w:tc>
        <w:tc>
          <w:tcPr>
            <w:tcW w:w="1747" w:type="dxa"/>
            <w:vAlign w:val="center"/>
          </w:tcPr>
          <w:p>
            <w:pPr>
              <w:pStyle w:val="12"/>
              <w:jc w:val="center"/>
              <w:rPr>
                <w:rFonts w:hint="default" w:ascii="Times New Roman" w:eastAsia="宋体"/>
                <w:sz w:val="28"/>
                <w:lang w:val="en-US" w:eastAsia="zh-CN"/>
              </w:rPr>
            </w:pPr>
            <w:r>
              <w:rPr>
                <w:rFonts w:hint="eastAsia" w:ascii="Times New Roman"/>
                <w:sz w:val="28"/>
                <w:lang w:val="en-US" w:eastAsia="zh-CN"/>
              </w:rPr>
              <w:t>0.0000</w:t>
            </w:r>
          </w:p>
        </w:tc>
        <w:tc>
          <w:tcPr>
            <w:tcW w:w="1454" w:type="dxa"/>
            <w:vAlign w:val="center"/>
          </w:tcPr>
          <w:p>
            <w:pPr>
              <w:pStyle w:val="12"/>
              <w:jc w:val="center"/>
              <w:rPr>
                <w:rFonts w:hint="eastAsia" w:ascii="Times New Roman" w:eastAsia="宋体"/>
                <w:sz w:val="28"/>
                <w:lang w:eastAsia="zh-CN"/>
              </w:rPr>
            </w:pPr>
            <w:r>
              <w:rPr>
                <w:rFonts w:hint="eastAsia" w:ascii="Times New Roman"/>
                <w:sz w:val="28"/>
                <w:lang w:eastAsia="zh-CN"/>
              </w:rPr>
              <w:t>扬州东晟固废环保处理有限公司</w:t>
            </w:r>
          </w:p>
        </w:tc>
        <w:tc>
          <w:tcPr>
            <w:tcW w:w="1747" w:type="dxa"/>
            <w:tcBorders>
              <w:right w:val="single" w:color="auto" w:sz="4" w:space="0"/>
            </w:tcBorders>
            <w:vAlign w:val="center"/>
          </w:tcPr>
          <w:p>
            <w:pPr>
              <w:pStyle w:val="12"/>
              <w:jc w:val="center"/>
              <w:rPr>
                <w:rFonts w:hint="default" w:ascii="Times New Roman" w:eastAsia="宋体"/>
                <w:sz w:val="28"/>
                <w:lang w:val="en-US" w:eastAsia="zh-CN"/>
              </w:rPr>
            </w:pPr>
            <w:r>
              <w:rPr>
                <w:rFonts w:hint="eastAsia" w:ascii="Times New Roman"/>
                <w:sz w:val="28"/>
                <w:lang w:val="en-US" w:eastAsia="zh-CN"/>
              </w:rPr>
              <w:t>13.0360</w:t>
            </w:r>
          </w:p>
        </w:tc>
        <w:tc>
          <w:tcPr>
            <w:tcW w:w="2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jc w:val="center"/>
              <w:rPr>
                <w:rFonts w:hint="eastAsia" w:ascii="Times New Roman" w:eastAsia="宋体"/>
                <w:sz w:val="28"/>
                <w:lang w:eastAsia="zh-CN"/>
              </w:rPr>
            </w:pPr>
            <w:r>
              <w:rPr>
                <w:rFonts w:hint="eastAsia" w:ascii="Times New Roman"/>
                <w:sz w:val="28"/>
                <w:lang w:eastAsia="zh-CN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23" w:hRule="atLeast"/>
        </w:trPr>
        <w:tc>
          <w:tcPr>
            <w:tcW w:w="1671" w:type="dxa"/>
            <w:vMerge w:val="continu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vMerge w:val="continue"/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185" w:type="dxa"/>
            <w:vAlign w:val="center"/>
          </w:tcPr>
          <w:p>
            <w:pPr>
              <w:pStyle w:val="12"/>
              <w:jc w:val="center"/>
              <w:rPr>
                <w:rFonts w:hint="eastAsia" w:ascii="Times New Roman"/>
                <w:sz w:val="28"/>
                <w:lang w:val="en-US" w:eastAsia="zh-CN"/>
              </w:rPr>
            </w:pPr>
            <w:r>
              <w:rPr>
                <w:rFonts w:hint="eastAsia" w:ascii="Times New Roman"/>
                <w:sz w:val="28"/>
                <w:lang w:val="en-US" w:eastAsia="zh-CN"/>
              </w:rPr>
              <w:t>滤料</w:t>
            </w:r>
          </w:p>
          <w:p>
            <w:pPr>
              <w:pStyle w:val="12"/>
              <w:jc w:val="center"/>
              <w:rPr>
                <w:rFonts w:hint="eastAsia" w:ascii="Times New Roman" w:eastAsia="宋体"/>
                <w:sz w:val="28"/>
                <w:lang w:val="en-US" w:eastAsia="zh-CN"/>
              </w:rPr>
            </w:pPr>
            <w:r>
              <w:rPr>
                <w:rFonts w:hint="eastAsia" w:ascii="Times New Roman"/>
                <w:sz w:val="28"/>
                <w:lang w:val="en-US" w:eastAsia="zh-CN"/>
              </w:rPr>
              <w:t>HW13 900-016-13</w:t>
            </w:r>
          </w:p>
        </w:tc>
        <w:tc>
          <w:tcPr>
            <w:tcW w:w="2029" w:type="dxa"/>
            <w:vAlign w:val="center"/>
          </w:tcPr>
          <w:p>
            <w:pPr>
              <w:pStyle w:val="12"/>
              <w:jc w:val="center"/>
              <w:rPr>
                <w:rFonts w:hint="default" w:ascii="Times New Roman" w:eastAsia="宋体"/>
                <w:sz w:val="28"/>
                <w:lang w:val="en-US" w:eastAsia="zh-CN"/>
              </w:rPr>
            </w:pPr>
            <w:r>
              <w:rPr>
                <w:rFonts w:hint="eastAsia" w:ascii="Times New Roman"/>
                <w:sz w:val="28"/>
                <w:lang w:val="en-US" w:eastAsia="zh-CN"/>
              </w:rPr>
              <w:t>1.5900</w:t>
            </w:r>
          </w:p>
        </w:tc>
        <w:tc>
          <w:tcPr>
            <w:tcW w:w="1747" w:type="dxa"/>
            <w:vAlign w:val="center"/>
          </w:tcPr>
          <w:p>
            <w:pPr>
              <w:pStyle w:val="12"/>
              <w:jc w:val="center"/>
              <w:rPr>
                <w:rFonts w:hint="default" w:ascii="Times New Roman" w:eastAsia="宋体"/>
                <w:sz w:val="28"/>
                <w:lang w:val="en-US" w:eastAsia="zh-CN"/>
              </w:rPr>
            </w:pPr>
            <w:r>
              <w:rPr>
                <w:rFonts w:hint="eastAsia" w:ascii="Times New Roman"/>
                <w:sz w:val="28"/>
                <w:lang w:val="en-US" w:eastAsia="zh-CN"/>
              </w:rPr>
              <w:t>0.0000</w:t>
            </w:r>
          </w:p>
        </w:tc>
        <w:tc>
          <w:tcPr>
            <w:tcW w:w="1454" w:type="dxa"/>
            <w:vAlign w:val="center"/>
          </w:tcPr>
          <w:p>
            <w:pPr>
              <w:pStyle w:val="12"/>
              <w:jc w:val="center"/>
              <w:rPr>
                <w:rFonts w:ascii="Times New Roman"/>
                <w:sz w:val="28"/>
              </w:rPr>
            </w:pPr>
            <w:r>
              <w:rPr>
                <w:rFonts w:hint="eastAsia" w:ascii="Times New Roman"/>
                <w:sz w:val="28"/>
                <w:lang w:eastAsia="zh-CN"/>
              </w:rPr>
              <w:t>扬州东晟固废环保处理有限公司</w:t>
            </w:r>
          </w:p>
        </w:tc>
        <w:tc>
          <w:tcPr>
            <w:tcW w:w="1747" w:type="dxa"/>
            <w:tcBorders>
              <w:right w:val="single" w:color="auto" w:sz="4" w:space="0"/>
            </w:tcBorders>
            <w:vAlign w:val="center"/>
          </w:tcPr>
          <w:p>
            <w:pPr>
              <w:pStyle w:val="12"/>
              <w:jc w:val="center"/>
              <w:rPr>
                <w:rFonts w:hint="default" w:ascii="Times New Roman" w:eastAsia="宋体"/>
                <w:sz w:val="28"/>
                <w:lang w:val="en-US" w:eastAsia="zh-CN"/>
              </w:rPr>
            </w:pPr>
            <w:r>
              <w:rPr>
                <w:rFonts w:hint="eastAsia" w:ascii="Times New Roman"/>
                <w:sz w:val="28"/>
                <w:lang w:val="en-US" w:eastAsia="zh-CN"/>
              </w:rPr>
              <w:t>3.7000</w:t>
            </w:r>
          </w:p>
        </w:tc>
        <w:tc>
          <w:tcPr>
            <w:tcW w:w="2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12"/>
              <w:jc w:val="center"/>
              <w:rPr>
                <w:rFonts w:hint="eastAsia" w:eastAsia="宋体"/>
                <w:sz w:val="2"/>
                <w:szCs w:val="2"/>
                <w:lang w:eastAsia="zh-CN"/>
              </w:rPr>
            </w:pPr>
            <w:r>
              <w:rPr>
                <w:rFonts w:hint="eastAsia" w:ascii="Times New Roman"/>
                <w:sz w:val="28"/>
                <w:lang w:eastAsia="zh-CN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19" w:hRule="atLeast"/>
        </w:trPr>
        <w:tc>
          <w:tcPr>
            <w:tcW w:w="1671" w:type="dxa"/>
            <w:vMerge w:val="continu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vMerge w:val="continue"/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185" w:type="dxa"/>
            <w:vAlign w:val="center"/>
          </w:tcPr>
          <w:p>
            <w:pPr>
              <w:pStyle w:val="12"/>
              <w:jc w:val="center"/>
              <w:rPr>
                <w:rFonts w:hint="eastAsia" w:ascii="Times New Roman"/>
                <w:sz w:val="28"/>
                <w:lang w:eastAsia="zh-CN"/>
              </w:rPr>
            </w:pPr>
            <w:r>
              <w:rPr>
                <w:rFonts w:hint="eastAsia" w:ascii="Times New Roman"/>
                <w:sz w:val="28"/>
                <w:lang w:eastAsia="zh-CN"/>
              </w:rPr>
              <w:t>实验室试剂瓶</w:t>
            </w:r>
          </w:p>
          <w:p>
            <w:pPr>
              <w:pStyle w:val="12"/>
              <w:jc w:val="center"/>
              <w:rPr>
                <w:rFonts w:hint="eastAsia" w:ascii="Times New Roman"/>
                <w:sz w:val="28"/>
                <w:lang w:val="en-US" w:eastAsia="zh-CN"/>
              </w:rPr>
            </w:pPr>
            <w:r>
              <w:rPr>
                <w:rFonts w:hint="eastAsia" w:ascii="Times New Roman"/>
                <w:sz w:val="28"/>
                <w:lang w:val="en-US" w:eastAsia="zh-CN"/>
              </w:rPr>
              <w:t>HW49 900-041-49</w:t>
            </w:r>
          </w:p>
        </w:tc>
        <w:tc>
          <w:tcPr>
            <w:tcW w:w="2029" w:type="dxa"/>
            <w:vAlign w:val="center"/>
          </w:tcPr>
          <w:p>
            <w:pPr>
              <w:pStyle w:val="12"/>
              <w:jc w:val="center"/>
              <w:rPr>
                <w:rFonts w:hint="default" w:ascii="Times New Roman" w:eastAsia="宋体"/>
                <w:sz w:val="28"/>
                <w:lang w:val="en-US" w:eastAsia="zh-CN"/>
              </w:rPr>
            </w:pPr>
            <w:r>
              <w:rPr>
                <w:rFonts w:hint="eastAsia" w:ascii="Times New Roman"/>
                <w:sz w:val="28"/>
                <w:lang w:val="en-US" w:eastAsia="zh-CN"/>
              </w:rPr>
              <w:t>0.1069</w:t>
            </w:r>
          </w:p>
        </w:tc>
        <w:tc>
          <w:tcPr>
            <w:tcW w:w="1747" w:type="dxa"/>
            <w:vAlign w:val="center"/>
          </w:tcPr>
          <w:p>
            <w:pPr>
              <w:pStyle w:val="12"/>
              <w:jc w:val="center"/>
              <w:rPr>
                <w:rFonts w:hint="default" w:ascii="Times New Roman" w:eastAsia="宋体"/>
                <w:sz w:val="28"/>
                <w:lang w:val="en-US" w:eastAsia="zh-CN"/>
              </w:rPr>
            </w:pPr>
            <w:r>
              <w:rPr>
                <w:rFonts w:hint="eastAsia" w:ascii="Times New Roman"/>
                <w:sz w:val="28"/>
                <w:lang w:val="en-US" w:eastAsia="zh-CN"/>
              </w:rPr>
              <w:t>0.0000</w:t>
            </w:r>
          </w:p>
        </w:tc>
        <w:tc>
          <w:tcPr>
            <w:tcW w:w="1454" w:type="dxa"/>
            <w:vAlign w:val="center"/>
          </w:tcPr>
          <w:p>
            <w:pPr>
              <w:pStyle w:val="12"/>
              <w:jc w:val="center"/>
              <w:rPr>
                <w:rFonts w:ascii="Times New Roman"/>
                <w:sz w:val="28"/>
              </w:rPr>
            </w:pPr>
            <w:r>
              <w:rPr>
                <w:rFonts w:hint="eastAsia" w:ascii="Times New Roman"/>
                <w:sz w:val="28"/>
                <w:lang w:eastAsia="zh-CN"/>
              </w:rPr>
              <w:t>扬州东晟固废环保处理有限公司</w:t>
            </w:r>
          </w:p>
        </w:tc>
        <w:tc>
          <w:tcPr>
            <w:tcW w:w="1747" w:type="dxa"/>
            <w:tcBorders>
              <w:right w:val="single" w:color="auto" w:sz="4" w:space="0"/>
            </w:tcBorders>
            <w:vAlign w:val="center"/>
          </w:tcPr>
          <w:p>
            <w:pPr>
              <w:pStyle w:val="12"/>
              <w:jc w:val="center"/>
              <w:rPr>
                <w:rFonts w:hint="default" w:ascii="Times New Roman" w:eastAsia="宋体"/>
                <w:sz w:val="28"/>
                <w:lang w:val="en-US" w:eastAsia="zh-CN"/>
              </w:rPr>
            </w:pPr>
            <w:r>
              <w:rPr>
                <w:rFonts w:hint="eastAsia" w:ascii="Times New Roman"/>
                <w:sz w:val="28"/>
                <w:lang w:val="en-US" w:eastAsia="zh-CN"/>
              </w:rPr>
              <w:t>0.1309</w:t>
            </w:r>
          </w:p>
        </w:tc>
        <w:tc>
          <w:tcPr>
            <w:tcW w:w="2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28"/>
                <w:szCs w:val="28"/>
                <w:lang w:eastAsia="zh-CN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0" w:hRule="atLeast"/>
        </w:trPr>
        <w:tc>
          <w:tcPr>
            <w:tcW w:w="1671" w:type="dxa"/>
            <w:vMerge w:val="continu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vMerge w:val="continue"/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185" w:type="dxa"/>
            <w:vAlign w:val="center"/>
          </w:tcPr>
          <w:p>
            <w:pPr>
              <w:pStyle w:val="12"/>
              <w:jc w:val="center"/>
              <w:rPr>
                <w:rFonts w:hint="eastAsia" w:ascii="Times New Roman"/>
                <w:sz w:val="28"/>
                <w:lang w:eastAsia="zh-CN"/>
              </w:rPr>
            </w:pPr>
            <w:r>
              <w:rPr>
                <w:rFonts w:hint="eastAsia" w:ascii="Times New Roman"/>
                <w:sz w:val="28"/>
                <w:lang w:eastAsia="zh-CN"/>
              </w:rPr>
              <w:t>废液</w:t>
            </w:r>
          </w:p>
          <w:p>
            <w:pPr>
              <w:pStyle w:val="12"/>
              <w:jc w:val="center"/>
              <w:rPr>
                <w:rFonts w:hint="eastAsia" w:ascii="Times New Roman"/>
                <w:sz w:val="28"/>
                <w:lang w:val="en-US" w:eastAsia="zh-CN"/>
              </w:rPr>
            </w:pPr>
            <w:r>
              <w:rPr>
                <w:rFonts w:hint="eastAsia" w:ascii="Times New Roman"/>
                <w:sz w:val="28"/>
                <w:lang w:val="en-US" w:eastAsia="zh-CN"/>
              </w:rPr>
              <w:t>HW49 900-047-49</w:t>
            </w:r>
          </w:p>
        </w:tc>
        <w:tc>
          <w:tcPr>
            <w:tcW w:w="2029" w:type="dxa"/>
            <w:vAlign w:val="center"/>
          </w:tcPr>
          <w:p>
            <w:pPr>
              <w:pStyle w:val="12"/>
              <w:jc w:val="center"/>
              <w:rPr>
                <w:rFonts w:hint="default" w:ascii="Times New Roman" w:eastAsia="宋体"/>
                <w:sz w:val="28"/>
                <w:lang w:val="en-US" w:eastAsia="zh-CN"/>
              </w:rPr>
            </w:pPr>
            <w:r>
              <w:rPr>
                <w:rFonts w:hint="eastAsia" w:ascii="Times New Roman"/>
                <w:sz w:val="28"/>
                <w:lang w:val="en-US" w:eastAsia="zh-CN"/>
              </w:rPr>
              <w:t>0.1730</w:t>
            </w:r>
          </w:p>
        </w:tc>
        <w:tc>
          <w:tcPr>
            <w:tcW w:w="1747" w:type="dxa"/>
            <w:vAlign w:val="center"/>
          </w:tcPr>
          <w:p>
            <w:pPr>
              <w:pStyle w:val="12"/>
              <w:jc w:val="center"/>
              <w:rPr>
                <w:rFonts w:hint="default" w:ascii="Times New Roman" w:eastAsia="宋体"/>
                <w:sz w:val="28"/>
                <w:lang w:val="en-US" w:eastAsia="zh-CN"/>
              </w:rPr>
            </w:pPr>
            <w:r>
              <w:rPr>
                <w:rFonts w:hint="eastAsia" w:ascii="Times New Roman"/>
                <w:sz w:val="28"/>
                <w:lang w:val="en-US" w:eastAsia="zh-CN"/>
              </w:rPr>
              <w:t>0.0000</w:t>
            </w:r>
          </w:p>
        </w:tc>
        <w:tc>
          <w:tcPr>
            <w:tcW w:w="1454" w:type="dxa"/>
            <w:vAlign w:val="center"/>
          </w:tcPr>
          <w:p>
            <w:pPr>
              <w:pStyle w:val="12"/>
              <w:jc w:val="center"/>
              <w:rPr>
                <w:rFonts w:ascii="Times New Roman"/>
                <w:sz w:val="28"/>
              </w:rPr>
            </w:pPr>
            <w:r>
              <w:rPr>
                <w:rFonts w:hint="eastAsia" w:ascii="Times New Roman"/>
                <w:sz w:val="28"/>
                <w:lang w:eastAsia="zh-CN"/>
              </w:rPr>
              <w:t>扬州东晟固废环保处理有限公司</w:t>
            </w:r>
          </w:p>
        </w:tc>
        <w:tc>
          <w:tcPr>
            <w:tcW w:w="1747" w:type="dxa"/>
            <w:tcBorders>
              <w:right w:val="single" w:color="auto" w:sz="4" w:space="0"/>
            </w:tcBorders>
            <w:vAlign w:val="center"/>
          </w:tcPr>
          <w:p>
            <w:pPr>
              <w:pStyle w:val="12"/>
              <w:jc w:val="center"/>
              <w:rPr>
                <w:rFonts w:hint="default" w:ascii="Times New Roman" w:eastAsia="宋体"/>
                <w:sz w:val="28"/>
                <w:lang w:val="en-US" w:eastAsia="zh-CN"/>
              </w:rPr>
            </w:pPr>
            <w:r>
              <w:rPr>
                <w:rFonts w:hint="eastAsia" w:ascii="Times New Roman"/>
                <w:sz w:val="28"/>
                <w:lang w:val="en-US" w:eastAsia="zh-CN"/>
              </w:rPr>
              <w:t>0.6180</w:t>
            </w:r>
          </w:p>
        </w:tc>
        <w:tc>
          <w:tcPr>
            <w:tcW w:w="2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hint="eastAsia"/>
                <w:sz w:val="28"/>
                <w:szCs w:val="28"/>
                <w:lang w:eastAsia="zh-CN"/>
              </w:rPr>
              <w:t>无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0" w:hRule="atLeast"/>
        </w:trPr>
        <w:tc>
          <w:tcPr>
            <w:tcW w:w="1671" w:type="dxa"/>
            <w:vMerge w:val="continue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601" w:type="dxa"/>
            <w:vMerge w:val="continue"/>
            <w:vAlign w:val="center"/>
          </w:tcPr>
          <w:p>
            <w:pPr>
              <w:jc w:val="center"/>
              <w:rPr>
                <w:sz w:val="2"/>
                <w:szCs w:val="2"/>
              </w:rPr>
            </w:pPr>
          </w:p>
        </w:tc>
        <w:tc>
          <w:tcPr>
            <w:tcW w:w="2185" w:type="dxa"/>
            <w:vAlign w:val="center"/>
          </w:tcPr>
          <w:p>
            <w:pPr>
              <w:pStyle w:val="12"/>
              <w:jc w:val="center"/>
              <w:rPr>
                <w:rFonts w:hint="eastAsia" w:ascii="Times New Roman"/>
                <w:sz w:val="28"/>
                <w:lang w:val="en-US" w:eastAsia="zh-CN"/>
              </w:rPr>
            </w:pPr>
            <w:r>
              <w:rPr>
                <w:rFonts w:hint="eastAsia" w:ascii="Times New Roman"/>
                <w:sz w:val="28"/>
                <w:lang w:val="en-US" w:eastAsia="zh-CN"/>
              </w:rPr>
              <w:t>废机油</w:t>
            </w:r>
          </w:p>
          <w:p>
            <w:pPr>
              <w:pStyle w:val="12"/>
              <w:jc w:val="center"/>
              <w:rPr>
                <w:rFonts w:hint="eastAsia" w:ascii="Times New Roman"/>
                <w:sz w:val="28"/>
                <w:lang w:val="en-US" w:eastAsia="zh-CN"/>
              </w:rPr>
            </w:pPr>
            <w:r>
              <w:rPr>
                <w:rFonts w:hint="eastAsia" w:ascii="Times New Roman"/>
                <w:sz w:val="28"/>
                <w:lang w:val="en-US" w:eastAsia="zh-CN"/>
              </w:rPr>
              <w:t>HW08 900-249-08</w:t>
            </w:r>
          </w:p>
        </w:tc>
        <w:tc>
          <w:tcPr>
            <w:tcW w:w="2029" w:type="dxa"/>
            <w:vAlign w:val="center"/>
          </w:tcPr>
          <w:p>
            <w:pPr>
              <w:pStyle w:val="12"/>
              <w:jc w:val="center"/>
              <w:rPr>
                <w:rFonts w:hint="default" w:ascii="Times New Roman"/>
                <w:sz w:val="28"/>
                <w:lang w:val="en-US" w:eastAsia="zh-CN"/>
              </w:rPr>
            </w:pPr>
            <w:r>
              <w:rPr>
                <w:rFonts w:hint="eastAsia" w:ascii="Times New Roman"/>
                <w:sz w:val="28"/>
                <w:lang w:val="en-US" w:eastAsia="zh-CN"/>
              </w:rPr>
              <w:t>0.6400</w:t>
            </w:r>
          </w:p>
        </w:tc>
        <w:tc>
          <w:tcPr>
            <w:tcW w:w="1747" w:type="dxa"/>
            <w:vAlign w:val="center"/>
          </w:tcPr>
          <w:p>
            <w:pPr>
              <w:pStyle w:val="12"/>
              <w:jc w:val="center"/>
              <w:rPr>
                <w:rFonts w:hint="default" w:ascii="Times New Roman"/>
                <w:sz w:val="28"/>
                <w:lang w:val="en-US" w:eastAsia="zh-CN"/>
              </w:rPr>
            </w:pPr>
            <w:r>
              <w:rPr>
                <w:rFonts w:hint="eastAsia" w:ascii="Times New Roman"/>
                <w:sz w:val="28"/>
                <w:lang w:val="en-US" w:eastAsia="zh-CN"/>
              </w:rPr>
              <w:t>0.0000</w:t>
            </w:r>
          </w:p>
        </w:tc>
        <w:tc>
          <w:tcPr>
            <w:tcW w:w="1454" w:type="dxa"/>
            <w:vAlign w:val="center"/>
          </w:tcPr>
          <w:p>
            <w:pPr>
              <w:pStyle w:val="12"/>
              <w:jc w:val="center"/>
              <w:rPr>
                <w:rFonts w:hint="eastAsia" w:ascii="Times New Roman"/>
                <w:sz w:val="28"/>
                <w:lang w:eastAsia="zh-CN"/>
              </w:rPr>
            </w:pPr>
            <w:r>
              <w:rPr>
                <w:rFonts w:hint="eastAsia" w:ascii="Times New Roman"/>
                <w:sz w:val="28"/>
                <w:lang w:eastAsia="zh-CN"/>
              </w:rPr>
              <w:t>扬州东晟固废环保处理有限公司</w:t>
            </w:r>
          </w:p>
        </w:tc>
        <w:tc>
          <w:tcPr>
            <w:tcW w:w="1747" w:type="dxa"/>
            <w:tcBorders>
              <w:right w:val="single" w:color="auto" w:sz="4" w:space="0"/>
            </w:tcBorders>
            <w:vAlign w:val="center"/>
          </w:tcPr>
          <w:p>
            <w:pPr>
              <w:pStyle w:val="12"/>
              <w:jc w:val="center"/>
              <w:rPr>
                <w:rFonts w:hint="default" w:ascii="Times New Roman"/>
                <w:sz w:val="28"/>
                <w:lang w:val="en-US" w:eastAsia="zh-CN"/>
              </w:rPr>
            </w:pPr>
            <w:r>
              <w:rPr>
                <w:rFonts w:hint="eastAsia" w:ascii="Times New Roman"/>
                <w:sz w:val="28"/>
                <w:lang w:val="en-US" w:eastAsia="zh-CN"/>
              </w:rPr>
              <w:t>0.9400</w:t>
            </w:r>
          </w:p>
        </w:tc>
        <w:tc>
          <w:tcPr>
            <w:tcW w:w="23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sz w:val="30"/>
                <w:szCs w:val="30"/>
                <w:lang w:eastAsia="zh-CN"/>
              </w:rPr>
              <w:t>无</w:t>
            </w:r>
          </w:p>
        </w:tc>
      </w:tr>
    </w:tbl>
    <w:p>
      <w:pPr>
        <w:tabs>
          <w:tab w:val="left" w:pos="5962"/>
          <w:tab w:val="left" w:pos="6951"/>
          <w:tab w:val="left" w:pos="7702"/>
          <w:tab w:val="left" w:pos="8451"/>
        </w:tabs>
        <w:spacing w:line="573" w:lineRule="auto"/>
        <w:ind w:right="193"/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6840" w:h="11910" w:orient="landscape"/>
      <w:pgMar w:top="1418" w:right="1440" w:bottom="1542" w:left="278" w:header="0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Yu Gothic">
    <w:altName w:val="MS Gothic"/>
    <w:panose1 w:val="00000000000000000000"/>
    <w:charset w:val="80"/>
    <w:family w:val="swiss"/>
    <w:pitch w:val="default"/>
    <w:sig w:usb0="00000000" w:usb1="00000000" w:usb2="00000010" w:usb3="00000000" w:csb0="00020000" w:csb1="00000000"/>
  </w:font>
  <w:font w:name="MS Gothic">
    <w:panose1 w:val="020B0609070205080204"/>
    <w:charset w:val="80"/>
    <w:family w:val="auto"/>
    <w:pitch w:val="default"/>
    <w:sig w:usb0="E00002FF" w:usb1="6AC7FDFB" w:usb2="00000012" w:usb3="00000000" w:csb0="4002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720"/>
  <w:evenAndOddHeaders w:val="1"/>
  <w:drawingGridHorizontalSpacing w:val="110"/>
  <w:displayHorizontalDrawingGridEvery w:val="2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ulTrailSpac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639C2"/>
    <w:rsid w:val="00065E13"/>
    <w:rsid w:val="000A18C1"/>
    <w:rsid w:val="000F6FE1"/>
    <w:rsid w:val="001B47AF"/>
    <w:rsid w:val="003D205D"/>
    <w:rsid w:val="00500D43"/>
    <w:rsid w:val="00773BC5"/>
    <w:rsid w:val="007B3CAB"/>
    <w:rsid w:val="00882F00"/>
    <w:rsid w:val="00CD4C6B"/>
    <w:rsid w:val="00D61AA8"/>
    <w:rsid w:val="00DB642A"/>
    <w:rsid w:val="00F639C2"/>
    <w:rsid w:val="042F6920"/>
    <w:rsid w:val="04CD46F2"/>
    <w:rsid w:val="0B6F16F3"/>
    <w:rsid w:val="0BCD195E"/>
    <w:rsid w:val="11FD79FB"/>
    <w:rsid w:val="138B3305"/>
    <w:rsid w:val="1A7B2EC7"/>
    <w:rsid w:val="35845D32"/>
    <w:rsid w:val="362F16C5"/>
    <w:rsid w:val="42E637AA"/>
    <w:rsid w:val="438F1DEE"/>
    <w:rsid w:val="43C66423"/>
    <w:rsid w:val="51A504D5"/>
    <w:rsid w:val="5E4660A3"/>
    <w:rsid w:val="640B451D"/>
    <w:rsid w:val="699F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nhideWhenUsed="0" w:uiPriority="99" w:name="Default Paragraph Font"/>
    <w:lsdException w:qFormat="1" w:unhideWhenUsed="0" w:uiPriority="99" w:semiHidden="0" w:name="Body Text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宋体" w:hAnsi="宋体" w:eastAsia="宋体" w:cs="宋体"/>
      <w:kern w:val="0"/>
      <w:sz w:val="22"/>
      <w:szCs w:val="22"/>
      <w:lang w:val="zh-CN" w:eastAsia="zh-CN" w:bidi="ar-SA"/>
    </w:rPr>
  </w:style>
  <w:style w:type="paragraph" w:styleId="2">
    <w:name w:val="heading 1"/>
    <w:basedOn w:val="1"/>
    <w:next w:val="1"/>
    <w:link w:val="8"/>
    <w:qFormat/>
    <w:uiPriority w:val="99"/>
    <w:pPr>
      <w:spacing w:before="65"/>
      <w:ind w:left="5010"/>
      <w:outlineLvl w:val="0"/>
    </w:pPr>
    <w:rPr>
      <w:sz w:val="36"/>
      <w:szCs w:val="36"/>
    </w:rPr>
  </w:style>
  <w:style w:type="character" w:default="1" w:styleId="7">
    <w:name w:val="Default Paragraph Font"/>
    <w:semiHidden/>
    <w:qFormat/>
    <w:uiPriority w:val="99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9"/>
    <w:qFormat/>
    <w:uiPriority w:val="99"/>
    <w:rPr>
      <w:sz w:val="32"/>
      <w:szCs w:val="32"/>
    </w:rPr>
  </w:style>
  <w:style w:type="paragraph" w:styleId="4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Heading 1 Char"/>
    <w:basedOn w:val="7"/>
    <w:link w:val="2"/>
    <w:qFormat/>
    <w:locked/>
    <w:uiPriority w:val="99"/>
    <w:rPr>
      <w:rFonts w:ascii="宋体" w:eastAsia="宋体" w:cs="宋体"/>
      <w:b/>
      <w:bCs/>
      <w:kern w:val="44"/>
      <w:sz w:val="44"/>
      <w:szCs w:val="44"/>
      <w:lang w:val="zh-CN"/>
    </w:rPr>
  </w:style>
  <w:style w:type="character" w:customStyle="1" w:styleId="9">
    <w:name w:val="Body Text Char"/>
    <w:basedOn w:val="7"/>
    <w:link w:val="3"/>
    <w:semiHidden/>
    <w:qFormat/>
    <w:locked/>
    <w:uiPriority w:val="99"/>
    <w:rPr>
      <w:rFonts w:ascii="宋体" w:eastAsia="宋体" w:cs="宋体"/>
      <w:kern w:val="0"/>
      <w:sz w:val="22"/>
      <w:lang w:val="zh-CN"/>
    </w:rPr>
  </w:style>
  <w:style w:type="table" w:customStyle="1" w:styleId="10">
    <w:name w:val="Table Normal1"/>
    <w:semiHidden/>
    <w:qFormat/>
    <w:uiPriority w:val="99"/>
    <w:rPr>
      <w:kern w:val="0"/>
      <w:sz w:val="20"/>
      <w:szCs w:val="20"/>
    </w:rPr>
    <w:tblPr>
      <w:tblLayout w:type="fixed"/>
      <w:tblCellMar>
        <w:top w:w="0" w:type="dxa"/>
        <w:left w:w="0" w:type="dxa"/>
        <w:bottom w:w="0" w:type="dxa"/>
        <w:right w:w="0" w:type="dxa"/>
      </w:tblCellMar>
    </w:tblPr>
  </w:style>
  <w:style w:type="paragraph" w:styleId="11">
    <w:name w:val="List Paragraph"/>
    <w:basedOn w:val="1"/>
    <w:qFormat/>
    <w:uiPriority w:val="99"/>
    <w:pPr>
      <w:spacing w:before="180"/>
      <w:ind w:left="1769" w:hanging="319"/>
    </w:pPr>
  </w:style>
  <w:style w:type="paragraph" w:customStyle="1" w:styleId="12">
    <w:name w:val="Table Paragraph"/>
    <w:basedOn w:val="1"/>
    <w:qFormat/>
    <w:uiPriority w:val="99"/>
  </w:style>
  <w:style w:type="character" w:customStyle="1" w:styleId="13">
    <w:name w:val="Header Char"/>
    <w:basedOn w:val="7"/>
    <w:link w:val="5"/>
    <w:semiHidden/>
    <w:qFormat/>
    <w:locked/>
    <w:uiPriority w:val="99"/>
    <w:rPr>
      <w:rFonts w:ascii="宋体" w:eastAsia="宋体" w:cs="宋体"/>
      <w:kern w:val="0"/>
      <w:sz w:val="18"/>
      <w:szCs w:val="18"/>
      <w:lang w:val="zh-CN"/>
    </w:rPr>
  </w:style>
  <w:style w:type="character" w:customStyle="1" w:styleId="14">
    <w:name w:val="Footer Char"/>
    <w:basedOn w:val="7"/>
    <w:link w:val="4"/>
    <w:semiHidden/>
    <w:qFormat/>
    <w:locked/>
    <w:uiPriority w:val="99"/>
    <w:rPr>
      <w:rFonts w:ascii="宋体" w:eastAsia="宋体" w:cs="宋体"/>
      <w:kern w:val="0"/>
      <w:sz w:val="18"/>
      <w:szCs w:val="18"/>
      <w:lang w:val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49</Words>
  <Characters>280</Characters>
  <Lines>0</Lines>
  <Paragraphs>0</Paragraphs>
  <TotalTime>14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2018-05-29T00:05:00Z</dcterms:created>
  <dc:creator>管理员</dc:creator>
  <cp:lastModifiedBy>s小迷糊&amp;慢半拍s</cp:lastModifiedBy>
  <dcterms:modified xsi:type="dcterms:W3CDTF">2019-10-10T01:12:22Z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Acrobat PDFMaker 15 Word 版</vt:lpwstr>
  </property>
  <property fmtid="{D5CDD505-2E9C-101B-9397-08002B2CF9AE}" pid="3" name="KSOProductBuildVer">
    <vt:lpwstr>2052-11.1.0.9098</vt:lpwstr>
  </property>
</Properties>
</file>