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59D8A7">
      <w:pPr>
        <w:rPr>
          <w:rFonts w:eastAsia="仿宋_GB2312"/>
          <w:color w:val="auto"/>
          <w:sz w:val="36"/>
          <w:szCs w:val="36"/>
        </w:rPr>
      </w:pPr>
    </w:p>
    <w:p w14:paraId="1BD940AF">
      <w:pPr>
        <w:rPr>
          <w:rFonts w:eastAsia="仿宋_GB2312"/>
          <w:color w:val="auto"/>
          <w:sz w:val="36"/>
          <w:szCs w:val="36"/>
        </w:rPr>
      </w:pPr>
    </w:p>
    <w:p w14:paraId="78932E05">
      <w:pPr>
        <w:rPr>
          <w:rFonts w:eastAsia="仿宋_GB2312"/>
          <w:color w:val="auto"/>
          <w:sz w:val="36"/>
          <w:szCs w:val="36"/>
        </w:rPr>
      </w:pPr>
    </w:p>
    <w:p w14:paraId="41597BB7">
      <w:pPr>
        <w:rPr>
          <w:rFonts w:eastAsia="仿宋_GB2312"/>
          <w:color w:val="auto"/>
          <w:sz w:val="36"/>
          <w:szCs w:val="36"/>
        </w:rPr>
      </w:pPr>
    </w:p>
    <w:p w14:paraId="20EBE5BD">
      <w:pPr>
        <w:rPr>
          <w:rFonts w:eastAsia="仿宋_GB2312"/>
          <w:color w:val="auto"/>
          <w:sz w:val="36"/>
          <w:szCs w:val="36"/>
        </w:rPr>
      </w:pPr>
    </w:p>
    <w:p w14:paraId="14D9375D">
      <w:pPr>
        <w:jc w:val="center"/>
        <w:rPr>
          <w:rFonts w:eastAsia="方正小标宋_GBK"/>
          <w:bCs/>
          <w:color w:val="auto"/>
          <w:sz w:val="72"/>
          <w:szCs w:val="72"/>
        </w:rPr>
      </w:pPr>
      <w:bookmarkStart w:id="0" w:name="_Toc140770555"/>
      <w:r>
        <w:rPr>
          <w:rFonts w:eastAsia="方正小标宋_GBK"/>
          <w:bCs/>
          <w:color w:val="auto"/>
          <w:sz w:val="72"/>
          <w:szCs w:val="72"/>
        </w:rPr>
        <w:t>建设项目</w:t>
      </w:r>
      <w:r>
        <w:rPr>
          <w:rFonts w:hint="eastAsia" w:eastAsia="方正小标宋_GBK"/>
          <w:bCs/>
          <w:color w:val="auto"/>
          <w:sz w:val="72"/>
          <w:szCs w:val="72"/>
        </w:rPr>
        <w:t>生态</w:t>
      </w:r>
      <w:r>
        <w:rPr>
          <w:rFonts w:eastAsia="方正小标宋_GBK"/>
          <w:bCs/>
          <w:color w:val="auto"/>
          <w:sz w:val="72"/>
          <w:szCs w:val="72"/>
        </w:rPr>
        <w:t>环境影响报告表</w:t>
      </w:r>
      <w:bookmarkEnd w:id="0"/>
    </w:p>
    <w:p w14:paraId="6C2DAAFF">
      <w:pPr>
        <w:adjustRightInd w:val="0"/>
        <w:snapToGrid w:val="0"/>
        <w:spacing w:before="192" w:beforeLines="80"/>
        <w:jc w:val="center"/>
        <w:rPr>
          <w:rFonts w:eastAsia="楷体_GB2312"/>
          <w:bCs/>
          <w:color w:val="auto"/>
          <w:sz w:val="48"/>
          <w:szCs w:val="48"/>
        </w:rPr>
      </w:pPr>
      <w:r>
        <w:rPr>
          <w:rFonts w:eastAsia="楷体_GB2312"/>
          <w:bCs/>
          <w:color w:val="auto"/>
          <w:sz w:val="48"/>
          <w:szCs w:val="48"/>
        </w:rPr>
        <w:t>（污染影响类）</w:t>
      </w:r>
    </w:p>
    <w:p w14:paraId="2F05EC07">
      <w:pPr>
        <w:adjustRightInd w:val="0"/>
        <w:snapToGrid w:val="0"/>
        <w:spacing w:before="192" w:beforeLines="80"/>
        <w:jc w:val="center"/>
        <w:rPr>
          <w:rFonts w:hint="default" w:eastAsia="楷体_GB2312"/>
          <w:bCs/>
          <w:color w:val="auto"/>
          <w:sz w:val="48"/>
          <w:szCs w:val="48"/>
          <w:lang w:val="en-US" w:eastAsia="zh-CN"/>
        </w:rPr>
      </w:pPr>
      <w:r>
        <w:rPr>
          <w:rFonts w:hint="eastAsia" w:eastAsia="楷体_GB2312"/>
          <w:bCs/>
          <w:color w:val="auto"/>
          <w:sz w:val="48"/>
          <w:szCs w:val="48"/>
          <w:lang w:val="en-US" w:eastAsia="zh-CN"/>
        </w:rPr>
        <w:t>全本公示稿</w:t>
      </w:r>
    </w:p>
    <w:p w14:paraId="113C97E5">
      <w:pPr>
        <w:jc w:val="center"/>
        <w:rPr>
          <w:rFonts w:eastAsia="仿宋"/>
          <w:color w:val="auto"/>
          <w:sz w:val="52"/>
          <w:szCs w:val="52"/>
        </w:rPr>
      </w:pPr>
    </w:p>
    <w:p w14:paraId="5C9BED61">
      <w:pPr>
        <w:rPr>
          <w:rFonts w:eastAsia="仿宋"/>
          <w:color w:val="auto"/>
          <w:sz w:val="44"/>
          <w:szCs w:val="44"/>
        </w:rPr>
      </w:pPr>
    </w:p>
    <w:p w14:paraId="2C431B21">
      <w:pPr>
        <w:rPr>
          <w:rFonts w:eastAsia="仿宋"/>
          <w:color w:val="auto"/>
          <w:sz w:val="44"/>
          <w:szCs w:val="44"/>
        </w:rPr>
      </w:pPr>
    </w:p>
    <w:p w14:paraId="2574870C">
      <w:pPr>
        <w:rPr>
          <w:rFonts w:eastAsia="仿宋"/>
          <w:color w:val="auto"/>
          <w:sz w:val="44"/>
          <w:szCs w:val="44"/>
        </w:rPr>
      </w:pPr>
    </w:p>
    <w:p w14:paraId="026DAAD5">
      <w:pPr>
        <w:adjustRightInd w:val="0"/>
        <w:snapToGrid w:val="0"/>
        <w:spacing w:line="288" w:lineRule="auto"/>
        <w:rPr>
          <w:rFonts w:eastAsia="仿宋_GB2312"/>
          <w:color w:val="auto"/>
          <w:sz w:val="36"/>
          <w:szCs w:val="36"/>
          <w:u w:val="single"/>
        </w:rPr>
      </w:pPr>
      <w:r>
        <w:rPr>
          <w:rFonts w:eastAsia="仿宋_GB2312"/>
          <w:color w:val="auto"/>
          <w:sz w:val="36"/>
          <w:szCs w:val="36"/>
        </w:rPr>
        <w:t>项</w:t>
      </w:r>
      <w:r>
        <w:rPr>
          <w:rFonts w:hint="eastAsia" w:eastAsia="仿宋_GB2312"/>
          <w:color w:val="auto"/>
          <w:sz w:val="36"/>
          <w:szCs w:val="36"/>
        </w:rPr>
        <w:t xml:space="preserve"> </w:t>
      </w:r>
      <w:r>
        <w:rPr>
          <w:rFonts w:eastAsia="仿宋_GB2312"/>
          <w:color w:val="auto"/>
          <w:sz w:val="36"/>
          <w:szCs w:val="36"/>
        </w:rPr>
        <w:t xml:space="preserve"> 目</w:t>
      </w:r>
      <w:r>
        <w:rPr>
          <w:rFonts w:hint="eastAsia" w:eastAsia="仿宋_GB2312"/>
          <w:color w:val="auto"/>
          <w:sz w:val="36"/>
          <w:szCs w:val="36"/>
        </w:rPr>
        <w:t xml:space="preserve"> </w:t>
      </w:r>
      <w:r>
        <w:rPr>
          <w:rFonts w:eastAsia="仿宋_GB2312"/>
          <w:color w:val="auto"/>
          <w:sz w:val="36"/>
          <w:szCs w:val="36"/>
        </w:rPr>
        <w:t xml:space="preserve">  名</w:t>
      </w:r>
      <w:r>
        <w:rPr>
          <w:rFonts w:hint="eastAsia" w:eastAsia="仿宋_GB2312"/>
          <w:color w:val="auto"/>
          <w:sz w:val="36"/>
          <w:szCs w:val="36"/>
        </w:rPr>
        <w:t xml:space="preserve"> </w:t>
      </w:r>
      <w:r>
        <w:rPr>
          <w:rFonts w:eastAsia="仿宋_GB2312"/>
          <w:color w:val="auto"/>
          <w:sz w:val="36"/>
          <w:szCs w:val="36"/>
        </w:rPr>
        <w:t xml:space="preserve">  称：</w:t>
      </w:r>
      <w:r>
        <w:rPr>
          <w:rFonts w:eastAsia="仿宋_GB2312"/>
          <w:color w:val="auto"/>
          <w:sz w:val="36"/>
          <w:szCs w:val="36"/>
          <w:u w:val="single"/>
        </w:rPr>
        <w:t xml:space="preserve">   </w:t>
      </w:r>
      <w:r>
        <w:rPr>
          <w:rFonts w:hint="eastAsia" w:eastAsia="仿宋_GB2312"/>
          <w:color w:val="auto"/>
          <w:sz w:val="36"/>
          <w:szCs w:val="36"/>
          <w:u w:val="single"/>
        </w:rPr>
        <w:t xml:space="preserve">瑞兆科品控洁净实验室项目 </w:t>
      </w:r>
      <w:r>
        <w:rPr>
          <w:rFonts w:eastAsia="仿宋_GB2312"/>
          <w:color w:val="auto"/>
          <w:sz w:val="36"/>
          <w:szCs w:val="36"/>
          <w:u w:val="single"/>
        </w:rPr>
        <w:t xml:space="preserve"> </w:t>
      </w:r>
    </w:p>
    <w:p w14:paraId="443F6E31">
      <w:pPr>
        <w:adjustRightInd w:val="0"/>
        <w:snapToGrid w:val="0"/>
        <w:spacing w:line="288" w:lineRule="auto"/>
        <w:rPr>
          <w:rFonts w:eastAsia="仿宋_GB2312"/>
          <w:color w:val="auto"/>
          <w:sz w:val="36"/>
          <w:szCs w:val="36"/>
          <w:u w:val="single"/>
        </w:rPr>
      </w:pPr>
      <w:r>
        <w:rPr>
          <w:rFonts w:eastAsia="仿宋_GB2312"/>
          <w:color w:val="auto"/>
          <w:sz w:val="36"/>
          <w:szCs w:val="36"/>
        </w:rPr>
        <w:t>建设单位（盖章）：</w:t>
      </w:r>
      <w:r>
        <w:rPr>
          <w:rFonts w:hint="eastAsia" w:eastAsia="仿宋_GB2312"/>
          <w:color w:val="auto"/>
          <w:sz w:val="36"/>
          <w:szCs w:val="36"/>
          <w:u w:val="single"/>
        </w:rPr>
        <w:t xml:space="preserve"> 江苏瑞兆科电子材料有限公司 </w:t>
      </w:r>
    </w:p>
    <w:p w14:paraId="50732C36">
      <w:pPr>
        <w:adjustRightInd w:val="0"/>
        <w:snapToGrid w:val="0"/>
        <w:spacing w:line="288" w:lineRule="auto"/>
        <w:rPr>
          <w:rFonts w:eastAsia="仿宋_GB2312"/>
          <w:color w:val="auto"/>
          <w:sz w:val="36"/>
          <w:szCs w:val="36"/>
          <w:u w:val="single"/>
        </w:rPr>
      </w:pPr>
      <w:r>
        <w:rPr>
          <w:rFonts w:eastAsia="仿宋_GB2312"/>
          <w:color w:val="auto"/>
          <w:sz w:val="36"/>
          <w:szCs w:val="36"/>
        </w:rPr>
        <w:t>编</w:t>
      </w:r>
      <w:r>
        <w:rPr>
          <w:rFonts w:hint="eastAsia" w:eastAsia="仿宋_GB2312"/>
          <w:color w:val="auto"/>
          <w:sz w:val="36"/>
          <w:szCs w:val="36"/>
        </w:rPr>
        <w:t xml:space="preserve"> </w:t>
      </w:r>
      <w:r>
        <w:rPr>
          <w:rFonts w:eastAsia="仿宋_GB2312"/>
          <w:color w:val="auto"/>
          <w:sz w:val="36"/>
          <w:szCs w:val="36"/>
        </w:rPr>
        <w:t xml:space="preserve">  制</w:t>
      </w:r>
      <w:r>
        <w:rPr>
          <w:rFonts w:hint="eastAsia" w:eastAsia="仿宋_GB2312"/>
          <w:color w:val="auto"/>
          <w:sz w:val="36"/>
          <w:szCs w:val="36"/>
        </w:rPr>
        <w:t xml:space="preserve"> </w:t>
      </w:r>
      <w:r>
        <w:rPr>
          <w:rFonts w:eastAsia="仿宋_GB2312"/>
          <w:color w:val="auto"/>
          <w:sz w:val="36"/>
          <w:szCs w:val="36"/>
        </w:rPr>
        <w:t xml:space="preserve">  日</w:t>
      </w:r>
      <w:r>
        <w:rPr>
          <w:rFonts w:hint="eastAsia" w:eastAsia="仿宋_GB2312"/>
          <w:color w:val="auto"/>
          <w:sz w:val="36"/>
          <w:szCs w:val="36"/>
        </w:rPr>
        <w:t xml:space="preserve"> </w:t>
      </w:r>
      <w:r>
        <w:rPr>
          <w:rFonts w:eastAsia="仿宋_GB2312"/>
          <w:color w:val="auto"/>
          <w:sz w:val="36"/>
          <w:szCs w:val="36"/>
        </w:rPr>
        <w:t xml:space="preserve"> 期：</w:t>
      </w:r>
      <w:r>
        <w:rPr>
          <w:rFonts w:eastAsia="仿宋_GB2312"/>
          <w:color w:val="auto"/>
          <w:sz w:val="36"/>
          <w:szCs w:val="36"/>
          <w:u w:val="single"/>
        </w:rPr>
        <w:t xml:space="preserve">        202</w:t>
      </w:r>
      <w:r>
        <w:rPr>
          <w:rFonts w:hint="eastAsia" w:eastAsia="仿宋_GB2312"/>
          <w:color w:val="auto"/>
          <w:sz w:val="36"/>
          <w:szCs w:val="36"/>
          <w:u w:val="single"/>
        </w:rPr>
        <w:t>6</w:t>
      </w:r>
      <w:r>
        <w:rPr>
          <w:rFonts w:eastAsia="仿宋_GB2312"/>
          <w:color w:val="auto"/>
          <w:sz w:val="36"/>
          <w:szCs w:val="36"/>
          <w:u w:val="single"/>
        </w:rPr>
        <w:t>年</w:t>
      </w:r>
      <w:r>
        <w:rPr>
          <w:rFonts w:hint="eastAsia" w:eastAsia="仿宋_GB2312"/>
          <w:color w:val="auto"/>
          <w:sz w:val="36"/>
          <w:szCs w:val="36"/>
          <w:u w:val="single"/>
        </w:rPr>
        <w:t>10</w:t>
      </w:r>
      <w:r>
        <w:rPr>
          <w:rFonts w:eastAsia="仿宋_GB2312"/>
          <w:color w:val="auto"/>
          <w:sz w:val="36"/>
          <w:szCs w:val="36"/>
          <w:u w:val="single"/>
        </w:rPr>
        <w:t xml:space="preserve">月            </w:t>
      </w:r>
    </w:p>
    <w:p w14:paraId="6D73FF5D">
      <w:pPr>
        <w:adjustRightInd w:val="0"/>
        <w:snapToGrid w:val="0"/>
        <w:spacing w:line="288" w:lineRule="auto"/>
        <w:rPr>
          <w:rFonts w:eastAsia="仿宋_GB2312"/>
          <w:color w:val="auto"/>
          <w:sz w:val="36"/>
          <w:szCs w:val="36"/>
          <w:u w:val="single"/>
        </w:rPr>
      </w:pPr>
      <w:bookmarkStart w:id="1" w:name="_Hlk57884087"/>
    </w:p>
    <w:p w14:paraId="16187445">
      <w:pPr>
        <w:adjustRightInd w:val="0"/>
        <w:snapToGrid w:val="0"/>
        <w:spacing w:line="288" w:lineRule="auto"/>
        <w:rPr>
          <w:rFonts w:eastAsia="仿宋_GB2312"/>
          <w:color w:val="auto"/>
          <w:sz w:val="36"/>
          <w:szCs w:val="36"/>
        </w:rPr>
      </w:pPr>
    </w:p>
    <w:p w14:paraId="43313AAE">
      <w:pPr>
        <w:adjustRightInd w:val="0"/>
        <w:snapToGrid w:val="0"/>
        <w:spacing w:line="288" w:lineRule="auto"/>
        <w:rPr>
          <w:rFonts w:eastAsia="仿宋_GB2312"/>
          <w:color w:val="auto"/>
          <w:sz w:val="36"/>
          <w:szCs w:val="36"/>
        </w:rPr>
      </w:pPr>
    </w:p>
    <w:p w14:paraId="6B6729B2">
      <w:pPr>
        <w:adjustRightInd w:val="0"/>
        <w:snapToGrid w:val="0"/>
        <w:spacing w:line="288" w:lineRule="auto"/>
        <w:rPr>
          <w:rFonts w:eastAsia="仿宋_GB2312"/>
          <w:color w:val="auto"/>
          <w:sz w:val="36"/>
          <w:szCs w:val="36"/>
        </w:rPr>
      </w:pPr>
    </w:p>
    <w:p w14:paraId="707AC25C">
      <w:pPr>
        <w:adjustRightInd w:val="0"/>
        <w:snapToGrid w:val="0"/>
        <w:spacing w:line="288" w:lineRule="auto"/>
        <w:rPr>
          <w:rFonts w:eastAsia="仿宋_GB2312"/>
          <w:color w:val="auto"/>
          <w:sz w:val="36"/>
          <w:szCs w:val="36"/>
        </w:rPr>
      </w:pPr>
    </w:p>
    <w:p w14:paraId="52A50737">
      <w:pPr>
        <w:adjustRightInd w:val="0"/>
        <w:snapToGrid w:val="0"/>
        <w:spacing w:line="288" w:lineRule="auto"/>
        <w:rPr>
          <w:rFonts w:eastAsia="仿宋_GB2312"/>
          <w:color w:val="auto"/>
          <w:sz w:val="36"/>
          <w:szCs w:val="36"/>
        </w:rPr>
      </w:pPr>
    </w:p>
    <w:p w14:paraId="2012B94D">
      <w:pPr>
        <w:adjustRightInd w:val="0"/>
        <w:snapToGrid w:val="0"/>
        <w:spacing w:line="288" w:lineRule="auto"/>
        <w:rPr>
          <w:rFonts w:eastAsia="仿宋_GB2312"/>
          <w:color w:val="auto"/>
          <w:sz w:val="36"/>
          <w:szCs w:val="36"/>
        </w:rPr>
      </w:pPr>
    </w:p>
    <w:bookmarkEnd w:id="1"/>
    <w:p w14:paraId="5F99FD76">
      <w:pPr>
        <w:adjustRightInd w:val="0"/>
        <w:snapToGrid w:val="0"/>
        <w:spacing w:line="288" w:lineRule="auto"/>
        <w:jc w:val="center"/>
        <w:rPr>
          <w:rFonts w:eastAsia="楷体_GB2312"/>
          <w:color w:val="auto"/>
          <w:sz w:val="36"/>
          <w:szCs w:val="36"/>
        </w:rPr>
        <w:sectPr>
          <w:type w:val="nextColumn"/>
          <w:pgSz w:w="11906" w:h="16838"/>
          <w:pgMar w:top="1418" w:right="1418" w:bottom="1418" w:left="1418" w:header="851" w:footer="851" w:gutter="0"/>
          <w:cols w:space="720" w:num="1"/>
          <w:docGrid w:linePitch="312" w:charSpace="0"/>
        </w:sectPr>
      </w:pPr>
      <w:r>
        <w:rPr>
          <w:rFonts w:eastAsia="楷体_GB2312"/>
          <w:color w:val="auto"/>
          <w:sz w:val="36"/>
          <w:szCs w:val="36"/>
        </w:rPr>
        <w:t>中华人民共和国生态环境部制</w:t>
      </w:r>
    </w:p>
    <w:p w14:paraId="15DD84F5">
      <w:pPr>
        <w:pStyle w:val="78"/>
        <w:spacing w:line="360" w:lineRule="auto"/>
        <w:ind w:firstLine="643"/>
        <w:jc w:val="center"/>
        <w:rPr>
          <w:rFonts w:ascii="宋体" w:hAnsi="宋体" w:eastAsia="宋体"/>
          <w:b/>
          <w:color w:val="auto"/>
          <w:szCs w:val="24"/>
        </w:rPr>
      </w:pPr>
      <w:r>
        <w:rPr>
          <w:rFonts w:ascii="宋体" w:hAnsi="宋体" w:eastAsia="宋体"/>
          <w:b/>
          <w:color w:val="auto"/>
          <w:szCs w:val="24"/>
          <w:lang w:val="zh-CN"/>
        </w:rPr>
        <w:t>目录</w:t>
      </w:r>
    </w:p>
    <w:p w14:paraId="6E427687">
      <w:pPr>
        <w:pStyle w:val="15"/>
        <w:rPr>
          <w:color w:val="auto"/>
          <w:szCs w:val="32"/>
        </w:rPr>
      </w:pPr>
      <w:r>
        <w:rPr>
          <w:color w:val="auto"/>
        </w:rPr>
        <w:fldChar w:fldCharType="begin"/>
      </w:r>
      <w:r>
        <w:rPr>
          <w:color w:val="auto"/>
        </w:rPr>
        <w:instrText xml:space="preserve"> TOC \o "1-3" \h \z \u </w:instrText>
      </w:r>
      <w:r>
        <w:rPr>
          <w:color w:val="auto"/>
        </w:rPr>
        <w:fldChar w:fldCharType="separate"/>
      </w:r>
      <w:r>
        <w:rPr>
          <w:color w:val="auto"/>
        </w:rPr>
        <w:fldChar w:fldCharType="begin"/>
      </w:r>
      <w:r>
        <w:rPr>
          <w:color w:val="auto"/>
        </w:rPr>
        <w:instrText xml:space="preserve"> HYPERLINK \l "_Toc156751472" </w:instrText>
      </w:r>
      <w:r>
        <w:rPr>
          <w:color w:val="auto"/>
        </w:rPr>
        <w:fldChar w:fldCharType="separate"/>
      </w:r>
      <w:r>
        <w:rPr>
          <w:rStyle w:val="27"/>
          <w:snapToGrid w:val="0"/>
          <w:color w:val="auto"/>
          <w:sz w:val="24"/>
          <w:szCs w:val="32"/>
        </w:rPr>
        <w:t>一、建设项目基本情况</w:t>
      </w:r>
      <w:r>
        <w:rPr>
          <w:color w:val="auto"/>
          <w:szCs w:val="32"/>
        </w:rPr>
        <w:tab/>
      </w:r>
      <w:r>
        <w:rPr>
          <w:color w:val="auto"/>
          <w:szCs w:val="32"/>
        </w:rPr>
        <w:fldChar w:fldCharType="begin"/>
      </w:r>
      <w:r>
        <w:rPr>
          <w:color w:val="auto"/>
          <w:szCs w:val="32"/>
        </w:rPr>
        <w:instrText xml:space="preserve"> PAGEREF _Toc156751472 \h </w:instrText>
      </w:r>
      <w:r>
        <w:rPr>
          <w:color w:val="auto"/>
          <w:szCs w:val="32"/>
        </w:rPr>
        <w:fldChar w:fldCharType="separate"/>
      </w:r>
      <w:r>
        <w:rPr>
          <w:color w:val="auto"/>
          <w:szCs w:val="32"/>
        </w:rPr>
        <w:t>1</w:t>
      </w:r>
      <w:r>
        <w:rPr>
          <w:color w:val="auto"/>
          <w:szCs w:val="32"/>
        </w:rPr>
        <w:fldChar w:fldCharType="end"/>
      </w:r>
      <w:r>
        <w:rPr>
          <w:color w:val="auto"/>
          <w:szCs w:val="32"/>
        </w:rPr>
        <w:fldChar w:fldCharType="end"/>
      </w:r>
    </w:p>
    <w:p w14:paraId="06CA1CD8">
      <w:pPr>
        <w:pStyle w:val="15"/>
        <w:rPr>
          <w:color w:val="auto"/>
        </w:rPr>
      </w:pPr>
      <w:r>
        <w:rPr>
          <w:color w:val="auto"/>
        </w:rPr>
        <w:fldChar w:fldCharType="begin"/>
      </w:r>
      <w:r>
        <w:rPr>
          <w:color w:val="auto"/>
        </w:rPr>
        <w:instrText xml:space="preserve"> HYPERLINK \l "_Toc156751473" </w:instrText>
      </w:r>
      <w:r>
        <w:rPr>
          <w:color w:val="auto"/>
        </w:rPr>
        <w:fldChar w:fldCharType="separate"/>
      </w:r>
      <w:r>
        <w:rPr>
          <w:rStyle w:val="27"/>
          <w:snapToGrid w:val="0"/>
          <w:color w:val="auto"/>
          <w:sz w:val="24"/>
          <w:szCs w:val="32"/>
        </w:rPr>
        <w:t>二、建设项目工程分析</w:t>
      </w:r>
      <w:r>
        <w:rPr>
          <w:color w:val="auto"/>
        </w:rPr>
        <w:tab/>
      </w:r>
      <w:r>
        <w:rPr>
          <w:color w:val="auto"/>
        </w:rPr>
        <w:fldChar w:fldCharType="begin"/>
      </w:r>
      <w:r>
        <w:rPr>
          <w:color w:val="auto"/>
        </w:rPr>
        <w:instrText xml:space="preserve"> PAGEREF _Toc156751473 \h </w:instrText>
      </w:r>
      <w:r>
        <w:rPr>
          <w:color w:val="auto"/>
        </w:rPr>
        <w:fldChar w:fldCharType="separate"/>
      </w:r>
      <w:r>
        <w:rPr>
          <w:color w:val="auto"/>
        </w:rPr>
        <w:t>27</w:t>
      </w:r>
      <w:r>
        <w:rPr>
          <w:color w:val="auto"/>
        </w:rPr>
        <w:fldChar w:fldCharType="end"/>
      </w:r>
      <w:r>
        <w:rPr>
          <w:color w:val="auto"/>
        </w:rPr>
        <w:fldChar w:fldCharType="end"/>
      </w:r>
    </w:p>
    <w:p w14:paraId="12C1516E">
      <w:pPr>
        <w:pStyle w:val="15"/>
        <w:rPr>
          <w:color w:val="auto"/>
        </w:rPr>
      </w:pPr>
      <w:r>
        <w:rPr>
          <w:color w:val="auto"/>
        </w:rPr>
        <w:fldChar w:fldCharType="begin"/>
      </w:r>
      <w:r>
        <w:rPr>
          <w:color w:val="auto"/>
        </w:rPr>
        <w:instrText xml:space="preserve"> HYPERLINK \l "_Toc156751474" </w:instrText>
      </w:r>
      <w:r>
        <w:rPr>
          <w:color w:val="auto"/>
        </w:rPr>
        <w:fldChar w:fldCharType="separate"/>
      </w:r>
      <w:r>
        <w:rPr>
          <w:rStyle w:val="27"/>
          <w:snapToGrid w:val="0"/>
          <w:color w:val="auto"/>
          <w:sz w:val="24"/>
          <w:szCs w:val="32"/>
        </w:rPr>
        <w:t>三、区域环境质量现状、环境保护目标及评价标准</w:t>
      </w:r>
      <w:r>
        <w:rPr>
          <w:color w:val="auto"/>
        </w:rPr>
        <w:tab/>
      </w:r>
      <w:r>
        <w:rPr>
          <w:color w:val="auto"/>
        </w:rPr>
        <w:fldChar w:fldCharType="begin"/>
      </w:r>
      <w:r>
        <w:rPr>
          <w:color w:val="auto"/>
        </w:rPr>
        <w:instrText xml:space="preserve"> PAGEREF _Toc156751474 \h </w:instrText>
      </w:r>
      <w:r>
        <w:rPr>
          <w:color w:val="auto"/>
        </w:rPr>
        <w:fldChar w:fldCharType="separate"/>
      </w:r>
      <w:r>
        <w:rPr>
          <w:color w:val="auto"/>
        </w:rPr>
        <w:t>55</w:t>
      </w:r>
      <w:r>
        <w:rPr>
          <w:color w:val="auto"/>
        </w:rPr>
        <w:fldChar w:fldCharType="end"/>
      </w:r>
      <w:r>
        <w:rPr>
          <w:color w:val="auto"/>
        </w:rPr>
        <w:fldChar w:fldCharType="end"/>
      </w:r>
    </w:p>
    <w:p w14:paraId="1D5D9CF7">
      <w:pPr>
        <w:pStyle w:val="15"/>
        <w:rPr>
          <w:color w:val="auto"/>
        </w:rPr>
      </w:pPr>
      <w:r>
        <w:rPr>
          <w:color w:val="auto"/>
        </w:rPr>
        <w:fldChar w:fldCharType="begin"/>
      </w:r>
      <w:r>
        <w:rPr>
          <w:color w:val="auto"/>
        </w:rPr>
        <w:instrText xml:space="preserve"> HYPERLINK \l "_Toc156751475" </w:instrText>
      </w:r>
      <w:r>
        <w:rPr>
          <w:color w:val="auto"/>
        </w:rPr>
        <w:fldChar w:fldCharType="separate"/>
      </w:r>
      <w:r>
        <w:rPr>
          <w:rStyle w:val="27"/>
          <w:snapToGrid w:val="0"/>
          <w:color w:val="auto"/>
          <w:sz w:val="24"/>
          <w:szCs w:val="32"/>
        </w:rPr>
        <w:t>四、主要环境影响和保护措施</w:t>
      </w:r>
      <w:r>
        <w:rPr>
          <w:color w:val="auto"/>
        </w:rPr>
        <w:tab/>
      </w:r>
      <w:r>
        <w:rPr>
          <w:color w:val="auto"/>
        </w:rPr>
        <w:fldChar w:fldCharType="begin"/>
      </w:r>
      <w:r>
        <w:rPr>
          <w:color w:val="auto"/>
        </w:rPr>
        <w:instrText xml:space="preserve"> PAGEREF _Toc156751475 \h </w:instrText>
      </w:r>
      <w:r>
        <w:rPr>
          <w:color w:val="auto"/>
        </w:rPr>
        <w:fldChar w:fldCharType="separate"/>
      </w:r>
      <w:r>
        <w:rPr>
          <w:color w:val="auto"/>
        </w:rPr>
        <w:t>67</w:t>
      </w:r>
      <w:r>
        <w:rPr>
          <w:color w:val="auto"/>
        </w:rPr>
        <w:fldChar w:fldCharType="end"/>
      </w:r>
      <w:r>
        <w:rPr>
          <w:color w:val="auto"/>
        </w:rPr>
        <w:fldChar w:fldCharType="end"/>
      </w:r>
    </w:p>
    <w:p w14:paraId="2B5B6575">
      <w:pPr>
        <w:pStyle w:val="15"/>
        <w:rPr>
          <w:color w:val="auto"/>
        </w:rPr>
      </w:pPr>
      <w:r>
        <w:rPr>
          <w:color w:val="auto"/>
        </w:rPr>
        <w:fldChar w:fldCharType="begin"/>
      </w:r>
      <w:r>
        <w:rPr>
          <w:color w:val="auto"/>
        </w:rPr>
        <w:instrText xml:space="preserve"> HYPERLINK \l "_Toc156751476" </w:instrText>
      </w:r>
      <w:r>
        <w:rPr>
          <w:color w:val="auto"/>
        </w:rPr>
        <w:fldChar w:fldCharType="separate"/>
      </w:r>
      <w:r>
        <w:rPr>
          <w:rStyle w:val="27"/>
          <w:snapToGrid w:val="0"/>
          <w:color w:val="auto"/>
          <w:sz w:val="24"/>
          <w:szCs w:val="32"/>
        </w:rPr>
        <w:t>五、环境保护措施监督检查清单</w:t>
      </w:r>
      <w:r>
        <w:rPr>
          <w:color w:val="auto"/>
        </w:rPr>
        <w:tab/>
      </w:r>
      <w:r>
        <w:rPr>
          <w:color w:val="auto"/>
        </w:rPr>
        <w:fldChar w:fldCharType="begin"/>
      </w:r>
      <w:r>
        <w:rPr>
          <w:color w:val="auto"/>
        </w:rPr>
        <w:instrText xml:space="preserve"> PAGEREF _Toc156751476 \h </w:instrText>
      </w:r>
      <w:r>
        <w:rPr>
          <w:color w:val="auto"/>
        </w:rPr>
        <w:fldChar w:fldCharType="separate"/>
      </w:r>
      <w:r>
        <w:rPr>
          <w:color w:val="auto"/>
        </w:rPr>
        <w:t>89</w:t>
      </w:r>
      <w:r>
        <w:rPr>
          <w:color w:val="auto"/>
        </w:rPr>
        <w:fldChar w:fldCharType="end"/>
      </w:r>
      <w:r>
        <w:rPr>
          <w:color w:val="auto"/>
        </w:rPr>
        <w:fldChar w:fldCharType="end"/>
      </w:r>
    </w:p>
    <w:p w14:paraId="6C4FF60B">
      <w:pPr>
        <w:pStyle w:val="15"/>
        <w:rPr>
          <w:color w:val="auto"/>
        </w:rPr>
      </w:pPr>
      <w:r>
        <w:rPr>
          <w:color w:val="auto"/>
        </w:rPr>
        <w:fldChar w:fldCharType="begin"/>
      </w:r>
      <w:r>
        <w:rPr>
          <w:color w:val="auto"/>
        </w:rPr>
        <w:instrText xml:space="preserve"> HYPERLINK \l "_Toc156751477" </w:instrText>
      </w:r>
      <w:r>
        <w:rPr>
          <w:color w:val="auto"/>
        </w:rPr>
        <w:fldChar w:fldCharType="separate"/>
      </w:r>
      <w:r>
        <w:rPr>
          <w:rStyle w:val="27"/>
          <w:snapToGrid w:val="0"/>
          <w:color w:val="auto"/>
          <w:sz w:val="24"/>
          <w:szCs w:val="32"/>
        </w:rPr>
        <w:t>六、结论</w:t>
      </w:r>
      <w:r>
        <w:rPr>
          <w:color w:val="auto"/>
        </w:rPr>
        <w:tab/>
      </w:r>
      <w:r>
        <w:rPr>
          <w:color w:val="auto"/>
        </w:rPr>
        <w:fldChar w:fldCharType="begin"/>
      </w:r>
      <w:r>
        <w:rPr>
          <w:color w:val="auto"/>
        </w:rPr>
        <w:instrText xml:space="preserve"> PAGEREF _Toc156751477 \h </w:instrText>
      </w:r>
      <w:r>
        <w:rPr>
          <w:color w:val="auto"/>
        </w:rPr>
        <w:fldChar w:fldCharType="separate"/>
      </w:r>
      <w:r>
        <w:rPr>
          <w:color w:val="auto"/>
        </w:rPr>
        <w:t>91</w:t>
      </w:r>
      <w:r>
        <w:rPr>
          <w:color w:val="auto"/>
        </w:rPr>
        <w:fldChar w:fldCharType="end"/>
      </w:r>
      <w:r>
        <w:rPr>
          <w:color w:val="auto"/>
        </w:rPr>
        <w:fldChar w:fldCharType="end"/>
      </w:r>
    </w:p>
    <w:p w14:paraId="529EFB35">
      <w:pPr>
        <w:pStyle w:val="15"/>
        <w:rPr>
          <w:color w:val="auto"/>
        </w:rPr>
      </w:pPr>
      <w:r>
        <w:rPr>
          <w:color w:val="auto"/>
        </w:rPr>
        <w:fldChar w:fldCharType="begin"/>
      </w:r>
      <w:r>
        <w:rPr>
          <w:color w:val="auto"/>
        </w:rPr>
        <w:instrText xml:space="preserve"> HYPERLINK \l "_Toc156751478" </w:instrText>
      </w:r>
      <w:r>
        <w:rPr>
          <w:color w:val="auto"/>
        </w:rPr>
        <w:fldChar w:fldCharType="separate"/>
      </w:r>
      <w:r>
        <w:rPr>
          <w:rStyle w:val="27"/>
          <w:snapToGrid w:val="0"/>
          <w:color w:val="auto"/>
          <w:sz w:val="24"/>
          <w:szCs w:val="32"/>
        </w:rPr>
        <w:t>附表</w:t>
      </w:r>
      <w:r>
        <w:rPr>
          <w:color w:val="auto"/>
        </w:rPr>
        <w:tab/>
      </w:r>
      <w:r>
        <w:rPr>
          <w:color w:val="auto"/>
        </w:rPr>
        <w:fldChar w:fldCharType="begin"/>
      </w:r>
      <w:r>
        <w:rPr>
          <w:color w:val="auto"/>
        </w:rPr>
        <w:instrText xml:space="preserve"> PAGEREF _Toc156751478 \h </w:instrText>
      </w:r>
      <w:r>
        <w:rPr>
          <w:color w:val="auto"/>
        </w:rPr>
        <w:fldChar w:fldCharType="separate"/>
      </w:r>
      <w:r>
        <w:rPr>
          <w:color w:val="auto"/>
        </w:rPr>
        <w:t>92</w:t>
      </w:r>
      <w:r>
        <w:rPr>
          <w:color w:val="auto"/>
        </w:rPr>
        <w:fldChar w:fldCharType="end"/>
      </w:r>
      <w:r>
        <w:rPr>
          <w:color w:val="auto"/>
        </w:rPr>
        <w:fldChar w:fldCharType="end"/>
      </w:r>
    </w:p>
    <w:p w14:paraId="3817F9CB">
      <w:pPr>
        <w:spacing w:line="360" w:lineRule="auto"/>
        <w:rPr>
          <w:color w:val="auto"/>
        </w:rPr>
      </w:pPr>
      <w:r>
        <w:rPr>
          <w:b/>
          <w:bCs/>
          <w:color w:val="auto"/>
          <w:sz w:val="24"/>
          <w:lang w:val="zh-CN"/>
        </w:rPr>
        <w:fldChar w:fldCharType="end"/>
      </w:r>
    </w:p>
    <w:p w14:paraId="0AD6BCE9">
      <w:pPr>
        <w:pStyle w:val="43"/>
        <w:spacing w:line="360" w:lineRule="auto"/>
        <w:rPr>
          <w:rFonts w:eastAsia="宋体"/>
          <w:color w:val="auto"/>
        </w:rPr>
      </w:pPr>
      <w:r>
        <w:rPr>
          <w:rFonts w:eastAsia="宋体"/>
          <w:color w:val="auto"/>
        </w:rPr>
        <w:t>附图：</w:t>
      </w:r>
    </w:p>
    <w:p w14:paraId="6B19FA27">
      <w:pPr>
        <w:pStyle w:val="43"/>
        <w:spacing w:line="360" w:lineRule="auto"/>
        <w:rPr>
          <w:rFonts w:eastAsia="宋体"/>
          <w:b w:val="0"/>
          <w:bCs w:val="0"/>
          <w:color w:val="auto"/>
        </w:rPr>
      </w:pPr>
      <w:r>
        <w:rPr>
          <w:rFonts w:eastAsia="宋体"/>
          <w:b w:val="0"/>
          <w:bCs w:val="0"/>
          <w:color w:val="auto"/>
        </w:rPr>
        <w:t>附图1   建设项目地理位置图</w:t>
      </w:r>
    </w:p>
    <w:p w14:paraId="115DE531">
      <w:pPr>
        <w:pStyle w:val="43"/>
        <w:spacing w:line="360" w:lineRule="auto"/>
        <w:rPr>
          <w:rFonts w:eastAsia="宋体"/>
          <w:b w:val="0"/>
          <w:bCs w:val="0"/>
          <w:color w:val="auto"/>
        </w:rPr>
      </w:pPr>
      <w:r>
        <w:rPr>
          <w:rFonts w:hint="eastAsia" w:eastAsia="宋体"/>
          <w:b w:val="0"/>
          <w:bCs w:val="0"/>
          <w:color w:val="auto"/>
        </w:rPr>
        <w:t>附图2   连云港石化产业基地总体规划图</w:t>
      </w:r>
    </w:p>
    <w:p w14:paraId="3D3ADCD2">
      <w:pPr>
        <w:pStyle w:val="43"/>
        <w:spacing w:line="360" w:lineRule="auto"/>
        <w:rPr>
          <w:rFonts w:eastAsia="宋体"/>
          <w:b w:val="0"/>
          <w:bCs w:val="0"/>
          <w:color w:val="auto"/>
        </w:rPr>
      </w:pPr>
      <w:r>
        <w:rPr>
          <w:rFonts w:hint="eastAsia" w:eastAsia="宋体"/>
          <w:b w:val="0"/>
          <w:bCs w:val="0"/>
          <w:color w:val="auto"/>
        </w:rPr>
        <w:t>附图3   连云港石化产业基地用地规划图</w:t>
      </w:r>
    </w:p>
    <w:p w14:paraId="5E9E9D42">
      <w:pPr>
        <w:pStyle w:val="43"/>
        <w:spacing w:line="360" w:lineRule="auto"/>
        <w:rPr>
          <w:rFonts w:eastAsia="宋体"/>
          <w:b w:val="0"/>
          <w:bCs w:val="0"/>
          <w:color w:val="auto"/>
        </w:rPr>
      </w:pPr>
      <w:r>
        <w:rPr>
          <w:rFonts w:eastAsia="宋体"/>
          <w:b w:val="0"/>
          <w:bCs w:val="0"/>
          <w:color w:val="auto"/>
        </w:rPr>
        <w:t>附图</w:t>
      </w:r>
      <w:r>
        <w:rPr>
          <w:rFonts w:hint="eastAsia" w:eastAsia="宋体"/>
          <w:b w:val="0"/>
          <w:bCs w:val="0"/>
          <w:color w:val="auto"/>
        </w:rPr>
        <w:t>4</w:t>
      </w:r>
      <w:r>
        <w:rPr>
          <w:rFonts w:eastAsia="宋体"/>
          <w:b w:val="0"/>
          <w:bCs w:val="0"/>
          <w:color w:val="auto"/>
        </w:rPr>
        <w:t xml:space="preserve">   厂区平面布置图</w:t>
      </w:r>
    </w:p>
    <w:p w14:paraId="0603C6D2">
      <w:pPr>
        <w:pStyle w:val="43"/>
        <w:spacing w:line="360" w:lineRule="auto"/>
        <w:rPr>
          <w:rFonts w:eastAsia="宋体"/>
          <w:b w:val="0"/>
          <w:bCs w:val="0"/>
          <w:color w:val="auto"/>
        </w:rPr>
      </w:pPr>
      <w:r>
        <w:rPr>
          <w:rFonts w:eastAsia="宋体"/>
          <w:b w:val="0"/>
          <w:bCs w:val="0"/>
          <w:color w:val="auto"/>
        </w:rPr>
        <w:t>附图</w:t>
      </w:r>
      <w:r>
        <w:rPr>
          <w:rFonts w:hint="eastAsia" w:eastAsia="宋体"/>
          <w:b w:val="0"/>
          <w:bCs w:val="0"/>
          <w:color w:val="auto"/>
        </w:rPr>
        <w:t>5</w:t>
      </w:r>
      <w:r>
        <w:rPr>
          <w:rFonts w:eastAsia="宋体"/>
          <w:b w:val="0"/>
          <w:bCs w:val="0"/>
          <w:color w:val="auto"/>
        </w:rPr>
        <w:t xml:space="preserve">   </w:t>
      </w:r>
      <w:r>
        <w:rPr>
          <w:rFonts w:hint="eastAsia" w:eastAsia="宋体"/>
          <w:b w:val="0"/>
          <w:bCs w:val="0"/>
          <w:color w:val="auto"/>
        </w:rPr>
        <w:t>厂区周边5</w:t>
      </w:r>
      <w:r>
        <w:rPr>
          <w:rFonts w:eastAsia="宋体"/>
          <w:b w:val="0"/>
          <w:bCs w:val="0"/>
          <w:color w:val="auto"/>
        </w:rPr>
        <w:t>00</w:t>
      </w:r>
      <w:r>
        <w:rPr>
          <w:rFonts w:hint="eastAsia" w:eastAsia="宋体"/>
          <w:b w:val="0"/>
          <w:bCs w:val="0"/>
          <w:color w:val="auto"/>
        </w:rPr>
        <w:t>米环境概况</w:t>
      </w:r>
      <w:r>
        <w:rPr>
          <w:rFonts w:eastAsia="宋体"/>
          <w:b w:val="0"/>
          <w:bCs w:val="0"/>
          <w:color w:val="auto"/>
        </w:rPr>
        <w:t>图</w:t>
      </w:r>
    </w:p>
    <w:p w14:paraId="59EF1199">
      <w:pPr>
        <w:pStyle w:val="43"/>
        <w:spacing w:line="360" w:lineRule="auto"/>
        <w:rPr>
          <w:rFonts w:eastAsia="宋体"/>
          <w:b w:val="0"/>
          <w:bCs w:val="0"/>
          <w:color w:val="auto"/>
        </w:rPr>
      </w:pPr>
      <w:r>
        <w:rPr>
          <w:rFonts w:eastAsia="宋体"/>
          <w:b w:val="0"/>
          <w:bCs w:val="0"/>
          <w:color w:val="auto"/>
        </w:rPr>
        <w:t>附图</w:t>
      </w:r>
      <w:r>
        <w:rPr>
          <w:rFonts w:hint="eastAsia" w:eastAsia="宋体"/>
          <w:b w:val="0"/>
          <w:bCs w:val="0"/>
          <w:color w:val="auto"/>
        </w:rPr>
        <w:t>6</w:t>
      </w:r>
      <w:r>
        <w:rPr>
          <w:rFonts w:eastAsia="宋体"/>
          <w:b w:val="0"/>
          <w:bCs w:val="0"/>
          <w:color w:val="auto"/>
        </w:rPr>
        <w:t xml:space="preserve">   </w:t>
      </w:r>
      <w:r>
        <w:rPr>
          <w:rFonts w:hint="eastAsia" w:eastAsia="宋体"/>
          <w:b w:val="0"/>
          <w:bCs w:val="0"/>
          <w:color w:val="auto"/>
        </w:rPr>
        <w:t>实验室平面</w:t>
      </w:r>
      <w:r>
        <w:rPr>
          <w:rFonts w:eastAsia="宋体"/>
          <w:b w:val="0"/>
          <w:bCs w:val="0"/>
          <w:color w:val="auto"/>
        </w:rPr>
        <w:t>布置图</w:t>
      </w:r>
    </w:p>
    <w:p w14:paraId="63E9EE01">
      <w:pPr>
        <w:pStyle w:val="43"/>
        <w:spacing w:line="360" w:lineRule="auto"/>
        <w:rPr>
          <w:rFonts w:eastAsia="宋体"/>
          <w:b w:val="0"/>
          <w:bCs w:val="0"/>
          <w:color w:val="auto"/>
        </w:rPr>
      </w:pPr>
      <w:r>
        <w:rPr>
          <w:rFonts w:eastAsia="宋体"/>
          <w:b w:val="0"/>
          <w:bCs w:val="0"/>
          <w:color w:val="auto"/>
        </w:rPr>
        <w:t>附</w:t>
      </w:r>
      <w:r>
        <w:rPr>
          <w:rFonts w:hint="eastAsia" w:eastAsia="宋体"/>
          <w:b w:val="0"/>
          <w:bCs w:val="0"/>
          <w:color w:val="auto"/>
        </w:rPr>
        <w:t>图7   本项目与江苏省生态空间管控区域位置关系图</w:t>
      </w:r>
    </w:p>
    <w:p w14:paraId="38516E0C">
      <w:pPr>
        <w:pStyle w:val="43"/>
        <w:spacing w:line="360" w:lineRule="auto"/>
        <w:rPr>
          <w:rFonts w:eastAsia="宋体"/>
          <w:b w:val="0"/>
          <w:bCs w:val="0"/>
          <w:color w:val="auto"/>
        </w:rPr>
      </w:pPr>
      <w:r>
        <w:rPr>
          <w:rFonts w:eastAsia="宋体"/>
          <w:b w:val="0"/>
          <w:bCs w:val="0"/>
          <w:color w:val="auto"/>
        </w:rPr>
        <w:t>附</w:t>
      </w:r>
      <w:r>
        <w:rPr>
          <w:rFonts w:hint="eastAsia" w:eastAsia="宋体"/>
          <w:b w:val="0"/>
          <w:bCs w:val="0"/>
          <w:color w:val="auto"/>
        </w:rPr>
        <w:t>图8   本项目与江苏省国家级生态保护红线规划位置关系图</w:t>
      </w:r>
    </w:p>
    <w:p w14:paraId="1D2AF498">
      <w:pPr>
        <w:pStyle w:val="43"/>
        <w:spacing w:line="360" w:lineRule="auto"/>
        <w:rPr>
          <w:rFonts w:eastAsia="宋体"/>
          <w:b w:val="0"/>
          <w:bCs w:val="0"/>
          <w:color w:val="auto"/>
        </w:rPr>
      </w:pPr>
      <w:r>
        <w:rPr>
          <w:rFonts w:eastAsia="宋体"/>
          <w:b w:val="0"/>
          <w:bCs w:val="0"/>
          <w:color w:val="auto"/>
        </w:rPr>
        <w:t>附</w:t>
      </w:r>
      <w:r>
        <w:rPr>
          <w:rFonts w:hint="eastAsia" w:eastAsia="宋体"/>
          <w:b w:val="0"/>
          <w:bCs w:val="0"/>
          <w:color w:val="auto"/>
        </w:rPr>
        <w:t>图9   本项目与江苏省海洋生态红线位置关系图</w:t>
      </w:r>
    </w:p>
    <w:p w14:paraId="0B1495AE">
      <w:pPr>
        <w:pStyle w:val="43"/>
        <w:spacing w:line="360" w:lineRule="auto"/>
        <w:rPr>
          <w:rFonts w:eastAsia="宋体"/>
          <w:b w:val="0"/>
          <w:bCs w:val="0"/>
          <w:color w:val="auto"/>
        </w:rPr>
      </w:pPr>
      <w:r>
        <w:rPr>
          <w:rFonts w:hint="eastAsia" w:eastAsia="宋体"/>
          <w:b w:val="0"/>
          <w:bCs w:val="0"/>
          <w:color w:val="auto"/>
        </w:rPr>
        <w:t>附图10  厂区危险单元、应急疏散路线及临时安置场所示意图</w:t>
      </w:r>
    </w:p>
    <w:p w14:paraId="46B138C5">
      <w:pPr>
        <w:pStyle w:val="43"/>
        <w:spacing w:line="360" w:lineRule="auto"/>
        <w:rPr>
          <w:rFonts w:eastAsia="宋体"/>
          <w:b w:val="0"/>
          <w:bCs w:val="0"/>
          <w:color w:val="auto"/>
        </w:rPr>
      </w:pPr>
      <w:r>
        <w:rPr>
          <w:rFonts w:hint="eastAsia" w:eastAsia="宋体"/>
          <w:b w:val="0"/>
          <w:bCs w:val="0"/>
          <w:color w:val="auto"/>
        </w:rPr>
        <w:t>附图11   全厂雨污水管网及事故应急池位置图</w:t>
      </w:r>
    </w:p>
    <w:p w14:paraId="6907B653">
      <w:pPr>
        <w:pStyle w:val="43"/>
        <w:spacing w:line="360" w:lineRule="auto"/>
        <w:rPr>
          <w:rFonts w:eastAsia="宋体"/>
          <w:color w:val="auto"/>
        </w:rPr>
      </w:pPr>
      <w:r>
        <w:rPr>
          <w:rFonts w:eastAsia="宋体"/>
          <w:color w:val="auto"/>
        </w:rPr>
        <w:t>附件：</w:t>
      </w:r>
    </w:p>
    <w:p w14:paraId="67EA807E">
      <w:pPr>
        <w:pStyle w:val="43"/>
        <w:spacing w:line="360" w:lineRule="auto"/>
        <w:rPr>
          <w:rFonts w:eastAsia="宋体"/>
          <w:b w:val="0"/>
          <w:bCs w:val="0"/>
          <w:color w:val="auto"/>
        </w:rPr>
      </w:pPr>
      <w:r>
        <w:rPr>
          <w:rFonts w:eastAsia="宋体"/>
          <w:b w:val="0"/>
          <w:bCs w:val="0"/>
          <w:color w:val="auto"/>
        </w:rPr>
        <w:t>附件1  备案证</w:t>
      </w:r>
    </w:p>
    <w:p w14:paraId="2A5042A8">
      <w:pPr>
        <w:pStyle w:val="43"/>
        <w:spacing w:line="360" w:lineRule="auto"/>
        <w:rPr>
          <w:rFonts w:eastAsia="宋体"/>
          <w:b w:val="0"/>
          <w:bCs w:val="0"/>
          <w:color w:val="auto"/>
        </w:rPr>
      </w:pPr>
      <w:r>
        <w:rPr>
          <w:rFonts w:eastAsia="宋体"/>
          <w:b w:val="0"/>
          <w:bCs w:val="0"/>
          <w:color w:val="auto"/>
        </w:rPr>
        <w:t xml:space="preserve">附件2  </w:t>
      </w:r>
      <w:r>
        <w:rPr>
          <w:rFonts w:hint="eastAsia" w:eastAsia="宋体"/>
          <w:b w:val="0"/>
          <w:bCs w:val="0"/>
          <w:color w:val="auto"/>
        </w:rPr>
        <w:t>委托书</w:t>
      </w:r>
    </w:p>
    <w:p w14:paraId="6419FB8C">
      <w:pPr>
        <w:pStyle w:val="43"/>
        <w:spacing w:line="360" w:lineRule="auto"/>
        <w:rPr>
          <w:rFonts w:eastAsia="宋体"/>
          <w:b w:val="0"/>
          <w:bCs w:val="0"/>
          <w:color w:val="auto"/>
        </w:rPr>
      </w:pPr>
      <w:r>
        <w:rPr>
          <w:rFonts w:hint="eastAsia" w:eastAsia="宋体"/>
          <w:b w:val="0"/>
          <w:bCs w:val="0"/>
          <w:color w:val="auto"/>
        </w:rPr>
        <w:t>附件3</w:t>
      </w:r>
      <w:r>
        <w:rPr>
          <w:rFonts w:eastAsia="宋体"/>
          <w:b w:val="0"/>
          <w:bCs w:val="0"/>
          <w:color w:val="auto"/>
        </w:rPr>
        <w:t xml:space="preserve">  </w:t>
      </w:r>
      <w:r>
        <w:rPr>
          <w:rFonts w:hint="eastAsia" w:eastAsia="宋体"/>
          <w:b w:val="0"/>
          <w:bCs w:val="0"/>
          <w:color w:val="auto"/>
        </w:rPr>
        <w:t>关于项目环境影响报告表编制内容的确认声明</w:t>
      </w:r>
    </w:p>
    <w:p w14:paraId="0CBD80BB">
      <w:pPr>
        <w:pStyle w:val="43"/>
        <w:spacing w:line="360" w:lineRule="auto"/>
        <w:rPr>
          <w:rFonts w:eastAsia="宋体"/>
          <w:b w:val="0"/>
          <w:bCs w:val="0"/>
          <w:color w:val="auto"/>
        </w:rPr>
      </w:pPr>
      <w:r>
        <w:rPr>
          <w:rFonts w:hint="eastAsia" w:eastAsia="宋体"/>
          <w:b w:val="0"/>
          <w:bCs w:val="0"/>
          <w:color w:val="auto"/>
        </w:rPr>
        <w:t xml:space="preserve">附件4 </w:t>
      </w:r>
      <w:r>
        <w:rPr>
          <w:rFonts w:eastAsia="宋体"/>
          <w:b w:val="0"/>
          <w:bCs w:val="0"/>
          <w:color w:val="auto"/>
        </w:rPr>
        <w:t xml:space="preserve"> </w:t>
      </w:r>
      <w:r>
        <w:rPr>
          <w:rFonts w:hint="eastAsia" w:eastAsia="宋体"/>
          <w:b w:val="0"/>
          <w:bCs w:val="0"/>
          <w:color w:val="auto"/>
        </w:rPr>
        <w:t>现有项目环评批复&amp;验收材料</w:t>
      </w:r>
    </w:p>
    <w:p w14:paraId="2A7FA1B2">
      <w:pPr>
        <w:pStyle w:val="43"/>
        <w:spacing w:line="360" w:lineRule="auto"/>
        <w:rPr>
          <w:rFonts w:eastAsia="宋体"/>
          <w:b w:val="0"/>
          <w:bCs w:val="0"/>
          <w:color w:val="auto"/>
        </w:rPr>
      </w:pPr>
      <w:r>
        <w:rPr>
          <w:rFonts w:hint="eastAsia" w:eastAsia="宋体"/>
          <w:b w:val="0"/>
          <w:bCs w:val="0"/>
          <w:color w:val="auto"/>
        </w:rPr>
        <w:t>附件5</w:t>
      </w:r>
      <w:r>
        <w:rPr>
          <w:rFonts w:eastAsia="宋体"/>
          <w:b w:val="0"/>
          <w:bCs w:val="0"/>
          <w:color w:val="auto"/>
        </w:rPr>
        <w:t xml:space="preserve">  </w:t>
      </w:r>
      <w:r>
        <w:rPr>
          <w:rFonts w:hint="eastAsia" w:eastAsia="宋体"/>
          <w:b w:val="0"/>
          <w:bCs w:val="0"/>
          <w:color w:val="auto"/>
        </w:rPr>
        <w:t>省生态环境厅关于连云港石化产业基地总体发展规划修编环境影响报告书的审查意见</w:t>
      </w:r>
    </w:p>
    <w:p w14:paraId="5C53DE7C">
      <w:pPr>
        <w:pStyle w:val="43"/>
        <w:spacing w:line="360" w:lineRule="auto"/>
        <w:rPr>
          <w:rFonts w:eastAsia="宋体"/>
          <w:b w:val="0"/>
          <w:bCs w:val="0"/>
          <w:color w:val="auto"/>
        </w:rPr>
      </w:pPr>
      <w:r>
        <w:rPr>
          <w:rFonts w:hint="eastAsia" w:eastAsia="宋体"/>
          <w:b w:val="0"/>
          <w:bCs w:val="0"/>
          <w:color w:val="auto"/>
        </w:rPr>
        <w:t>附件6</w:t>
      </w:r>
      <w:r>
        <w:rPr>
          <w:rFonts w:eastAsia="宋体"/>
          <w:b w:val="0"/>
          <w:bCs w:val="0"/>
          <w:color w:val="auto"/>
        </w:rPr>
        <w:t xml:space="preserve"> </w:t>
      </w:r>
      <w:r>
        <w:rPr>
          <w:rFonts w:hint="eastAsia" w:eastAsia="宋体"/>
          <w:b w:val="0"/>
          <w:bCs w:val="0"/>
          <w:color w:val="auto"/>
        </w:rPr>
        <w:t xml:space="preserve"> 排污许可证</w:t>
      </w:r>
    </w:p>
    <w:p w14:paraId="280A4578">
      <w:pPr>
        <w:pStyle w:val="43"/>
        <w:spacing w:line="360" w:lineRule="auto"/>
        <w:rPr>
          <w:rFonts w:eastAsia="宋体"/>
          <w:b w:val="0"/>
          <w:bCs w:val="0"/>
          <w:color w:val="auto"/>
        </w:rPr>
      </w:pPr>
      <w:r>
        <w:rPr>
          <w:rFonts w:hint="eastAsia" w:eastAsia="宋体"/>
          <w:b w:val="0"/>
          <w:bCs w:val="0"/>
          <w:color w:val="auto"/>
        </w:rPr>
        <w:t>附件7  突发环境事件应急预案备案表</w:t>
      </w:r>
    </w:p>
    <w:p w14:paraId="581174F9">
      <w:pPr>
        <w:pStyle w:val="43"/>
        <w:spacing w:line="360" w:lineRule="auto"/>
        <w:rPr>
          <w:rFonts w:eastAsia="宋体"/>
          <w:b w:val="0"/>
          <w:bCs w:val="0"/>
          <w:color w:val="auto"/>
        </w:rPr>
      </w:pPr>
      <w:r>
        <w:rPr>
          <w:rFonts w:hint="eastAsia" w:eastAsia="宋体"/>
          <w:b w:val="0"/>
          <w:bCs w:val="0"/>
          <w:color w:val="auto"/>
        </w:rPr>
        <w:t>附件8</w:t>
      </w:r>
      <w:r>
        <w:rPr>
          <w:rFonts w:eastAsia="宋体"/>
          <w:b w:val="0"/>
          <w:bCs w:val="0"/>
          <w:color w:val="auto"/>
        </w:rPr>
        <w:t xml:space="preserve"> </w:t>
      </w:r>
      <w:r>
        <w:rPr>
          <w:rFonts w:hint="eastAsia" w:eastAsia="宋体"/>
          <w:b w:val="0"/>
          <w:bCs w:val="0"/>
          <w:color w:val="auto"/>
        </w:rPr>
        <w:t xml:space="preserve"> </w:t>
      </w:r>
      <w:r>
        <w:rPr>
          <w:rFonts w:eastAsia="宋体"/>
          <w:b w:val="0"/>
          <w:bCs w:val="0"/>
          <w:color w:val="auto"/>
        </w:rPr>
        <w:t>江苏瑞兆科电子材料有限公司污水处理协议</w:t>
      </w:r>
    </w:p>
    <w:p w14:paraId="7A9CB150">
      <w:pPr>
        <w:pStyle w:val="43"/>
        <w:spacing w:line="360" w:lineRule="auto"/>
        <w:rPr>
          <w:rFonts w:eastAsia="宋体"/>
          <w:b w:val="0"/>
          <w:bCs w:val="0"/>
          <w:color w:val="auto"/>
        </w:rPr>
        <w:sectPr>
          <w:type w:val="nextColumn"/>
          <w:pgSz w:w="11906" w:h="16838"/>
          <w:pgMar w:top="1418" w:right="1418" w:bottom="1418" w:left="1418" w:header="851" w:footer="851" w:gutter="0"/>
          <w:pgNumType w:start="1"/>
          <w:cols w:space="720" w:num="1"/>
          <w:docGrid w:linePitch="312" w:charSpace="0"/>
        </w:sectPr>
      </w:pPr>
      <w:r>
        <w:rPr>
          <w:rFonts w:hint="eastAsia" w:eastAsia="宋体"/>
          <w:b w:val="0"/>
          <w:bCs w:val="0"/>
          <w:color w:val="auto"/>
        </w:rPr>
        <w:t>附件9  江苏省生态环境分区管控综合查询报告</w:t>
      </w:r>
    </w:p>
    <w:p w14:paraId="182C0322">
      <w:pPr>
        <w:pStyle w:val="18"/>
        <w:rPr>
          <w:snapToGrid w:val="0"/>
          <w:color w:val="auto"/>
        </w:rPr>
      </w:pPr>
      <w:bookmarkStart w:id="2" w:name="_Toc156751472"/>
      <w:r>
        <w:rPr>
          <w:snapToGrid w:val="0"/>
          <w:color w:val="auto"/>
        </w:rPr>
        <w:t>一、建设项目基本情况</w:t>
      </w:r>
      <w:bookmarkEnd w:id="2"/>
    </w:p>
    <w:tbl>
      <w:tblPr>
        <w:tblStyle w:val="21"/>
        <w:tblW w:w="4988"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306"/>
        <w:gridCol w:w="1637"/>
        <w:gridCol w:w="2443"/>
        <w:gridCol w:w="3642"/>
      </w:tblGrid>
      <w:tr w14:paraId="6880C41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723" w:type="pct"/>
            <w:tcMar>
              <w:top w:w="16" w:type="dxa"/>
              <w:left w:w="16" w:type="dxa"/>
              <w:right w:w="16" w:type="dxa"/>
            </w:tcMar>
            <w:vAlign w:val="center"/>
          </w:tcPr>
          <w:p w14:paraId="6B80FB07">
            <w:pPr>
              <w:adjustRightInd w:val="0"/>
              <w:snapToGrid w:val="0"/>
              <w:jc w:val="center"/>
              <w:rPr>
                <w:color w:val="auto"/>
                <w:szCs w:val="21"/>
              </w:rPr>
            </w:pPr>
            <w:r>
              <w:rPr>
                <w:color w:val="auto"/>
                <w:szCs w:val="21"/>
              </w:rPr>
              <w:t>建设项目名称</w:t>
            </w:r>
          </w:p>
        </w:tc>
        <w:tc>
          <w:tcPr>
            <w:tcW w:w="4276" w:type="pct"/>
            <w:gridSpan w:val="3"/>
            <w:vAlign w:val="center"/>
          </w:tcPr>
          <w:p w14:paraId="4E2B26EA">
            <w:pPr>
              <w:adjustRightInd w:val="0"/>
              <w:snapToGrid w:val="0"/>
              <w:jc w:val="center"/>
              <w:rPr>
                <w:color w:val="auto"/>
                <w:szCs w:val="21"/>
                <w:highlight w:val="yellow"/>
              </w:rPr>
            </w:pPr>
            <w:r>
              <w:rPr>
                <w:rFonts w:hint="eastAsia"/>
                <w:color w:val="auto"/>
                <w:kern w:val="0"/>
                <w:szCs w:val="21"/>
              </w:rPr>
              <w:t>瑞兆科品控洁净实验室项目</w:t>
            </w:r>
          </w:p>
        </w:tc>
      </w:tr>
      <w:tr w14:paraId="66AC5E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723" w:type="pct"/>
            <w:tcMar>
              <w:top w:w="16" w:type="dxa"/>
              <w:left w:w="16" w:type="dxa"/>
              <w:right w:w="16" w:type="dxa"/>
            </w:tcMar>
            <w:vAlign w:val="center"/>
          </w:tcPr>
          <w:p w14:paraId="2EEF5B1B">
            <w:pPr>
              <w:adjustRightInd w:val="0"/>
              <w:snapToGrid w:val="0"/>
              <w:jc w:val="center"/>
              <w:rPr>
                <w:color w:val="auto"/>
                <w:szCs w:val="21"/>
              </w:rPr>
            </w:pPr>
            <w:r>
              <w:rPr>
                <w:color w:val="auto"/>
                <w:szCs w:val="21"/>
              </w:rPr>
              <w:t>项目代码</w:t>
            </w:r>
          </w:p>
        </w:tc>
        <w:tc>
          <w:tcPr>
            <w:tcW w:w="4276" w:type="pct"/>
            <w:gridSpan w:val="3"/>
            <w:vAlign w:val="center"/>
          </w:tcPr>
          <w:p w14:paraId="2F86EFDB">
            <w:pPr>
              <w:adjustRightInd w:val="0"/>
              <w:snapToGrid w:val="0"/>
              <w:jc w:val="center"/>
              <w:rPr>
                <w:color w:val="auto"/>
                <w:szCs w:val="21"/>
              </w:rPr>
            </w:pPr>
            <w:r>
              <w:rPr>
                <w:rFonts w:hint="eastAsia"/>
                <w:color w:val="auto"/>
                <w:szCs w:val="21"/>
              </w:rPr>
              <w:t>2606-320720-04-02-841358</w:t>
            </w:r>
          </w:p>
        </w:tc>
      </w:tr>
      <w:tr w14:paraId="13D5C2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723" w:type="pct"/>
            <w:tcMar>
              <w:top w:w="16" w:type="dxa"/>
              <w:left w:w="16" w:type="dxa"/>
              <w:right w:w="16" w:type="dxa"/>
            </w:tcMar>
            <w:vAlign w:val="center"/>
          </w:tcPr>
          <w:p w14:paraId="7DA8B834">
            <w:pPr>
              <w:adjustRightInd w:val="0"/>
              <w:snapToGrid w:val="0"/>
              <w:jc w:val="center"/>
              <w:rPr>
                <w:color w:val="auto"/>
                <w:szCs w:val="21"/>
                <w:highlight w:val="none"/>
              </w:rPr>
            </w:pPr>
            <w:r>
              <w:rPr>
                <w:color w:val="auto"/>
                <w:szCs w:val="21"/>
                <w:highlight w:val="none"/>
              </w:rPr>
              <w:t>建设单位联系人</w:t>
            </w:r>
          </w:p>
        </w:tc>
        <w:tc>
          <w:tcPr>
            <w:tcW w:w="906" w:type="pct"/>
            <w:vAlign w:val="center"/>
          </w:tcPr>
          <w:p w14:paraId="4CAFA5DD">
            <w:pPr>
              <w:adjustRightInd w:val="0"/>
              <w:snapToGrid w:val="0"/>
              <w:jc w:val="center"/>
              <w:rPr>
                <w:color w:val="auto"/>
                <w:szCs w:val="21"/>
                <w:highlight w:val="none"/>
              </w:rPr>
            </w:pPr>
          </w:p>
        </w:tc>
        <w:tc>
          <w:tcPr>
            <w:tcW w:w="1353" w:type="pct"/>
            <w:vAlign w:val="center"/>
          </w:tcPr>
          <w:p w14:paraId="097AFC9C">
            <w:pPr>
              <w:adjustRightInd w:val="0"/>
              <w:snapToGrid w:val="0"/>
              <w:jc w:val="center"/>
              <w:rPr>
                <w:color w:val="auto"/>
                <w:szCs w:val="21"/>
                <w:highlight w:val="none"/>
              </w:rPr>
            </w:pPr>
            <w:r>
              <w:rPr>
                <w:color w:val="auto"/>
                <w:szCs w:val="21"/>
                <w:highlight w:val="none"/>
              </w:rPr>
              <w:t>联系方式</w:t>
            </w:r>
          </w:p>
        </w:tc>
        <w:tc>
          <w:tcPr>
            <w:tcW w:w="2017" w:type="pct"/>
            <w:vAlign w:val="center"/>
          </w:tcPr>
          <w:p w14:paraId="4E39A0AC">
            <w:pPr>
              <w:adjustRightInd w:val="0"/>
              <w:snapToGrid w:val="0"/>
              <w:jc w:val="center"/>
              <w:rPr>
                <w:color w:val="auto"/>
                <w:szCs w:val="21"/>
                <w:highlight w:val="none"/>
              </w:rPr>
            </w:pPr>
          </w:p>
        </w:tc>
      </w:tr>
      <w:tr w14:paraId="02F53B4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723" w:type="pct"/>
            <w:tcMar>
              <w:top w:w="16" w:type="dxa"/>
              <w:left w:w="16" w:type="dxa"/>
              <w:right w:w="16" w:type="dxa"/>
            </w:tcMar>
            <w:vAlign w:val="center"/>
          </w:tcPr>
          <w:p w14:paraId="0A963DF3">
            <w:pPr>
              <w:adjustRightInd w:val="0"/>
              <w:snapToGrid w:val="0"/>
              <w:jc w:val="center"/>
              <w:rPr>
                <w:color w:val="auto"/>
                <w:szCs w:val="21"/>
              </w:rPr>
            </w:pPr>
            <w:r>
              <w:rPr>
                <w:color w:val="auto"/>
                <w:szCs w:val="21"/>
              </w:rPr>
              <w:t>建设地点</w:t>
            </w:r>
          </w:p>
        </w:tc>
        <w:tc>
          <w:tcPr>
            <w:tcW w:w="4276" w:type="pct"/>
            <w:gridSpan w:val="3"/>
            <w:vAlign w:val="center"/>
          </w:tcPr>
          <w:p w14:paraId="40D33DC3">
            <w:pPr>
              <w:adjustRightInd w:val="0"/>
              <w:snapToGrid w:val="0"/>
              <w:jc w:val="center"/>
              <w:rPr>
                <w:color w:val="auto"/>
                <w:szCs w:val="21"/>
              </w:rPr>
            </w:pPr>
            <w:r>
              <w:rPr>
                <w:rFonts w:hint="eastAsia"/>
                <w:color w:val="auto"/>
                <w:kern w:val="0"/>
                <w:szCs w:val="21"/>
              </w:rPr>
              <w:t>连云港市</w:t>
            </w:r>
            <w:r>
              <w:rPr>
                <w:rFonts w:hint="eastAsia"/>
                <w:color w:val="auto"/>
                <w:kern w:val="0"/>
                <w:szCs w:val="21"/>
                <w:lang w:val="en-US" w:eastAsia="zh-CN"/>
              </w:rPr>
              <w:t>连云港石化产业基地</w:t>
            </w:r>
            <w:r>
              <w:rPr>
                <w:rFonts w:hint="eastAsia"/>
                <w:color w:val="auto"/>
                <w:kern w:val="0"/>
                <w:szCs w:val="21"/>
              </w:rPr>
              <w:t>江苏瑞兆科电子材料有限公司质检及车间管理楼三楼</w:t>
            </w:r>
          </w:p>
        </w:tc>
      </w:tr>
      <w:tr w14:paraId="4383DB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497" w:hRule="atLeast"/>
          <w:jc w:val="center"/>
        </w:trPr>
        <w:tc>
          <w:tcPr>
            <w:tcW w:w="723" w:type="pct"/>
            <w:tcMar>
              <w:top w:w="16" w:type="dxa"/>
              <w:left w:w="16" w:type="dxa"/>
              <w:right w:w="16" w:type="dxa"/>
            </w:tcMar>
            <w:vAlign w:val="center"/>
          </w:tcPr>
          <w:p w14:paraId="14F0F488">
            <w:pPr>
              <w:adjustRightInd w:val="0"/>
              <w:snapToGrid w:val="0"/>
              <w:jc w:val="center"/>
              <w:rPr>
                <w:color w:val="auto"/>
                <w:szCs w:val="21"/>
              </w:rPr>
            </w:pPr>
            <w:r>
              <w:rPr>
                <w:color w:val="auto"/>
                <w:szCs w:val="21"/>
              </w:rPr>
              <w:t>地理坐标</w:t>
            </w:r>
          </w:p>
        </w:tc>
        <w:tc>
          <w:tcPr>
            <w:tcW w:w="4276" w:type="pct"/>
            <w:gridSpan w:val="3"/>
            <w:vAlign w:val="center"/>
          </w:tcPr>
          <w:p w14:paraId="7AE1CD09">
            <w:pPr>
              <w:jc w:val="center"/>
              <w:rPr>
                <w:color w:val="auto"/>
                <w:szCs w:val="21"/>
                <w:highlight w:val="yellow"/>
              </w:rPr>
            </w:pPr>
            <w:r>
              <w:rPr>
                <w:color w:val="auto"/>
                <w:szCs w:val="21"/>
              </w:rPr>
              <w:t>（</w:t>
            </w:r>
            <w:r>
              <w:rPr>
                <w:rFonts w:hint="eastAsia"/>
                <w:color w:val="auto"/>
                <w:szCs w:val="21"/>
                <w:u w:val="single"/>
              </w:rPr>
              <w:t>东经119度38分22.240秒，北纬34度32分31.006秒</w:t>
            </w:r>
            <w:r>
              <w:rPr>
                <w:color w:val="auto"/>
                <w:szCs w:val="21"/>
              </w:rPr>
              <w:t>）</w:t>
            </w:r>
          </w:p>
        </w:tc>
      </w:tr>
      <w:tr w14:paraId="6226F1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723" w:type="pct"/>
            <w:tcMar>
              <w:top w:w="16" w:type="dxa"/>
              <w:left w:w="16" w:type="dxa"/>
              <w:right w:w="16" w:type="dxa"/>
            </w:tcMar>
            <w:vAlign w:val="center"/>
          </w:tcPr>
          <w:p w14:paraId="349B4D5B">
            <w:pPr>
              <w:adjustRightInd w:val="0"/>
              <w:snapToGrid w:val="0"/>
              <w:jc w:val="center"/>
              <w:rPr>
                <w:color w:val="auto"/>
                <w:szCs w:val="21"/>
              </w:rPr>
            </w:pPr>
            <w:r>
              <w:rPr>
                <w:color w:val="auto"/>
                <w:szCs w:val="21"/>
              </w:rPr>
              <w:t>国民经济</w:t>
            </w:r>
          </w:p>
          <w:p w14:paraId="44F36ABC">
            <w:pPr>
              <w:adjustRightInd w:val="0"/>
              <w:snapToGrid w:val="0"/>
              <w:jc w:val="center"/>
              <w:rPr>
                <w:color w:val="auto"/>
                <w:szCs w:val="21"/>
              </w:rPr>
            </w:pPr>
            <w:r>
              <w:rPr>
                <w:color w:val="auto"/>
                <w:szCs w:val="21"/>
              </w:rPr>
              <w:t>行业类别</w:t>
            </w:r>
          </w:p>
        </w:tc>
        <w:tc>
          <w:tcPr>
            <w:tcW w:w="906" w:type="pct"/>
            <w:vAlign w:val="center"/>
          </w:tcPr>
          <w:p w14:paraId="49527D7F">
            <w:pPr>
              <w:adjustRightInd w:val="0"/>
              <w:snapToGrid w:val="0"/>
              <w:jc w:val="center"/>
              <w:rPr>
                <w:color w:val="auto"/>
                <w:szCs w:val="21"/>
              </w:rPr>
            </w:pPr>
            <w:r>
              <w:rPr>
                <w:rFonts w:hint="eastAsia"/>
                <w:color w:val="auto"/>
                <w:szCs w:val="21"/>
              </w:rPr>
              <w:t>M</w:t>
            </w:r>
            <w:r>
              <w:rPr>
                <w:color w:val="auto"/>
                <w:szCs w:val="21"/>
              </w:rPr>
              <w:t>7310</w:t>
            </w:r>
            <w:r>
              <w:rPr>
                <w:rFonts w:hint="eastAsia"/>
                <w:color w:val="auto"/>
                <w:szCs w:val="21"/>
              </w:rPr>
              <w:t>自然科学研究和试验发展</w:t>
            </w:r>
          </w:p>
        </w:tc>
        <w:tc>
          <w:tcPr>
            <w:tcW w:w="1353" w:type="pct"/>
            <w:vAlign w:val="center"/>
          </w:tcPr>
          <w:p w14:paraId="7CA54ABF">
            <w:pPr>
              <w:adjustRightInd w:val="0"/>
              <w:snapToGrid w:val="0"/>
              <w:jc w:val="center"/>
              <w:rPr>
                <w:color w:val="auto"/>
                <w:szCs w:val="21"/>
              </w:rPr>
            </w:pPr>
            <w:bookmarkStart w:id="3" w:name="_Hlk49843745"/>
            <w:r>
              <w:rPr>
                <w:color w:val="auto"/>
                <w:szCs w:val="21"/>
              </w:rPr>
              <w:t>建设项目</w:t>
            </w:r>
          </w:p>
          <w:p w14:paraId="6C318AE1">
            <w:pPr>
              <w:adjustRightInd w:val="0"/>
              <w:snapToGrid w:val="0"/>
              <w:jc w:val="center"/>
              <w:rPr>
                <w:color w:val="auto"/>
                <w:szCs w:val="21"/>
              </w:rPr>
            </w:pPr>
            <w:r>
              <w:rPr>
                <w:color w:val="auto"/>
                <w:szCs w:val="21"/>
              </w:rPr>
              <w:t>行业类别</w:t>
            </w:r>
            <w:bookmarkEnd w:id="3"/>
          </w:p>
        </w:tc>
        <w:tc>
          <w:tcPr>
            <w:tcW w:w="2017" w:type="pct"/>
            <w:vAlign w:val="center"/>
          </w:tcPr>
          <w:p w14:paraId="43A9BF91">
            <w:pPr>
              <w:adjustRightInd w:val="0"/>
              <w:snapToGrid w:val="0"/>
              <w:jc w:val="center"/>
              <w:rPr>
                <w:color w:val="auto"/>
                <w:szCs w:val="21"/>
              </w:rPr>
            </w:pPr>
            <w:r>
              <w:rPr>
                <w:rFonts w:hint="eastAsia"/>
                <w:color w:val="auto"/>
                <w:szCs w:val="21"/>
                <w:lang w:eastAsia="zh-CN"/>
              </w:rPr>
              <w:t>“</w:t>
            </w:r>
            <w:r>
              <w:rPr>
                <w:rFonts w:hint="eastAsia"/>
                <w:color w:val="auto"/>
                <w:szCs w:val="21"/>
              </w:rPr>
              <w:t>98 专业实验室、研发（试验）基地</w:t>
            </w:r>
            <w:r>
              <w:rPr>
                <w:rFonts w:hint="eastAsia"/>
                <w:color w:val="auto"/>
                <w:szCs w:val="21"/>
                <w:lang w:eastAsia="zh-CN"/>
              </w:rPr>
              <w:t>”</w:t>
            </w:r>
            <w:r>
              <w:rPr>
                <w:rFonts w:hint="eastAsia"/>
                <w:color w:val="auto"/>
                <w:szCs w:val="21"/>
              </w:rPr>
              <w:t>中</w:t>
            </w:r>
            <w:r>
              <w:rPr>
                <w:rFonts w:hint="eastAsia"/>
                <w:color w:val="auto"/>
                <w:szCs w:val="21"/>
                <w:lang w:eastAsia="zh-CN"/>
              </w:rPr>
              <w:t>“</w:t>
            </w:r>
            <w:r>
              <w:rPr>
                <w:rFonts w:hint="eastAsia"/>
                <w:color w:val="auto"/>
                <w:szCs w:val="21"/>
              </w:rPr>
              <w:t>其他</w:t>
            </w:r>
            <w:r>
              <w:rPr>
                <w:rFonts w:hint="eastAsia"/>
                <w:color w:val="auto"/>
                <w:szCs w:val="21"/>
                <w:lang w:eastAsia="zh-CN"/>
              </w:rPr>
              <w:t>”</w:t>
            </w:r>
          </w:p>
        </w:tc>
      </w:tr>
      <w:tr w14:paraId="68B35A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19" w:hRule="atLeast"/>
          <w:jc w:val="center"/>
        </w:trPr>
        <w:tc>
          <w:tcPr>
            <w:tcW w:w="723" w:type="pct"/>
            <w:tcMar>
              <w:top w:w="16" w:type="dxa"/>
              <w:left w:w="16" w:type="dxa"/>
              <w:right w:w="16" w:type="dxa"/>
            </w:tcMar>
            <w:vAlign w:val="center"/>
          </w:tcPr>
          <w:p w14:paraId="0B17DE75">
            <w:pPr>
              <w:adjustRightInd w:val="0"/>
              <w:snapToGrid w:val="0"/>
              <w:jc w:val="center"/>
              <w:rPr>
                <w:color w:val="auto"/>
                <w:szCs w:val="21"/>
              </w:rPr>
            </w:pPr>
            <w:r>
              <w:rPr>
                <w:color w:val="auto"/>
                <w:szCs w:val="21"/>
              </w:rPr>
              <w:t>建设性质</w:t>
            </w:r>
          </w:p>
        </w:tc>
        <w:tc>
          <w:tcPr>
            <w:tcW w:w="906" w:type="pct"/>
            <w:vAlign w:val="center"/>
          </w:tcPr>
          <w:p w14:paraId="2DBDE7D3">
            <w:pPr>
              <w:jc w:val="left"/>
              <w:rPr>
                <w:color w:val="auto"/>
                <w:szCs w:val="21"/>
              </w:rPr>
            </w:pPr>
            <w:r>
              <w:rPr>
                <w:rFonts w:hint="eastAsia" w:ascii="Segoe UI Symbol" w:hAnsi="Segoe UI Symbol" w:cs="Segoe UI Symbol"/>
                <w:color w:val="auto"/>
                <w:szCs w:val="21"/>
              </w:rPr>
              <w:t>□</w:t>
            </w:r>
            <w:r>
              <w:rPr>
                <w:color w:val="auto"/>
                <w:szCs w:val="21"/>
              </w:rPr>
              <w:t>新建（迁建）</w:t>
            </w:r>
          </w:p>
          <w:p w14:paraId="697361C4">
            <w:pPr>
              <w:jc w:val="left"/>
              <w:rPr>
                <w:color w:val="auto"/>
                <w:szCs w:val="21"/>
              </w:rPr>
            </w:pPr>
            <w:r>
              <w:rPr>
                <w:color w:val="auto"/>
                <w:szCs w:val="21"/>
              </w:rPr>
              <w:sym w:font="Wingdings 2" w:char="0052"/>
            </w:r>
            <w:r>
              <w:rPr>
                <w:color w:val="auto"/>
                <w:szCs w:val="21"/>
              </w:rPr>
              <w:t>改建</w:t>
            </w:r>
          </w:p>
          <w:p w14:paraId="0A7A8D6C">
            <w:pPr>
              <w:jc w:val="left"/>
              <w:rPr>
                <w:color w:val="auto"/>
                <w:szCs w:val="21"/>
              </w:rPr>
            </w:pPr>
            <w:r>
              <w:rPr>
                <w:color w:val="auto"/>
                <w:szCs w:val="21"/>
              </w:rPr>
              <w:sym w:font="Wingdings 2" w:char="00A3"/>
            </w:r>
            <w:r>
              <w:rPr>
                <w:color w:val="auto"/>
                <w:szCs w:val="21"/>
              </w:rPr>
              <w:t>扩建</w:t>
            </w:r>
          </w:p>
          <w:p w14:paraId="1A902D52">
            <w:pPr>
              <w:jc w:val="left"/>
              <w:rPr>
                <w:color w:val="auto"/>
                <w:szCs w:val="21"/>
              </w:rPr>
            </w:pPr>
            <w:r>
              <w:rPr>
                <w:color w:val="auto"/>
                <w:szCs w:val="21"/>
              </w:rPr>
              <w:sym w:font="Wingdings 2" w:char="00A3"/>
            </w:r>
            <w:r>
              <w:rPr>
                <w:color w:val="auto"/>
                <w:szCs w:val="21"/>
              </w:rPr>
              <w:t>技术改造</w:t>
            </w:r>
          </w:p>
        </w:tc>
        <w:tc>
          <w:tcPr>
            <w:tcW w:w="1353" w:type="pct"/>
            <w:vAlign w:val="center"/>
          </w:tcPr>
          <w:p w14:paraId="28276866">
            <w:pPr>
              <w:adjustRightInd w:val="0"/>
              <w:snapToGrid w:val="0"/>
              <w:jc w:val="center"/>
              <w:rPr>
                <w:color w:val="auto"/>
                <w:szCs w:val="21"/>
              </w:rPr>
            </w:pPr>
            <w:r>
              <w:rPr>
                <w:color w:val="auto"/>
                <w:szCs w:val="21"/>
              </w:rPr>
              <w:t>建设项目</w:t>
            </w:r>
          </w:p>
          <w:p w14:paraId="0ADCE115">
            <w:pPr>
              <w:adjustRightInd w:val="0"/>
              <w:snapToGrid w:val="0"/>
              <w:jc w:val="center"/>
              <w:rPr>
                <w:color w:val="auto"/>
                <w:szCs w:val="21"/>
              </w:rPr>
            </w:pPr>
            <w:r>
              <w:rPr>
                <w:color w:val="auto"/>
                <w:szCs w:val="21"/>
              </w:rPr>
              <w:t>申报情形</w:t>
            </w:r>
          </w:p>
        </w:tc>
        <w:tc>
          <w:tcPr>
            <w:tcW w:w="2017" w:type="pct"/>
            <w:vAlign w:val="center"/>
          </w:tcPr>
          <w:p w14:paraId="56B395CE">
            <w:pPr>
              <w:jc w:val="left"/>
              <w:rPr>
                <w:color w:val="auto"/>
                <w:szCs w:val="21"/>
              </w:rPr>
            </w:pPr>
            <w:r>
              <w:rPr>
                <w:rFonts w:ascii="Segoe UI Symbol" w:hAnsi="Segoe UI Symbol" w:eastAsia="Segoe UI Symbol" w:cs="Segoe UI Symbol"/>
                <w:color w:val="auto"/>
                <w:szCs w:val="21"/>
              </w:rPr>
              <w:t>☑</w:t>
            </w:r>
            <w:r>
              <w:rPr>
                <w:color w:val="auto"/>
                <w:szCs w:val="21"/>
              </w:rPr>
              <w:t xml:space="preserve">首次申报项目             </w:t>
            </w:r>
          </w:p>
          <w:p w14:paraId="4286DBFF">
            <w:pPr>
              <w:jc w:val="left"/>
              <w:rPr>
                <w:color w:val="auto"/>
                <w:szCs w:val="21"/>
              </w:rPr>
            </w:pPr>
            <w:r>
              <w:rPr>
                <w:color w:val="auto"/>
                <w:szCs w:val="21"/>
              </w:rPr>
              <w:sym w:font="Wingdings 2" w:char="00A3"/>
            </w:r>
            <w:r>
              <w:rPr>
                <w:color w:val="auto"/>
                <w:szCs w:val="21"/>
              </w:rPr>
              <w:t>不予批准后再次申报项目</w:t>
            </w:r>
          </w:p>
          <w:p w14:paraId="4AB2AF83">
            <w:pPr>
              <w:jc w:val="left"/>
              <w:rPr>
                <w:color w:val="auto"/>
                <w:szCs w:val="21"/>
              </w:rPr>
            </w:pPr>
            <w:r>
              <w:rPr>
                <w:color w:val="auto"/>
                <w:szCs w:val="21"/>
              </w:rPr>
              <w:sym w:font="Wingdings 2" w:char="00A3"/>
            </w:r>
            <w:r>
              <w:rPr>
                <w:color w:val="auto"/>
                <w:szCs w:val="21"/>
              </w:rPr>
              <w:t xml:space="preserve">超五年重新审核项目     </w:t>
            </w:r>
          </w:p>
          <w:p w14:paraId="44040151">
            <w:pPr>
              <w:jc w:val="left"/>
              <w:rPr>
                <w:color w:val="auto"/>
                <w:szCs w:val="21"/>
              </w:rPr>
            </w:pPr>
            <w:r>
              <w:rPr>
                <w:color w:val="auto"/>
                <w:szCs w:val="21"/>
              </w:rPr>
              <w:sym w:font="Wingdings 2" w:char="00A3"/>
            </w:r>
            <w:r>
              <w:rPr>
                <w:color w:val="auto"/>
                <w:szCs w:val="21"/>
              </w:rPr>
              <w:t>重大变动重新报批项目</w:t>
            </w:r>
          </w:p>
        </w:tc>
      </w:tr>
      <w:tr w14:paraId="4F8190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723" w:type="pct"/>
            <w:tcMar>
              <w:top w:w="16" w:type="dxa"/>
              <w:left w:w="16" w:type="dxa"/>
              <w:right w:w="16" w:type="dxa"/>
            </w:tcMar>
            <w:vAlign w:val="center"/>
          </w:tcPr>
          <w:p w14:paraId="439AB460">
            <w:pPr>
              <w:adjustRightInd w:val="0"/>
              <w:snapToGrid w:val="0"/>
              <w:jc w:val="center"/>
              <w:rPr>
                <w:color w:val="auto"/>
                <w:szCs w:val="21"/>
              </w:rPr>
            </w:pPr>
            <w:r>
              <w:rPr>
                <w:color w:val="auto"/>
                <w:szCs w:val="21"/>
              </w:rPr>
              <w:t>项目审批（核准/</w:t>
            </w:r>
          </w:p>
          <w:p w14:paraId="2106A044">
            <w:pPr>
              <w:adjustRightInd w:val="0"/>
              <w:snapToGrid w:val="0"/>
              <w:jc w:val="center"/>
              <w:rPr>
                <w:color w:val="auto"/>
                <w:szCs w:val="21"/>
              </w:rPr>
            </w:pPr>
            <w:r>
              <w:rPr>
                <w:color w:val="auto"/>
                <w:szCs w:val="21"/>
              </w:rPr>
              <w:t>备案）部门（选填）</w:t>
            </w:r>
          </w:p>
        </w:tc>
        <w:tc>
          <w:tcPr>
            <w:tcW w:w="906" w:type="pct"/>
            <w:vAlign w:val="center"/>
          </w:tcPr>
          <w:p w14:paraId="163F1EEE">
            <w:pPr>
              <w:adjustRightInd w:val="0"/>
              <w:snapToGrid w:val="0"/>
              <w:jc w:val="center"/>
              <w:rPr>
                <w:color w:val="auto"/>
                <w:szCs w:val="21"/>
              </w:rPr>
            </w:pPr>
            <w:r>
              <w:rPr>
                <w:rFonts w:hint="eastAsia"/>
                <w:color w:val="auto"/>
                <w:szCs w:val="21"/>
              </w:rPr>
              <w:t>国家东中西区域合作示范区经济发展局</w:t>
            </w:r>
          </w:p>
        </w:tc>
        <w:tc>
          <w:tcPr>
            <w:tcW w:w="1353" w:type="pct"/>
            <w:vAlign w:val="center"/>
          </w:tcPr>
          <w:p w14:paraId="0E925C37">
            <w:pPr>
              <w:adjustRightInd w:val="0"/>
              <w:snapToGrid w:val="0"/>
              <w:jc w:val="center"/>
              <w:rPr>
                <w:color w:val="auto"/>
                <w:szCs w:val="21"/>
              </w:rPr>
            </w:pPr>
            <w:r>
              <w:rPr>
                <w:color w:val="auto"/>
                <w:szCs w:val="21"/>
              </w:rPr>
              <w:t>项目审批（核准/</w:t>
            </w:r>
          </w:p>
          <w:p w14:paraId="1FE875F6">
            <w:pPr>
              <w:adjustRightInd w:val="0"/>
              <w:snapToGrid w:val="0"/>
              <w:jc w:val="center"/>
              <w:rPr>
                <w:color w:val="auto"/>
                <w:szCs w:val="21"/>
              </w:rPr>
            </w:pPr>
            <w:r>
              <w:rPr>
                <w:color w:val="auto"/>
                <w:szCs w:val="21"/>
              </w:rPr>
              <w:t>备案）文号（选填）</w:t>
            </w:r>
          </w:p>
        </w:tc>
        <w:tc>
          <w:tcPr>
            <w:tcW w:w="2017" w:type="pct"/>
            <w:vAlign w:val="center"/>
          </w:tcPr>
          <w:p w14:paraId="340218E3">
            <w:pPr>
              <w:adjustRightInd w:val="0"/>
              <w:snapToGrid w:val="0"/>
              <w:jc w:val="center"/>
              <w:rPr>
                <w:color w:val="auto"/>
                <w:szCs w:val="21"/>
                <w:highlight w:val="yellow"/>
              </w:rPr>
            </w:pPr>
            <w:r>
              <w:rPr>
                <w:rFonts w:hint="eastAsia"/>
                <w:color w:val="auto"/>
                <w:szCs w:val="21"/>
              </w:rPr>
              <w:t>示范区经备〔2026〕50号</w:t>
            </w:r>
          </w:p>
        </w:tc>
      </w:tr>
      <w:tr w14:paraId="055CEB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723" w:type="pct"/>
            <w:tcMar>
              <w:top w:w="16" w:type="dxa"/>
              <w:left w:w="16" w:type="dxa"/>
              <w:right w:w="16" w:type="dxa"/>
            </w:tcMar>
            <w:vAlign w:val="center"/>
          </w:tcPr>
          <w:p w14:paraId="38A3E931">
            <w:pPr>
              <w:adjustRightInd w:val="0"/>
              <w:snapToGrid w:val="0"/>
              <w:jc w:val="center"/>
              <w:rPr>
                <w:color w:val="auto"/>
                <w:szCs w:val="21"/>
              </w:rPr>
            </w:pPr>
            <w:r>
              <w:rPr>
                <w:color w:val="auto"/>
                <w:szCs w:val="21"/>
              </w:rPr>
              <w:t>总投资（万元）</w:t>
            </w:r>
          </w:p>
        </w:tc>
        <w:tc>
          <w:tcPr>
            <w:tcW w:w="906" w:type="pct"/>
            <w:vAlign w:val="center"/>
          </w:tcPr>
          <w:p w14:paraId="0335C7E2">
            <w:pPr>
              <w:adjustRightInd w:val="0"/>
              <w:snapToGrid w:val="0"/>
              <w:jc w:val="center"/>
              <w:rPr>
                <w:color w:val="auto"/>
                <w:szCs w:val="21"/>
              </w:rPr>
            </w:pPr>
          </w:p>
        </w:tc>
        <w:tc>
          <w:tcPr>
            <w:tcW w:w="1353" w:type="pct"/>
            <w:tcMar>
              <w:top w:w="16" w:type="dxa"/>
              <w:left w:w="16" w:type="dxa"/>
              <w:right w:w="16" w:type="dxa"/>
            </w:tcMar>
            <w:vAlign w:val="center"/>
          </w:tcPr>
          <w:p w14:paraId="4141DCBA">
            <w:pPr>
              <w:adjustRightInd w:val="0"/>
              <w:snapToGrid w:val="0"/>
              <w:jc w:val="center"/>
              <w:rPr>
                <w:color w:val="auto"/>
                <w:szCs w:val="21"/>
              </w:rPr>
            </w:pPr>
            <w:r>
              <w:rPr>
                <w:color w:val="auto"/>
                <w:szCs w:val="21"/>
              </w:rPr>
              <w:t>环保投资（万元）</w:t>
            </w:r>
          </w:p>
        </w:tc>
        <w:tc>
          <w:tcPr>
            <w:tcW w:w="2017" w:type="pct"/>
            <w:vAlign w:val="center"/>
          </w:tcPr>
          <w:p w14:paraId="16BDAB2F">
            <w:pPr>
              <w:adjustRightInd w:val="0"/>
              <w:snapToGrid w:val="0"/>
              <w:jc w:val="center"/>
              <w:rPr>
                <w:color w:val="auto"/>
                <w:szCs w:val="21"/>
              </w:rPr>
            </w:pPr>
          </w:p>
        </w:tc>
      </w:tr>
      <w:tr w14:paraId="6E2D67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723" w:type="pct"/>
            <w:tcMar>
              <w:top w:w="16" w:type="dxa"/>
              <w:left w:w="16" w:type="dxa"/>
              <w:right w:w="16" w:type="dxa"/>
            </w:tcMar>
            <w:vAlign w:val="center"/>
          </w:tcPr>
          <w:p w14:paraId="58D14331">
            <w:pPr>
              <w:adjustRightInd w:val="0"/>
              <w:snapToGrid w:val="0"/>
              <w:jc w:val="center"/>
              <w:rPr>
                <w:color w:val="auto"/>
                <w:szCs w:val="21"/>
              </w:rPr>
            </w:pPr>
            <w:r>
              <w:rPr>
                <w:color w:val="auto"/>
                <w:szCs w:val="21"/>
              </w:rPr>
              <w:t>环保投资占比（%）</w:t>
            </w:r>
          </w:p>
        </w:tc>
        <w:tc>
          <w:tcPr>
            <w:tcW w:w="906" w:type="pct"/>
            <w:vAlign w:val="center"/>
          </w:tcPr>
          <w:p w14:paraId="6F0B9AB2">
            <w:pPr>
              <w:adjustRightInd w:val="0"/>
              <w:snapToGrid w:val="0"/>
              <w:jc w:val="center"/>
              <w:rPr>
                <w:color w:val="auto"/>
                <w:szCs w:val="21"/>
              </w:rPr>
            </w:pPr>
          </w:p>
        </w:tc>
        <w:tc>
          <w:tcPr>
            <w:tcW w:w="1353" w:type="pct"/>
            <w:tcMar>
              <w:top w:w="16" w:type="dxa"/>
              <w:left w:w="16" w:type="dxa"/>
              <w:right w:w="16" w:type="dxa"/>
            </w:tcMar>
            <w:vAlign w:val="center"/>
          </w:tcPr>
          <w:p w14:paraId="2B3A8E16">
            <w:pPr>
              <w:adjustRightInd w:val="0"/>
              <w:snapToGrid w:val="0"/>
              <w:jc w:val="center"/>
              <w:rPr>
                <w:color w:val="auto"/>
                <w:szCs w:val="21"/>
              </w:rPr>
            </w:pPr>
            <w:r>
              <w:rPr>
                <w:color w:val="auto"/>
                <w:szCs w:val="21"/>
              </w:rPr>
              <w:t>施工工期</w:t>
            </w:r>
          </w:p>
        </w:tc>
        <w:tc>
          <w:tcPr>
            <w:tcW w:w="2017" w:type="pct"/>
            <w:vAlign w:val="center"/>
          </w:tcPr>
          <w:p w14:paraId="0069995E">
            <w:pPr>
              <w:adjustRightInd w:val="0"/>
              <w:snapToGrid w:val="0"/>
              <w:jc w:val="center"/>
              <w:rPr>
                <w:color w:val="auto"/>
                <w:szCs w:val="21"/>
              </w:rPr>
            </w:pPr>
          </w:p>
        </w:tc>
      </w:tr>
      <w:tr w14:paraId="2A2DD6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723" w:type="pct"/>
            <w:tcMar>
              <w:top w:w="16" w:type="dxa"/>
              <w:left w:w="16" w:type="dxa"/>
              <w:right w:w="16" w:type="dxa"/>
            </w:tcMar>
            <w:vAlign w:val="center"/>
          </w:tcPr>
          <w:p w14:paraId="5EEA0268">
            <w:pPr>
              <w:adjustRightInd w:val="0"/>
              <w:snapToGrid w:val="0"/>
              <w:jc w:val="center"/>
              <w:rPr>
                <w:rFonts w:eastAsia="Segoe UI Symbol"/>
                <w:color w:val="auto"/>
                <w:szCs w:val="21"/>
              </w:rPr>
            </w:pPr>
            <w:r>
              <w:rPr>
                <w:color w:val="auto"/>
                <w:szCs w:val="21"/>
              </w:rPr>
              <w:t>是否开工建设</w:t>
            </w:r>
          </w:p>
        </w:tc>
        <w:tc>
          <w:tcPr>
            <w:tcW w:w="906" w:type="pct"/>
            <w:vAlign w:val="center"/>
          </w:tcPr>
          <w:p w14:paraId="526B3FF3">
            <w:pPr>
              <w:adjustRightInd w:val="0"/>
              <w:snapToGrid w:val="0"/>
              <w:jc w:val="center"/>
              <w:rPr>
                <w:rFonts w:eastAsia="Segoe UI Symbol"/>
                <w:color w:val="auto"/>
                <w:szCs w:val="21"/>
              </w:rPr>
            </w:pPr>
            <w:r>
              <w:rPr>
                <w:rFonts w:ascii="Segoe UI Symbol" w:hAnsi="Segoe UI Symbol" w:eastAsia="Segoe UI Symbol" w:cs="Segoe UI Symbol"/>
                <w:color w:val="auto"/>
                <w:szCs w:val="21"/>
              </w:rPr>
              <w:t>☑</w:t>
            </w:r>
            <w:r>
              <w:rPr>
                <w:color w:val="auto"/>
                <w:szCs w:val="21"/>
              </w:rPr>
              <w:t>否</w:t>
            </w:r>
          </w:p>
          <w:p w14:paraId="778123E4">
            <w:pPr>
              <w:adjustRightInd w:val="0"/>
              <w:snapToGrid w:val="0"/>
              <w:jc w:val="center"/>
              <w:rPr>
                <w:color w:val="auto"/>
                <w:szCs w:val="21"/>
              </w:rPr>
            </w:pPr>
            <w:r>
              <w:rPr>
                <w:color w:val="auto"/>
                <w:szCs w:val="21"/>
              </w:rPr>
              <w:sym w:font="Wingdings 2" w:char="00A3"/>
            </w:r>
            <w:r>
              <w:rPr>
                <w:color w:val="auto"/>
                <w:szCs w:val="21"/>
              </w:rPr>
              <w:t>是</w:t>
            </w:r>
          </w:p>
        </w:tc>
        <w:tc>
          <w:tcPr>
            <w:tcW w:w="1353" w:type="pct"/>
            <w:tcMar>
              <w:top w:w="16" w:type="dxa"/>
              <w:left w:w="16" w:type="dxa"/>
              <w:right w:w="16" w:type="dxa"/>
            </w:tcMar>
            <w:vAlign w:val="center"/>
          </w:tcPr>
          <w:p w14:paraId="304AE122">
            <w:pPr>
              <w:adjustRightInd w:val="0"/>
              <w:snapToGrid w:val="0"/>
              <w:ind w:firstLine="396"/>
              <w:jc w:val="center"/>
              <w:rPr>
                <w:color w:val="auto"/>
                <w:spacing w:val="-6"/>
                <w:szCs w:val="21"/>
              </w:rPr>
            </w:pPr>
            <w:r>
              <w:rPr>
                <w:color w:val="auto"/>
                <w:spacing w:val="-6"/>
                <w:szCs w:val="21"/>
              </w:rPr>
              <w:t>用地面积（m</w:t>
            </w:r>
            <w:r>
              <w:rPr>
                <w:color w:val="auto"/>
                <w:spacing w:val="-6"/>
                <w:szCs w:val="21"/>
                <w:vertAlign w:val="superscript"/>
              </w:rPr>
              <w:t>2</w:t>
            </w:r>
            <w:r>
              <w:rPr>
                <w:color w:val="auto"/>
                <w:spacing w:val="-6"/>
                <w:szCs w:val="21"/>
              </w:rPr>
              <w:t>）</w:t>
            </w:r>
          </w:p>
        </w:tc>
        <w:tc>
          <w:tcPr>
            <w:tcW w:w="2017" w:type="pct"/>
            <w:vAlign w:val="center"/>
          </w:tcPr>
          <w:p w14:paraId="43ABA034">
            <w:pPr>
              <w:adjustRightInd w:val="0"/>
              <w:snapToGrid w:val="0"/>
              <w:jc w:val="center"/>
              <w:rPr>
                <w:color w:val="auto"/>
                <w:szCs w:val="21"/>
              </w:rPr>
            </w:pPr>
            <w:r>
              <w:rPr>
                <w:rFonts w:hint="eastAsia"/>
                <w:color w:val="auto"/>
                <w:szCs w:val="21"/>
              </w:rPr>
              <w:t>不新增占地</w:t>
            </w:r>
          </w:p>
        </w:tc>
      </w:tr>
      <w:tr w14:paraId="5BF2CA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723" w:type="pct"/>
            <w:vAlign w:val="center"/>
          </w:tcPr>
          <w:p w14:paraId="3B848D37">
            <w:pPr>
              <w:autoSpaceDE w:val="0"/>
              <w:autoSpaceDN w:val="0"/>
              <w:adjustRightInd w:val="0"/>
              <w:snapToGrid w:val="0"/>
              <w:jc w:val="center"/>
              <w:rPr>
                <w:color w:val="auto"/>
                <w:kern w:val="0"/>
                <w:szCs w:val="21"/>
              </w:rPr>
            </w:pPr>
            <w:r>
              <w:rPr>
                <w:color w:val="auto"/>
                <w:kern w:val="0"/>
                <w:szCs w:val="21"/>
              </w:rPr>
              <w:t>专项评价设置情况</w:t>
            </w:r>
          </w:p>
        </w:tc>
        <w:tc>
          <w:tcPr>
            <w:tcW w:w="4276" w:type="pct"/>
            <w:gridSpan w:val="3"/>
            <w:vAlign w:val="center"/>
          </w:tcPr>
          <w:p w14:paraId="672A4700">
            <w:pPr>
              <w:autoSpaceDE w:val="0"/>
              <w:autoSpaceDN w:val="0"/>
              <w:adjustRightInd w:val="0"/>
              <w:snapToGrid w:val="0"/>
              <w:jc w:val="center"/>
              <w:rPr>
                <w:color w:val="auto"/>
                <w:kern w:val="0"/>
                <w:szCs w:val="21"/>
              </w:rPr>
            </w:pPr>
          </w:p>
          <w:p w14:paraId="22636844">
            <w:pPr>
              <w:autoSpaceDE w:val="0"/>
              <w:autoSpaceDN w:val="0"/>
              <w:adjustRightInd w:val="0"/>
              <w:snapToGrid w:val="0"/>
              <w:spacing w:before="120" w:beforeLines="50" w:line="360" w:lineRule="auto"/>
              <w:rPr>
                <w:color w:val="auto"/>
                <w:szCs w:val="21"/>
              </w:rPr>
            </w:pPr>
            <w:r>
              <w:rPr>
                <w:color w:val="auto"/>
                <w:szCs w:val="21"/>
              </w:rPr>
              <w:t>本项目</w:t>
            </w:r>
            <w:r>
              <w:rPr>
                <w:rFonts w:hint="eastAsia"/>
                <w:color w:val="auto"/>
                <w:szCs w:val="21"/>
              </w:rPr>
              <w:t>专项评价</w:t>
            </w:r>
            <w:r>
              <w:rPr>
                <w:color w:val="auto"/>
                <w:szCs w:val="21"/>
              </w:rPr>
              <w:t>具体判别如下：</w:t>
            </w:r>
          </w:p>
          <w:tbl>
            <w:tblPr>
              <w:tblStyle w:val="21"/>
              <w:tblW w:w="4722"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77"/>
              <w:gridCol w:w="2643"/>
              <w:gridCol w:w="2400"/>
              <w:gridCol w:w="1069"/>
            </w:tblGrid>
            <w:tr w14:paraId="3E939E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689" w:type="pct"/>
                  <w:noWrap/>
                  <w:vAlign w:val="center"/>
                </w:tcPr>
                <w:p w14:paraId="719FBFAB">
                  <w:pPr>
                    <w:widowControl/>
                    <w:jc w:val="center"/>
                    <w:rPr>
                      <w:b/>
                      <w:bCs/>
                      <w:color w:val="auto"/>
                      <w:kern w:val="0"/>
                      <w:sz w:val="18"/>
                      <w:szCs w:val="18"/>
                    </w:rPr>
                  </w:pPr>
                  <w:r>
                    <w:rPr>
                      <w:b/>
                      <w:bCs/>
                      <w:color w:val="auto"/>
                      <w:kern w:val="0"/>
                      <w:sz w:val="18"/>
                      <w:szCs w:val="18"/>
                    </w:rPr>
                    <w:t>专项评价的类别</w:t>
                  </w:r>
                </w:p>
              </w:tc>
              <w:tc>
                <w:tcPr>
                  <w:tcW w:w="1863" w:type="pct"/>
                  <w:noWrap/>
                  <w:vAlign w:val="center"/>
                </w:tcPr>
                <w:p w14:paraId="7B0334EE">
                  <w:pPr>
                    <w:widowControl/>
                    <w:jc w:val="center"/>
                    <w:rPr>
                      <w:b/>
                      <w:bCs/>
                      <w:color w:val="auto"/>
                      <w:kern w:val="0"/>
                      <w:sz w:val="18"/>
                      <w:szCs w:val="18"/>
                    </w:rPr>
                  </w:pPr>
                  <w:r>
                    <w:rPr>
                      <w:b/>
                      <w:bCs/>
                      <w:color w:val="auto"/>
                      <w:kern w:val="0"/>
                      <w:sz w:val="18"/>
                      <w:szCs w:val="18"/>
                    </w:rPr>
                    <w:t>设置原则</w:t>
                  </w:r>
                </w:p>
              </w:tc>
              <w:tc>
                <w:tcPr>
                  <w:tcW w:w="1692" w:type="pct"/>
                  <w:noWrap/>
                  <w:vAlign w:val="center"/>
                </w:tcPr>
                <w:p w14:paraId="196A867C">
                  <w:pPr>
                    <w:widowControl/>
                    <w:jc w:val="center"/>
                    <w:rPr>
                      <w:b/>
                      <w:bCs/>
                      <w:color w:val="auto"/>
                      <w:kern w:val="0"/>
                      <w:sz w:val="18"/>
                      <w:szCs w:val="18"/>
                    </w:rPr>
                  </w:pPr>
                  <w:r>
                    <w:rPr>
                      <w:b/>
                      <w:bCs/>
                      <w:color w:val="auto"/>
                      <w:kern w:val="0"/>
                      <w:sz w:val="18"/>
                      <w:szCs w:val="18"/>
                    </w:rPr>
                    <w:t>本项目</w:t>
                  </w:r>
                  <w:r>
                    <w:rPr>
                      <w:rFonts w:hint="eastAsia"/>
                      <w:b/>
                      <w:bCs/>
                      <w:color w:val="auto"/>
                      <w:kern w:val="0"/>
                      <w:sz w:val="18"/>
                      <w:szCs w:val="18"/>
                    </w:rPr>
                    <w:t>情况</w:t>
                  </w:r>
                </w:p>
              </w:tc>
              <w:tc>
                <w:tcPr>
                  <w:tcW w:w="754" w:type="pct"/>
                  <w:vAlign w:val="center"/>
                </w:tcPr>
                <w:p w14:paraId="61E25679">
                  <w:pPr>
                    <w:widowControl/>
                    <w:jc w:val="center"/>
                    <w:rPr>
                      <w:b/>
                      <w:bCs/>
                      <w:color w:val="auto"/>
                      <w:kern w:val="0"/>
                      <w:sz w:val="18"/>
                      <w:szCs w:val="18"/>
                    </w:rPr>
                  </w:pPr>
                  <w:r>
                    <w:rPr>
                      <w:rFonts w:hint="eastAsia"/>
                      <w:b/>
                      <w:bCs/>
                      <w:color w:val="auto"/>
                      <w:kern w:val="0"/>
                      <w:sz w:val="18"/>
                      <w:szCs w:val="18"/>
                    </w:rPr>
                    <w:t>是否设置专项</w:t>
                  </w:r>
                </w:p>
              </w:tc>
            </w:tr>
            <w:tr w14:paraId="52EA51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689" w:type="pct"/>
                  <w:noWrap/>
                  <w:vAlign w:val="center"/>
                </w:tcPr>
                <w:p w14:paraId="3709EE78">
                  <w:pPr>
                    <w:widowControl/>
                    <w:jc w:val="center"/>
                    <w:rPr>
                      <w:color w:val="auto"/>
                      <w:kern w:val="0"/>
                      <w:sz w:val="18"/>
                      <w:szCs w:val="18"/>
                    </w:rPr>
                  </w:pPr>
                  <w:r>
                    <w:rPr>
                      <w:color w:val="auto"/>
                      <w:kern w:val="0"/>
                      <w:sz w:val="18"/>
                      <w:szCs w:val="18"/>
                    </w:rPr>
                    <w:t>大气</w:t>
                  </w:r>
                </w:p>
              </w:tc>
              <w:tc>
                <w:tcPr>
                  <w:tcW w:w="1863" w:type="pct"/>
                  <w:noWrap/>
                  <w:vAlign w:val="center"/>
                </w:tcPr>
                <w:p w14:paraId="2F6F9D57">
                  <w:pPr>
                    <w:widowControl/>
                    <w:jc w:val="center"/>
                    <w:rPr>
                      <w:color w:val="auto"/>
                      <w:kern w:val="0"/>
                      <w:sz w:val="18"/>
                      <w:szCs w:val="18"/>
                    </w:rPr>
                  </w:pPr>
                  <w:r>
                    <w:rPr>
                      <w:color w:val="auto"/>
                      <w:kern w:val="0"/>
                      <w:sz w:val="18"/>
                      <w:szCs w:val="18"/>
                    </w:rPr>
                    <w:t>排放废气含有毒有害污染物、二噁英、苯并[a]芘、氰化物、氯气且厂界外500米范围内有环境空气保护目标的建设项目</w:t>
                  </w:r>
                </w:p>
              </w:tc>
              <w:tc>
                <w:tcPr>
                  <w:tcW w:w="1692" w:type="pct"/>
                  <w:noWrap/>
                  <w:vAlign w:val="center"/>
                </w:tcPr>
                <w:p w14:paraId="0656E918">
                  <w:pPr>
                    <w:widowControl/>
                    <w:jc w:val="center"/>
                    <w:rPr>
                      <w:color w:val="auto"/>
                      <w:kern w:val="0"/>
                      <w:sz w:val="18"/>
                      <w:szCs w:val="18"/>
                    </w:rPr>
                  </w:pPr>
                  <w:r>
                    <w:rPr>
                      <w:rFonts w:hint="eastAsia"/>
                      <w:color w:val="auto"/>
                      <w:kern w:val="0"/>
                      <w:sz w:val="18"/>
                      <w:szCs w:val="18"/>
                    </w:rPr>
                    <w:t>本项目500m内有无环境</w:t>
                  </w:r>
                  <w:r>
                    <w:rPr>
                      <w:rFonts w:hint="eastAsia"/>
                      <w:color w:val="auto"/>
                      <w:kern w:val="0"/>
                      <w:sz w:val="18"/>
                      <w:szCs w:val="18"/>
                      <w:lang w:val="en-US" w:eastAsia="zh-CN"/>
                    </w:rPr>
                    <w:t>空气</w:t>
                  </w:r>
                  <w:r>
                    <w:rPr>
                      <w:rFonts w:hint="eastAsia"/>
                      <w:color w:val="auto"/>
                      <w:kern w:val="0"/>
                      <w:sz w:val="18"/>
                      <w:szCs w:val="18"/>
                    </w:rPr>
                    <w:t>保护目标</w:t>
                  </w:r>
                </w:p>
              </w:tc>
              <w:tc>
                <w:tcPr>
                  <w:tcW w:w="754" w:type="pct"/>
                  <w:vAlign w:val="center"/>
                </w:tcPr>
                <w:p w14:paraId="60140FDD">
                  <w:pPr>
                    <w:widowControl/>
                    <w:jc w:val="center"/>
                    <w:rPr>
                      <w:color w:val="auto"/>
                      <w:kern w:val="0"/>
                      <w:sz w:val="18"/>
                      <w:szCs w:val="18"/>
                    </w:rPr>
                  </w:pPr>
                  <w:r>
                    <w:rPr>
                      <w:rFonts w:hint="eastAsia"/>
                      <w:color w:val="auto"/>
                      <w:kern w:val="0"/>
                      <w:sz w:val="18"/>
                      <w:szCs w:val="18"/>
                    </w:rPr>
                    <w:t>否</w:t>
                  </w:r>
                </w:p>
              </w:tc>
            </w:tr>
            <w:tr w14:paraId="412C9E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689" w:type="pct"/>
                  <w:noWrap/>
                  <w:vAlign w:val="center"/>
                </w:tcPr>
                <w:p w14:paraId="5E52BB58">
                  <w:pPr>
                    <w:widowControl/>
                    <w:jc w:val="center"/>
                    <w:rPr>
                      <w:color w:val="auto"/>
                      <w:kern w:val="0"/>
                      <w:sz w:val="18"/>
                      <w:szCs w:val="18"/>
                    </w:rPr>
                  </w:pPr>
                  <w:r>
                    <w:rPr>
                      <w:color w:val="auto"/>
                      <w:kern w:val="0"/>
                      <w:sz w:val="18"/>
                      <w:szCs w:val="18"/>
                    </w:rPr>
                    <w:t>地表水</w:t>
                  </w:r>
                </w:p>
              </w:tc>
              <w:tc>
                <w:tcPr>
                  <w:tcW w:w="1863" w:type="pct"/>
                  <w:noWrap/>
                  <w:vAlign w:val="center"/>
                </w:tcPr>
                <w:p w14:paraId="308B9FE9">
                  <w:pPr>
                    <w:widowControl/>
                    <w:jc w:val="center"/>
                    <w:rPr>
                      <w:color w:val="auto"/>
                      <w:kern w:val="0"/>
                      <w:sz w:val="18"/>
                      <w:szCs w:val="18"/>
                    </w:rPr>
                  </w:pPr>
                  <w:r>
                    <w:rPr>
                      <w:color w:val="auto"/>
                      <w:kern w:val="0"/>
                      <w:sz w:val="18"/>
                      <w:szCs w:val="18"/>
                    </w:rPr>
                    <w:t>新增工业废水直排建设项目（槽罐车外送污水处理厂的除外）；新增废水直排的污水集中处理厂</w:t>
                  </w:r>
                </w:p>
              </w:tc>
              <w:tc>
                <w:tcPr>
                  <w:tcW w:w="1692" w:type="pct"/>
                  <w:noWrap/>
                  <w:vAlign w:val="center"/>
                </w:tcPr>
                <w:p w14:paraId="63C5A639">
                  <w:pPr>
                    <w:widowControl/>
                    <w:jc w:val="center"/>
                    <w:rPr>
                      <w:color w:val="auto"/>
                      <w:kern w:val="0"/>
                      <w:sz w:val="18"/>
                      <w:szCs w:val="18"/>
                    </w:rPr>
                  </w:pPr>
                  <w:r>
                    <w:rPr>
                      <w:rFonts w:hint="eastAsia"/>
                      <w:color w:val="auto"/>
                      <w:kern w:val="0"/>
                      <w:sz w:val="18"/>
                      <w:szCs w:val="18"/>
                    </w:rPr>
                    <w:t>本项目不</w:t>
                  </w:r>
                  <w:r>
                    <w:rPr>
                      <w:color w:val="auto"/>
                      <w:kern w:val="0"/>
                      <w:sz w:val="18"/>
                      <w:szCs w:val="18"/>
                    </w:rPr>
                    <w:t>新增工业废水直排</w:t>
                  </w:r>
                </w:p>
              </w:tc>
              <w:tc>
                <w:tcPr>
                  <w:tcW w:w="754" w:type="pct"/>
                  <w:vAlign w:val="center"/>
                </w:tcPr>
                <w:p w14:paraId="5DFEDF4D">
                  <w:pPr>
                    <w:widowControl/>
                    <w:jc w:val="center"/>
                    <w:rPr>
                      <w:color w:val="auto"/>
                      <w:kern w:val="0"/>
                      <w:sz w:val="18"/>
                      <w:szCs w:val="18"/>
                    </w:rPr>
                  </w:pPr>
                  <w:r>
                    <w:rPr>
                      <w:rFonts w:hint="eastAsia"/>
                      <w:color w:val="auto"/>
                      <w:kern w:val="0"/>
                      <w:sz w:val="18"/>
                      <w:szCs w:val="18"/>
                    </w:rPr>
                    <w:t>否</w:t>
                  </w:r>
                </w:p>
              </w:tc>
            </w:tr>
            <w:tr w14:paraId="50AABC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689" w:type="pct"/>
                  <w:noWrap/>
                  <w:vAlign w:val="center"/>
                </w:tcPr>
                <w:p w14:paraId="423050C1">
                  <w:pPr>
                    <w:widowControl/>
                    <w:jc w:val="center"/>
                    <w:rPr>
                      <w:color w:val="auto"/>
                      <w:kern w:val="0"/>
                      <w:sz w:val="18"/>
                      <w:szCs w:val="18"/>
                    </w:rPr>
                  </w:pPr>
                  <w:r>
                    <w:rPr>
                      <w:color w:val="auto"/>
                      <w:kern w:val="0"/>
                      <w:sz w:val="18"/>
                      <w:szCs w:val="18"/>
                    </w:rPr>
                    <w:t>环境风险</w:t>
                  </w:r>
                </w:p>
              </w:tc>
              <w:tc>
                <w:tcPr>
                  <w:tcW w:w="1863" w:type="pct"/>
                  <w:noWrap/>
                  <w:vAlign w:val="center"/>
                </w:tcPr>
                <w:p w14:paraId="1E805396">
                  <w:pPr>
                    <w:widowControl/>
                    <w:jc w:val="center"/>
                    <w:rPr>
                      <w:color w:val="auto"/>
                      <w:kern w:val="0"/>
                      <w:sz w:val="18"/>
                      <w:szCs w:val="18"/>
                    </w:rPr>
                  </w:pPr>
                  <w:r>
                    <w:rPr>
                      <w:color w:val="auto"/>
                      <w:kern w:val="0"/>
                      <w:sz w:val="18"/>
                      <w:szCs w:val="18"/>
                    </w:rPr>
                    <w:t>有毒有害和易燃易爆危险物质存储量超过临界量的建设项目</w:t>
                  </w:r>
                </w:p>
              </w:tc>
              <w:tc>
                <w:tcPr>
                  <w:tcW w:w="1692" w:type="pct"/>
                  <w:noWrap/>
                  <w:vAlign w:val="center"/>
                </w:tcPr>
                <w:p w14:paraId="4F2529F0">
                  <w:pPr>
                    <w:widowControl/>
                    <w:jc w:val="center"/>
                    <w:rPr>
                      <w:color w:val="auto"/>
                      <w:kern w:val="0"/>
                      <w:sz w:val="18"/>
                      <w:szCs w:val="18"/>
                    </w:rPr>
                  </w:pPr>
                  <w:r>
                    <w:rPr>
                      <w:rFonts w:hint="eastAsia"/>
                      <w:color w:val="auto"/>
                      <w:kern w:val="0"/>
                      <w:sz w:val="18"/>
                      <w:szCs w:val="18"/>
                    </w:rPr>
                    <w:t>本项目</w:t>
                  </w:r>
                  <w:r>
                    <w:rPr>
                      <w:color w:val="auto"/>
                      <w:kern w:val="0"/>
                      <w:sz w:val="18"/>
                      <w:szCs w:val="18"/>
                    </w:rPr>
                    <w:t>有毒有害和易燃易爆危险物质存储量</w:t>
                  </w:r>
                  <w:r>
                    <w:rPr>
                      <w:rFonts w:hint="eastAsia"/>
                      <w:color w:val="auto"/>
                      <w:kern w:val="0"/>
                      <w:sz w:val="18"/>
                      <w:szCs w:val="18"/>
                    </w:rPr>
                    <w:t>未</w:t>
                  </w:r>
                  <w:r>
                    <w:rPr>
                      <w:color w:val="auto"/>
                      <w:kern w:val="0"/>
                      <w:sz w:val="18"/>
                      <w:szCs w:val="18"/>
                    </w:rPr>
                    <w:t>超过临界量</w:t>
                  </w:r>
                </w:p>
              </w:tc>
              <w:tc>
                <w:tcPr>
                  <w:tcW w:w="754" w:type="pct"/>
                  <w:vAlign w:val="center"/>
                </w:tcPr>
                <w:p w14:paraId="58674A39">
                  <w:pPr>
                    <w:widowControl/>
                    <w:jc w:val="center"/>
                    <w:rPr>
                      <w:color w:val="auto"/>
                      <w:kern w:val="0"/>
                      <w:sz w:val="18"/>
                      <w:szCs w:val="18"/>
                    </w:rPr>
                  </w:pPr>
                  <w:r>
                    <w:rPr>
                      <w:rFonts w:hint="eastAsia"/>
                      <w:color w:val="auto"/>
                      <w:kern w:val="0"/>
                      <w:sz w:val="18"/>
                      <w:szCs w:val="18"/>
                    </w:rPr>
                    <w:t>否</w:t>
                  </w:r>
                </w:p>
              </w:tc>
            </w:tr>
            <w:tr w14:paraId="79CB23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689" w:type="pct"/>
                  <w:noWrap/>
                  <w:vAlign w:val="center"/>
                </w:tcPr>
                <w:p w14:paraId="56ED725D">
                  <w:pPr>
                    <w:widowControl/>
                    <w:jc w:val="center"/>
                    <w:rPr>
                      <w:color w:val="auto"/>
                      <w:kern w:val="0"/>
                      <w:sz w:val="18"/>
                      <w:szCs w:val="18"/>
                    </w:rPr>
                  </w:pPr>
                  <w:r>
                    <w:rPr>
                      <w:color w:val="auto"/>
                      <w:kern w:val="0"/>
                      <w:sz w:val="18"/>
                      <w:szCs w:val="18"/>
                    </w:rPr>
                    <w:t>生态</w:t>
                  </w:r>
                </w:p>
              </w:tc>
              <w:tc>
                <w:tcPr>
                  <w:tcW w:w="1863" w:type="pct"/>
                  <w:noWrap/>
                  <w:vAlign w:val="center"/>
                </w:tcPr>
                <w:p w14:paraId="2EB51ED8">
                  <w:pPr>
                    <w:widowControl/>
                    <w:jc w:val="center"/>
                    <w:rPr>
                      <w:color w:val="auto"/>
                      <w:kern w:val="0"/>
                      <w:sz w:val="18"/>
                      <w:szCs w:val="18"/>
                    </w:rPr>
                  </w:pPr>
                  <w:r>
                    <w:rPr>
                      <w:color w:val="auto"/>
                      <w:kern w:val="0"/>
                      <w:sz w:val="18"/>
                      <w:szCs w:val="18"/>
                    </w:rPr>
                    <w:t>取水口下游500米范围内有重要水生生物的自然产卵场、索饵场、越冬场和洄游通道的新增河道取水的污染类建设项目</w:t>
                  </w:r>
                </w:p>
              </w:tc>
              <w:tc>
                <w:tcPr>
                  <w:tcW w:w="1692" w:type="pct"/>
                  <w:noWrap/>
                  <w:vAlign w:val="center"/>
                </w:tcPr>
                <w:p w14:paraId="23A201C2">
                  <w:pPr>
                    <w:widowControl/>
                    <w:jc w:val="center"/>
                    <w:rPr>
                      <w:color w:val="auto"/>
                      <w:kern w:val="0"/>
                      <w:sz w:val="18"/>
                      <w:szCs w:val="18"/>
                    </w:rPr>
                  </w:pPr>
                  <w:r>
                    <w:rPr>
                      <w:rFonts w:hint="eastAsia"/>
                      <w:color w:val="auto"/>
                      <w:kern w:val="0"/>
                      <w:sz w:val="18"/>
                      <w:szCs w:val="18"/>
                    </w:rPr>
                    <w:t>本项目不属于新增河道取水的污染类建设项目，不影响河道生态</w:t>
                  </w:r>
                </w:p>
              </w:tc>
              <w:tc>
                <w:tcPr>
                  <w:tcW w:w="754" w:type="pct"/>
                  <w:vAlign w:val="center"/>
                </w:tcPr>
                <w:p w14:paraId="6BD72EB8">
                  <w:pPr>
                    <w:widowControl/>
                    <w:jc w:val="center"/>
                    <w:rPr>
                      <w:color w:val="auto"/>
                      <w:kern w:val="0"/>
                      <w:sz w:val="18"/>
                      <w:szCs w:val="18"/>
                    </w:rPr>
                  </w:pPr>
                  <w:r>
                    <w:rPr>
                      <w:rFonts w:hint="eastAsia"/>
                      <w:color w:val="auto"/>
                      <w:kern w:val="0"/>
                      <w:sz w:val="18"/>
                      <w:szCs w:val="18"/>
                    </w:rPr>
                    <w:t>否</w:t>
                  </w:r>
                </w:p>
              </w:tc>
            </w:tr>
            <w:tr w14:paraId="41F483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689" w:type="pct"/>
                  <w:noWrap/>
                  <w:vAlign w:val="center"/>
                </w:tcPr>
                <w:p w14:paraId="5DEEAD41">
                  <w:pPr>
                    <w:widowControl/>
                    <w:jc w:val="center"/>
                    <w:rPr>
                      <w:color w:val="auto"/>
                      <w:kern w:val="0"/>
                      <w:sz w:val="18"/>
                      <w:szCs w:val="18"/>
                    </w:rPr>
                  </w:pPr>
                  <w:r>
                    <w:rPr>
                      <w:color w:val="auto"/>
                      <w:kern w:val="0"/>
                      <w:sz w:val="18"/>
                      <w:szCs w:val="18"/>
                    </w:rPr>
                    <w:t>海洋</w:t>
                  </w:r>
                </w:p>
              </w:tc>
              <w:tc>
                <w:tcPr>
                  <w:tcW w:w="1863" w:type="pct"/>
                  <w:noWrap/>
                  <w:vAlign w:val="center"/>
                </w:tcPr>
                <w:p w14:paraId="0281FADD">
                  <w:pPr>
                    <w:widowControl/>
                    <w:jc w:val="center"/>
                    <w:rPr>
                      <w:color w:val="auto"/>
                      <w:kern w:val="0"/>
                      <w:sz w:val="18"/>
                      <w:szCs w:val="18"/>
                    </w:rPr>
                  </w:pPr>
                  <w:r>
                    <w:rPr>
                      <w:color w:val="auto"/>
                      <w:kern w:val="0"/>
                      <w:sz w:val="18"/>
                      <w:szCs w:val="18"/>
                    </w:rPr>
                    <w:t>直接向海排放污染物的海洋工程建设项目</w:t>
                  </w:r>
                </w:p>
              </w:tc>
              <w:tc>
                <w:tcPr>
                  <w:tcW w:w="1692" w:type="pct"/>
                  <w:noWrap/>
                  <w:vAlign w:val="center"/>
                </w:tcPr>
                <w:p w14:paraId="67B18C96">
                  <w:pPr>
                    <w:widowControl/>
                    <w:jc w:val="center"/>
                    <w:rPr>
                      <w:color w:val="auto"/>
                      <w:kern w:val="0"/>
                      <w:sz w:val="18"/>
                      <w:szCs w:val="18"/>
                    </w:rPr>
                  </w:pPr>
                  <w:r>
                    <w:rPr>
                      <w:rFonts w:hint="eastAsia"/>
                      <w:color w:val="auto"/>
                      <w:kern w:val="0"/>
                      <w:sz w:val="18"/>
                      <w:szCs w:val="18"/>
                    </w:rPr>
                    <w:t>本项目不属于海洋工程建设项目，不</w:t>
                  </w:r>
                  <w:r>
                    <w:rPr>
                      <w:color w:val="auto"/>
                      <w:kern w:val="0"/>
                      <w:sz w:val="18"/>
                      <w:szCs w:val="18"/>
                    </w:rPr>
                    <w:t>直接</w:t>
                  </w:r>
                  <w:r>
                    <w:rPr>
                      <w:rFonts w:hint="eastAsia"/>
                      <w:color w:val="auto"/>
                      <w:kern w:val="0"/>
                      <w:sz w:val="18"/>
                      <w:szCs w:val="18"/>
                    </w:rPr>
                    <w:t>向海排放污染物</w:t>
                  </w:r>
                </w:p>
              </w:tc>
              <w:tc>
                <w:tcPr>
                  <w:tcW w:w="754" w:type="pct"/>
                  <w:vAlign w:val="center"/>
                </w:tcPr>
                <w:p w14:paraId="7ADF6B37">
                  <w:pPr>
                    <w:widowControl/>
                    <w:jc w:val="center"/>
                    <w:rPr>
                      <w:color w:val="auto"/>
                      <w:kern w:val="0"/>
                      <w:sz w:val="18"/>
                      <w:szCs w:val="18"/>
                    </w:rPr>
                  </w:pPr>
                  <w:r>
                    <w:rPr>
                      <w:rFonts w:hint="eastAsia"/>
                      <w:color w:val="auto"/>
                      <w:kern w:val="0"/>
                      <w:sz w:val="18"/>
                      <w:szCs w:val="18"/>
                    </w:rPr>
                    <w:t>否</w:t>
                  </w:r>
                </w:p>
              </w:tc>
            </w:tr>
          </w:tbl>
          <w:p w14:paraId="0F131C07">
            <w:pPr>
              <w:autoSpaceDE w:val="0"/>
              <w:autoSpaceDN w:val="0"/>
              <w:adjustRightInd w:val="0"/>
              <w:snapToGrid w:val="0"/>
              <w:jc w:val="center"/>
              <w:rPr>
                <w:color w:val="auto"/>
                <w:kern w:val="0"/>
                <w:szCs w:val="21"/>
              </w:rPr>
            </w:pPr>
          </w:p>
        </w:tc>
      </w:tr>
      <w:tr w14:paraId="7A1B38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723" w:type="pct"/>
            <w:vAlign w:val="center"/>
          </w:tcPr>
          <w:p w14:paraId="0C5EDC15">
            <w:pPr>
              <w:autoSpaceDE w:val="0"/>
              <w:autoSpaceDN w:val="0"/>
              <w:adjustRightInd w:val="0"/>
              <w:snapToGrid w:val="0"/>
              <w:jc w:val="center"/>
              <w:rPr>
                <w:color w:val="auto"/>
                <w:kern w:val="0"/>
                <w:szCs w:val="21"/>
              </w:rPr>
            </w:pPr>
            <w:r>
              <w:rPr>
                <w:color w:val="auto"/>
                <w:szCs w:val="21"/>
              </w:rPr>
              <w:t>规划情况</w:t>
            </w:r>
          </w:p>
        </w:tc>
        <w:tc>
          <w:tcPr>
            <w:tcW w:w="4276" w:type="pct"/>
            <w:gridSpan w:val="3"/>
            <w:vAlign w:val="center"/>
          </w:tcPr>
          <w:p w14:paraId="2E2DD524">
            <w:pPr>
              <w:autoSpaceDE w:val="0"/>
              <w:autoSpaceDN w:val="0"/>
              <w:adjustRightInd w:val="0"/>
              <w:snapToGrid w:val="0"/>
              <w:spacing w:line="500" w:lineRule="exact"/>
              <w:ind w:firstLine="420" w:firstLineChars="200"/>
              <w:jc w:val="left"/>
              <w:rPr>
                <w:color w:val="auto"/>
                <w:kern w:val="0"/>
                <w:szCs w:val="21"/>
              </w:rPr>
            </w:pPr>
            <w:r>
              <w:rPr>
                <w:rFonts w:hint="eastAsia"/>
                <w:color w:val="auto"/>
                <w:kern w:val="0"/>
                <w:szCs w:val="21"/>
              </w:rPr>
              <w:t>规划名称：《连云港石化产业基地总体发展规划（修编）》</w:t>
            </w:r>
          </w:p>
          <w:p w14:paraId="2F5692CE">
            <w:pPr>
              <w:autoSpaceDE w:val="0"/>
              <w:autoSpaceDN w:val="0"/>
              <w:adjustRightInd w:val="0"/>
              <w:snapToGrid w:val="0"/>
              <w:spacing w:line="500" w:lineRule="exact"/>
              <w:ind w:firstLine="420" w:firstLineChars="200"/>
              <w:jc w:val="left"/>
              <w:rPr>
                <w:color w:val="auto"/>
                <w:kern w:val="0"/>
                <w:szCs w:val="21"/>
              </w:rPr>
            </w:pPr>
            <w:r>
              <w:rPr>
                <w:rFonts w:hint="eastAsia"/>
                <w:color w:val="auto"/>
                <w:kern w:val="0"/>
                <w:szCs w:val="21"/>
              </w:rPr>
              <w:t>审批机关：江苏省人民政府</w:t>
            </w:r>
          </w:p>
          <w:p w14:paraId="274AC2AD">
            <w:pPr>
              <w:autoSpaceDE w:val="0"/>
              <w:autoSpaceDN w:val="0"/>
              <w:adjustRightInd w:val="0"/>
              <w:snapToGrid w:val="0"/>
              <w:spacing w:line="500" w:lineRule="exact"/>
              <w:ind w:firstLine="420" w:firstLineChars="200"/>
              <w:jc w:val="left"/>
              <w:rPr>
                <w:color w:val="auto"/>
                <w:kern w:val="0"/>
                <w:szCs w:val="21"/>
              </w:rPr>
            </w:pPr>
            <w:r>
              <w:rPr>
                <w:rFonts w:hint="eastAsia"/>
                <w:color w:val="auto"/>
                <w:kern w:val="0"/>
                <w:szCs w:val="21"/>
              </w:rPr>
              <w:t>审批文件名称及文号：《省政府关于同意连云港石化产业基地总体发展规划（修编）的批复》（苏政复</w:t>
            </w:r>
            <w:r>
              <w:rPr>
                <w:rFonts w:hint="eastAsia" w:ascii="宋体" w:hAnsi="宋体"/>
                <w:color w:val="auto"/>
                <w:kern w:val="0"/>
                <w:szCs w:val="21"/>
              </w:rPr>
              <w:t>〔</w:t>
            </w:r>
            <w:r>
              <w:rPr>
                <w:rFonts w:hint="eastAsia"/>
                <w:color w:val="auto"/>
                <w:kern w:val="0"/>
                <w:szCs w:val="21"/>
              </w:rPr>
              <w:t>2021</w:t>
            </w:r>
            <w:r>
              <w:rPr>
                <w:rFonts w:hint="eastAsia" w:ascii="宋体" w:hAnsi="宋体"/>
                <w:color w:val="auto"/>
                <w:kern w:val="0"/>
                <w:szCs w:val="21"/>
              </w:rPr>
              <w:t>〕</w:t>
            </w:r>
            <w:r>
              <w:rPr>
                <w:rFonts w:hint="eastAsia"/>
                <w:color w:val="auto"/>
                <w:kern w:val="0"/>
                <w:szCs w:val="21"/>
              </w:rPr>
              <w:t>57号）</w:t>
            </w:r>
          </w:p>
        </w:tc>
      </w:tr>
      <w:tr w14:paraId="567EDE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723" w:type="pct"/>
            <w:vAlign w:val="center"/>
          </w:tcPr>
          <w:p w14:paraId="01541FB6">
            <w:pPr>
              <w:adjustRightInd w:val="0"/>
              <w:snapToGrid w:val="0"/>
              <w:jc w:val="center"/>
              <w:rPr>
                <w:color w:val="auto"/>
                <w:szCs w:val="21"/>
              </w:rPr>
            </w:pPr>
            <w:r>
              <w:rPr>
                <w:color w:val="auto"/>
                <w:szCs w:val="21"/>
              </w:rPr>
              <w:t>规划环境影响</w:t>
            </w:r>
          </w:p>
          <w:p w14:paraId="1351310F">
            <w:pPr>
              <w:adjustRightInd w:val="0"/>
              <w:snapToGrid w:val="0"/>
              <w:jc w:val="center"/>
              <w:rPr>
                <w:color w:val="auto"/>
                <w:kern w:val="0"/>
                <w:szCs w:val="21"/>
              </w:rPr>
            </w:pPr>
            <w:r>
              <w:rPr>
                <w:color w:val="auto"/>
                <w:szCs w:val="21"/>
              </w:rPr>
              <w:t>评价情况</w:t>
            </w:r>
          </w:p>
        </w:tc>
        <w:tc>
          <w:tcPr>
            <w:tcW w:w="4276" w:type="pct"/>
            <w:gridSpan w:val="3"/>
            <w:vAlign w:val="center"/>
          </w:tcPr>
          <w:p w14:paraId="151C4C50">
            <w:pPr>
              <w:autoSpaceDE w:val="0"/>
              <w:autoSpaceDN w:val="0"/>
              <w:adjustRightInd w:val="0"/>
              <w:snapToGrid w:val="0"/>
              <w:spacing w:line="500" w:lineRule="exact"/>
              <w:ind w:firstLine="420" w:firstLineChars="200"/>
              <w:jc w:val="left"/>
              <w:rPr>
                <w:color w:val="auto"/>
                <w:kern w:val="0"/>
                <w:szCs w:val="21"/>
              </w:rPr>
            </w:pPr>
            <w:r>
              <w:rPr>
                <w:rFonts w:hint="eastAsia"/>
                <w:color w:val="auto"/>
                <w:kern w:val="0"/>
                <w:szCs w:val="21"/>
              </w:rPr>
              <w:t>规划环境影响评价文件名称：《连云港石化产业基地总体发展规划修编环境影响报告书》</w:t>
            </w:r>
          </w:p>
          <w:p w14:paraId="5165B08E">
            <w:pPr>
              <w:autoSpaceDE w:val="0"/>
              <w:autoSpaceDN w:val="0"/>
              <w:adjustRightInd w:val="0"/>
              <w:snapToGrid w:val="0"/>
              <w:spacing w:line="500" w:lineRule="exact"/>
              <w:ind w:firstLine="420" w:firstLineChars="200"/>
              <w:jc w:val="left"/>
              <w:rPr>
                <w:color w:val="auto"/>
                <w:kern w:val="0"/>
                <w:szCs w:val="21"/>
              </w:rPr>
            </w:pPr>
            <w:r>
              <w:rPr>
                <w:rFonts w:hint="eastAsia"/>
                <w:color w:val="auto"/>
                <w:kern w:val="0"/>
                <w:szCs w:val="21"/>
              </w:rPr>
              <w:t>审查机关：江苏省生态环境厅</w:t>
            </w:r>
          </w:p>
          <w:p w14:paraId="4533277E">
            <w:pPr>
              <w:autoSpaceDE w:val="0"/>
              <w:autoSpaceDN w:val="0"/>
              <w:adjustRightInd w:val="0"/>
              <w:snapToGrid w:val="0"/>
              <w:spacing w:line="500" w:lineRule="exact"/>
              <w:ind w:firstLine="420" w:firstLineChars="200"/>
              <w:jc w:val="left"/>
              <w:rPr>
                <w:color w:val="auto"/>
                <w:kern w:val="0"/>
                <w:szCs w:val="21"/>
              </w:rPr>
            </w:pPr>
            <w:r>
              <w:rPr>
                <w:rFonts w:hint="eastAsia"/>
                <w:color w:val="auto"/>
                <w:kern w:val="0"/>
                <w:szCs w:val="21"/>
              </w:rPr>
              <w:t>审查文件名称及文号：《省生态环境厅关于连云港石化产业基地总体发展规划修编环境影响报告书的审查意见》（苏环审</w:t>
            </w:r>
            <w:r>
              <w:rPr>
                <w:rFonts w:hint="eastAsia" w:ascii="宋体" w:hAnsi="宋体"/>
                <w:color w:val="auto"/>
                <w:kern w:val="0"/>
                <w:szCs w:val="21"/>
              </w:rPr>
              <w:t>〔</w:t>
            </w:r>
            <w:r>
              <w:rPr>
                <w:rFonts w:hint="eastAsia"/>
                <w:color w:val="auto"/>
                <w:kern w:val="0"/>
                <w:szCs w:val="21"/>
              </w:rPr>
              <w:t>2020</w:t>
            </w:r>
            <w:r>
              <w:rPr>
                <w:rFonts w:hint="eastAsia" w:ascii="宋体" w:hAnsi="宋体"/>
                <w:color w:val="auto"/>
                <w:kern w:val="0"/>
                <w:szCs w:val="21"/>
              </w:rPr>
              <w:t>〕</w:t>
            </w:r>
            <w:r>
              <w:rPr>
                <w:rFonts w:hint="eastAsia"/>
                <w:color w:val="auto"/>
                <w:kern w:val="0"/>
                <w:szCs w:val="21"/>
              </w:rPr>
              <w:t>52号）</w:t>
            </w:r>
          </w:p>
        </w:tc>
      </w:tr>
      <w:tr w14:paraId="6D9E1B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3" w:type="pct"/>
            <w:vAlign w:val="center"/>
          </w:tcPr>
          <w:p w14:paraId="5C1D1552">
            <w:pPr>
              <w:autoSpaceDE w:val="0"/>
              <w:autoSpaceDN w:val="0"/>
              <w:adjustRightInd w:val="0"/>
              <w:snapToGrid w:val="0"/>
              <w:jc w:val="center"/>
              <w:rPr>
                <w:color w:val="auto"/>
                <w:kern w:val="0"/>
                <w:szCs w:val="21"/>
              </w:rPr>
            </w:pPr>
            <w:r>
              <w:rPr>
                <w:color w:val="auto"/>
                <w:kern w:val="0"/>
                <w:szCs w:val="21"/>
              </w:rPr>
              <w:t>规划及规划环境影响评价符合性分析</w:t>
            </w:r>
          </w:p>
        </w:tc>
        <w:tc>
          <w:tcPr>
            <w:tcW w:w="4276" w:type="pct"/>
            <w:gridSpan w:val="3"/>
            <w:vAlign w:val="center"/>
          </w:tcPr>
          <w:p w14:paraId="62C7C97F">
            <w:pPr>
              <w:adjustRightInd w:val="0"/>
              <w:snapToGrid w:val="0"/>
              <w:spacing w:line="500" w:lineRule="exact"/>
              <w:ind w:firstLine="422" w:firstLineChars="200"/>
              <w:rPr>
                <w:b/>
                <w:color w:val="auto"/>
                <w:szCs w:val="21"/>
              </w:rPr>
            </w:pPr>
            <w:r>
              <w:rPr>
                <w:rFonts w:hint="eastAsia"/>
                <w:b/>
                <w:color w:val="auto"/>
                <w:szCs w:val="21"/>
              </w:rPr>
              <w:t>1、</w:t>
            </w:r>
            <w:r>
              <w:rPr>
                <w:b/>
                <w:color w:val="auto"/>
                <w:szCs w:val="21"/>
              </w:rPr>
              <w:t>规划相符性分析</w:t>
            </w:r>
          </w:p>
          <w:p w14:paraId="38DB0369">
            <w:pPr>
              <w:snapToGrid w:val="0"/>
              <w:spacing w:line="500" w:lineRule="exact"/>
              <w:ind w:firstLine="420" w:firstLineChars="200"/>
              <w:rPr>
                <w:color w:val="auto"/>
                <w:szCs w:val="21"/>
              </w:rPr>
            </w:pPr>
            <w:r>
              <w:rPr>
                <w:rFonts w:hint="eastAsia"/>
                <w:color w:val="auto"/>
                <w:szCs w:val="21"/>
              </w:rPr>
              <w:t>《连云港石化产业基地总体发展规划（修编）》（简称修编规划）于2021年11月19日取得江苏省人民政府审查意见（</w:t>
            </w:r>
            <w:r>
              <w:rPr>
                <w:rFonts w:hint="eastAsia"/>
                <w:color w:val="auto"/>
                <w:kern w:val="0"/>
                <w:szCs w:val="21"/>
              </w:rPr>
              <w:t>苏政复</w:t>
            </w:r>
            <w:r>
              <w:rPr>
                <w:rFonts w:hint="eastAsia" w:ascii="宋体" w:hAnsi="宋体"/>
                <w:color w:val="auto"/>
                <w:kern w:val="0"/>
                <w:szCs w:val="21"/>
              </w:rPr>
              <w:t>〔</w:t>
            </w:r>
            <w:r>
              <w:rPr>
                <w:rFonts w:hint="eastAsia"/>
                <w:color w:val="auto"/>
                <w:kern w:val="0"/>
                <w:szCs w:val="21"/>
              </w:rPr>
              <w:t>2021</w:t>
            </w:r>
            <w:r>
              <w:rPr>
                <w:rFonts w:hint="eastAsia" w:ascii="宋体" w:hAnsi="宋体"/>
                <w:color w:val="auto"/>
                <w:kern w:val="0"/>
                <w:szCs w:val="21"/>
              </w:rPr>
              <w:t>〕</w:t>
            </w:r>
            <w:r>
              <w:rPr>
                <w:rFonts w:hint="eastAsia"/>
                <w:color w:val="auto"/>
                <w:kern w:val="0"/>
                <w:szCs w:val="21"/>
              </w:rPr>
              <w:t>57号</w:t>
            </w:r>
            <w:r>
              <w:rPr>
                <w:rFonts w:hint="eastAsia"/>
                <w:color w:val="auto"/>
                <w:szCs w:val="21"/>
              </w:rPr>
              <w:t>），修编后石化产业基地规划范围调整为：北起徐圩湖南，疏港大道红线南退550m，南至驳盐河及南复堆河北岸，东临复堆河西岸，西至西安路和德邦厂区西边界，规划面积61.34km</w:t>
            </w:r>
            <w:r>
              <w:rPr>
                <w:rFonts w:hint="eastAsia"/>
                <w:color w:val="auto"/>
                <w:szCs w:val="21"/>
                <w:vertAlign w:val="superscript"/>
              </w:rPr>
              <w:t>2</w:t>
            </w:r>
            <w:r>
              <w:rPr>
                <w:rFonts w:hint="eastAsia"/>
                <w:color w:val="auto"/>
                <w:szCs w:val="21"/>
              </w:rPr>
              <w:t>。</w:t>
            </w:r>
          </w:p>
          <w:p w14:paraId="74FF1DAE">
            <w:pPr>
              <w:snapToGrid w:val="0"/>
              <w:spacing w:line="500" w:lineRule="exact"/>
              <w:ind w:firstLine="420" w:firstLineChars="200"/>
              <w:rPr>
                <w:color w:val="auto"/>
                <w:szCs w:val="21"/>
              </w:rPr>
            </w:pPr>
            <w:r>
              <w:rPr>
                <w:rFonts w:hint="eastAsia"/>
                <w:color w:val="auto"/>
                <w:szCs w:val="21"/>
              </w:rPr>
              <w:t>产业布局：根据基地产业发展规划，结合基地现状，综合规划区地理位置、自然条件、环境保护、安全卫生及生产运营对周边生态环境的影响程度，将基地规划为盛虹炼化项目区、二期炼化项目区、多元化原料加工区、聚酯原料区、中化连云港循环经济产业园、化工新材料和精细化工区、物流仓储区及多点辐射的公用工程设施。</w:t>
            </w:r>
          </w:p>
          <w:p w14:paraId="6B94ABB1">
            <w:pPr>
              <w:snapToGrid w:val="0"/>
              <w:spacing w:line="500" w:lineRule="exact"/>
              <w:ind w:firstLine="420" w:firstLineChars="200"/>
              <w:rPr>
                <w:color w:val="auto"/>
                <w:szCs w:val="21"/>
              </w:rPr>
            </w:pPr>
            <w:r>
              <w:rPr>
                <w:rFonts w:hint="eastAsia"/>
                <w:color w:val="auto"/>
                <w:szCs w:val="21"/>
              </w:rPr>
              <w:t>产业定位：以提升产业竞争力为核心，稳步推进炼化一体化产业，加快发展多元化原料加工产业，大力发展石化深加工产业。形成以大型炼化一体化和多元化原料加工产业为支撑、以化工新材料和精细化工高端产业集群为特色的产业结构，打造规模、质量、效益协调发展的高端石化产业体系。</w:t>
            </w:r>
          </w:p>
          <w:p w14:paraId="3A544E61">
            <w:pPr>
              <w:snapToGrid w:val="0"/>
              <w:spacing w:line="500" w:lineRule="exact"/>
              <w:ind w:firstLine="420" w:firstLineChars="200"/>
              <w:rPr>
                <w:color w:val="auto"/>
                <w:szCs w:val="21"/>
              </w:rPr>
            </w:pPr>
            <w:r>
              <w:rPr>
                <w:rFonts w:hint="eastAsia"/>
                <w:color w:val="auto"/>
                <w:szCs w:val="21"/>
              </w:rPr>
              <w:t>相符性分析：本项目拟于江苏瑞兆科电子材料有限公司现有厂区内建设，不新增用地，符合基地用地布局和土地利用规划；江苏瑞兆科电子材料有限公司是以生产</w:t>
            </w:r>
            <w:r>
              <w:rPr>
                <w:color w:val="auto"/>
              </w:rPr>
              <w:t>电子</w:t>
            </w:r>
            <w:r>
              <w:rPr>
                <w:rFonts w:hint="eastAsia"/>
                <w:color w:val="auto"/>
                <w:lang w:val="en-US" w:eastAsia="zh-CN"/>
              </w:rPr>
              <w:t>化工</w:t>
            </w:r>
            <w:r>
              <w:rPr>
                <w:color w:val="auto"/>
              </w:rPr>
              <w:t>材料</w:t>
            </w:r>
            <w:r>
              <w:rPr>
                <w:rFonts w:hint="eastAsia"/>
                <w:color w:val="auto"/>
                <w:szCs w:val="21"/>
              </w:rPr>
              <w:t>为主的化工企业，本项目主要建设内容为将现有厂区质检及车间管理楼三楼部分改建为品控洁净实验室，新增部分配套设施，用于电子级产品分析及检测，属于</w:t>
            </w:r>
            <w:r>
              <w:rPr>
                <w:rFonts w:hint="eastAsia"/>
                <w:color w:val="auto"/>
                <w:szCs w:val="21"/>
                <w:lang w:val="en-US" w:eastAsia="zh-CN"/>
              </w:rPr>
              <w:t>产品分析及</w:t>
            </w:r>
            <w:r>
              <w:rPr>
                <w:rFonts w:hint="eastAsia"/>
                <w:color w:val="auto"/>
                <w:szCs w:val="21"/>
              </w:rPr>
              <w:t>检测型项目，不新增产品和产能，符合园区的产业定位要求。</w:t>
            </w:r>
          </w:p>
          <w:p w14:paraId="48C537ED">
            <w:pPr>
              <w:snapToGrid w:val="0"/>
              <w:spacing w:line="500" w:lineRule="exact"/>
              <w:ind w:firstLine="422" w:firstLineChars="200"/>
              <w:rPr>
                <w:b/>
                <w:color w:val="auto"/>
                <w:szCs w:val="21"/>
                <w:highlight w:val="yellow"/>
              </w:rPr>
            </w:pPr>
            <w:r>
              <w:rPr>
                <w:rFonts w:hint="eastAsia"/>
                <w:b/>
                <w:color w:val="auto"/>
                <w:szCs w:val="21"/>
              </w:rPr>
              <w:t>2、</w:t>
            </w:r>
            <w:r>
              <w:rPr>
                <w:b/>
                <w:color w:val="auto"/>
                <w:szCs w:val="21"/>
              </w:rPr>
              <w:t>规划环评</w:t>
            </w:r>
            <w:r>
              <w:rPr>
                <w:rFonts w:hint="eastAsia"/>
                <w:b/>
                <w:color w:val="auto"/>
                <w:szCs w:val="21"/>
              </w:rPr>
              <w:t>与审查意见</w:t>
            </w:r>
            <w:r>
              <w:rPr>
                <w:b/>
                <w:color w:val="auto"/>
                <w:szCs w:val="21"/>
              </w:rPr>
              <w:t>相符性分析</w:t>
            </w:r>
          </w:p>
          <w:p w14:paraId="6116A557">
            <w:pPr>
              <w:snapToGrid w:val="0"/>
              <w:spacing w:line="500" w:lineRule="exact"/>
              <w:ind w:firstLine="420" w:firstLineChars="200"/>
              <w:rPr>
                <w:color w:val="auto"/>
                <w:kern w:val="0"/>
                <w:szCs w:val="21"/>
              </w:rPr>
            </w:pPr>
            <w:r>
              <w:rPr>
                <w:rFonts w:hint="eastAsia"/>
                <w:color w:val="auto"/>
                <w:kern w:val="0"/>
                <w:szCs w:val="21"/>
              </w:rPr>
              <w:t>《连云港石化产业基地总体发展规划修编》已于2020年12月31日取得审查意见，在此对照《连云港石化产业基地规划修编环境影响报告书》（2020年12月）及规划修编环评审查意见（苏环审</w:t>
            </w:r>
            <w:r>
              <w:rPr>
                <w:rFonts w:hint="eastAsia"/>
                <w:color w:val="auto"/>
                <w:kern w:val="0"/>
                <w:szCs w:val="21"/>
                <w:lang w:eastAsia="zh-CN"/>
              </w:rPr>
              <w:t>〔2020〕52号</w:t>
            </w:r>
            <w:r>
              <w:rPr>
                <w:rFonts w:hint="eastAsia"/>
                <w:color w:val="auto"/>
                <w:kern w:val="0"/>
                <w:szCs w:val="21"/>
              </w:rPr>
              <w:t>）进行相符性分析，分析结果见表1-1。</w:t>
            </w:r>
          </w:p>
          <w:p w14:paraId="50FF4C20">
            <w:pPr>
              <w:snapToGrid w:val="0"/>
              <w:spacing w:line="500" w:lineRule="exact"/>
              <w:ind w:firstLine="420" w:firstLineChars="200"/>
              <w:rPr>
                <w:color w:val="auto"/>
                <w:kern w:val="0"/>
                <w:szCs w:val="21"/>
              </w:rPr>
            </w:pPr>
            <w:r>
              <w:rPr>
                <w:rFonts w:hint="eastAsia"/>
                <w:color w:val="auto"/>
                <w:kern w:val="0"/>
                <w:szCs w:val="21"/>
              </w:rPr>
              <w:t>相符性分析：由表1-1可知，本项目满足规划修编环评中环境准入基本要求和生态环境准入清单，不属于产业负面清单建设项目，符合规划修编环评审查意见的相关要求。</w:t>
            </w:r>
          </w:p>
          <w:p w14:paraId="6D1836F9">
            <w:pPr>
              <w:snapToGrid w:val="0"/>
              <w:spacing w:line="500" w:lineRule="exact"/>
              <w:jc w:val="center"/>
              <w:rPr>
                <w:b/>
                <w:color w:val="auto"/>
                <w:szCs w:val="21"/>
              </w:rPr>
            </w:pPr>
            <w:r>
              <w:rPr>
                <w:rFonts w:hint="eastAsia"/>
                <w:b/>
                <w:color w:val="auto"/>
                <w:szCs w:val="21"/>
              </w:rPr>
              <w:t>表1-</w:t>
            </w:r>
            <w:r>
              <w:rPr>
                <w:b/>
                <w:color w:val="auto"/>
                <w:szCs w:val="21"/>
              </w:rPr>
              <w:t>1</w:t>
            </w:r>
            <w:r>
              <w:rPr>
                <w:rFonts w:hint="eastAsia"/>
                <w:b/>
                <w:color w:val="auto"/>
                <w:szCs w:val="21"/>
              </w:rPr>
              <w:t xml:space="preserve"> </w:t>
            </w:r>
            <w:r>
              <w:rPr>
                <w:b/>
                <w:color w:val="auto"/>
                <w:szCs w:val="21"/>
              </w:rPr>
              <w:t xml:space="preserve"> </w:t>
            </w:r>
            <w:r>
              <w:rPr>
                <w:rFonts w:hint="eastAsia"/>
                <w:b/>
                <w:color w:val="auto"/>
                <w:szCs w:val="21"/>
              </w:rPr>
              <w:t>本项目与规划环评及审查意见相符性对照表</w:t>
            </w:r>
          </w:p>
          <w:tbl>
            <w:tblPr>
              <w:tblStyle w:val="21"/>
              <w:tblW w:w="5000"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7" w:type="dxa"/>
                <w:bottom w:w="0" w:type="dxa"/>
                <w:right w:w="17" w:type="dxa"/>
              </w:tblCellMar>
            </w:tblPr>
            <w:tblGrid>
              <w:gridCol w:w="226"/>
              <w:gridCol w:w="225"/>
              <w:gridCol w:w="156"/>
              <w:gridCol w:w="228"/>
              <w:gridCol w:w="3649"/>
              <w:gridCol w:w="2609"/>
              <w:gridCol w:w="413"/>
            </w:tblGrid>
            <w:tr w14:paraId="6DF7AED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7" w:type="dxa"/>
                  <w:bottom w:w="0" w:type="dxa"/>
                  <w:right w:w="17" w:type="dxa"/>
                </w:tblCellMar>
              </w:tblPrEx>
              <w:trPr>
                <w:jc w:val="center"/>
              </w:trPr>
              <w:tc>
                <w:tcPr>
                  <w:tcW w:w="300" w:type="pct"/>
                  <w:gridSpan w:val="2"/>
                  <w:vAlign w:val="center"/>
                </w:tcPr>
                <w:p w14:paraId="67094867">
                  <w:pPr>
                    <w:widowControl/>
                    <w:adjustRightInd w:val="0"/>
                    <w:snapToGrid w:val="0"/>
                    <w:jc w:val="center"/>
                    <w:rPr>
                      <w:b/>
                      <w:color w:val="auto"/>
                      <w:sz w:val="18"/>
                      <w:szCs w:val="18"/>
                    </w:rPr>
                  </w:pPr>
                  <w:r>
                    <w:rPr>
                      <w:b/>
                      <w:color w:val="auto"/>
                      <w:sz w:val="18"/>
                      <w:szCs w:val="18"/>
                    </w:rPr>
                    <w:t>类别</w:t>
                  </w:r>
                </w:p>
              </w:tc>
              <w:tc>
                <w:tcPr>
                  <w:tcW w:w="2687" w:type="pct"/>
                  <w:gridSpan w:val="3"/>
                  <w:vAlign w:val="center"/>
                </w:tcPr>
                <w:p w14:paraId="24CCFF12">
                  <w:pPr>
                    <w:widowControl/>
                    <w:adjustRightInd w:val="0"/>
                    <w:snapToGrid w:val="0"/>
                    <w:jc w:val="center"/>
                    <w:rPr>
                      <w:b/>
                      <w:color w:val="auto"/>
                      <w:sz w:val="18"/>
                      <w:szCs w:val="18"/>
                    </w:rPr>
                  </w:pPr>
                  <w:r>
                    <w:rPr>
                      <w:b/>
                      <w:color w:val="auto"/>
                      <w:sz w:val="18"/>
                      <w:szCs w:val="18"/>
                    </w:rPr>
                    <w:t>规划（修编）环评要求</w:t>
                  </w:r>
                </w:p>
              </w:tc>
              <w:tc>
                <w:tcPr>
                  <w:tcW w:w="1738" w:type="pct"/>
                  <w:vAlign w:val="center"/>
                </w:tcPr>
                <w:p w14:paraId="74E8B26E">
                  <w:pPr>
                    <w:widowControl/>
                    <w:adjustRightInd w:val="0"/>
                    <w:snapToGrid w:val="0"/>
                    <w:jc w:val="center"/>
                    <w:rPr>
                      <w:b/>
                      <w:color w:val="auto"/>
                      <w:sz w:val="18"/>
                      <w:szCs w:val="18"/>
                    </w:rPr>
                  </w:pPr>
                  <w:r>
                    <w:rPr>
                      <w:b/>
                      <w:color w:val="auto"/>
                      <w:sz w:val="18"/>
                      <w:szCs w:val="18"/>
                    </w:rPr>
                    <w:t>本项目情况</w:t>
                  </w:r>
                </w:p>
              </w:tc>
              <w:tc>
                <w:tcPr>
                  <w:tcW w:w="275" w:type="pct"/>
                  <w:vAlign w:val="center"/>
                </w:tcPr>
                <w:p w14:paraId="5E3095C8">
                  <w:pPr>
                    <w:widowControl/>
                    <w:adjustRightInd w:val="0"/>
                    <w:snapToGrid w:val="0"/>
                    <w:jc w:val="center"/>
                    <w:rPr>
                      <w:b/>
                      <w:color w:val="auto"/>
                      <w:sz w:val="18"/>
                      <w:szCs w:val="18"/>
                    </w:rPr>
                  </w:pPr>
                  <w:r>
                    <w:rPr>
                      <w:b/>
                      <w:color w:val="auto"/>
                      <w:sz w:val="18"/>
                      <w:szCs w:val="18"/>
                    </w:rPr>
                    <w:t>判定</w:t>
                  </w:r>
                </w:p>
              </w:tc>
            </w:tr>
            <w:tr w14:paraId="2B4F41F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7" w:type="dxa"/>
                  <w:bottom w:w="0" w:type="dxa"/>
                  <w:right w:w="17" w:type="dxa"/>
                </w:tblCellMar>
              </w:tblPrEx>
              <w:trPr>
                <w:jc w:val="center"/>
              </w:trPr>
              <w:tc>
                <w:tcPr>
                  <w:tcW w:w="150" w:type="pct"/>
                  <w:vMerge w:val="restart"/>
                  <w:vAlign w:val="center"/>
                </w:tcPr>
                <w:p w14:paraId="4F296AD4">
                  <w:pPr>
                    <w:widowControl/>
                    <w:adjustRightInd w:val="0"/>
                    <w:snapToGrid w:val="0"/>
                    <w:jc w:val="center"/>
                    <w:rPr>
                      <w:color w:val="auto"/>
                      <w:sz w:val="18"/>
                      <w:szCs w:val="18"/>
                    </w:rPr>
                  </w:pPr>
                  <w:r>
                    <w:rPr>
                      <w:color w:val="auto"/>
                      <w:sz w:val="18"/>
                      <w:szCs w:val="18"/>
                    </w:rPr>
                    <w:t>规划环评</w:t>
                  </w:r>
                </w:p>
              </w:tc>
              <w:tc>
                <w:tcPr>
                  <w:tcW w:w="150" w:type="pct"/>
                  <w:vAlign w:val="center"/>
                </w:tcPr>
                <w:p w14:paraId="6364F0CB">
                  <w:pPr>
                    <w:widowControl/>
                    <w:adjustRightInd w:val="0"/>
                    <w:snapToGrid w:val="0"/>
                    <w:jc w:val="center"/>
                    <w:rPr>
                      <w:color w:val="auto"/>
                      <w:sz w:val="18"/>
                      <w:szCs w:val="18"/>
                    </w:rPr>
                  </w:pPr>
                  <w:r>
                    <w:rPr>
                      <w:color w:val="auto"/>
                      <w:sz w:val="18"/>
                      <w:szCs w:val="18"/>
                    </w:rPr>
                    <w:t>环境准入</w:t>
                  </w:r>
                </w:p>
                <w:p w14:paraId="0715B9F2">
                  <w:pPr>
                    <w:widowControl/>
                    <w:adjustRightInd w:val="0"/>
                    <w:snapToGrid w:val="0"/>
                    <w:jc w:val="center"/>
                    <w:rPr>
                      <w:color w:val="auto"/>
                      <w:sz w:val="18"/>
                      <w:szCs w:val="18"/>
                    </w:rPr>
                  </w:pPr>
                  <w:r>
                    <w:rPr>
                      <w:color w:val="auto"/>
                      <w:sz w:val="18"/>
                      <w:szCs w:val="18"/>
                    </w:rPr>
                    <w:t>基本要求</w:t>
                  </w:r>
                </w:p>
              </w:tc>
              <w:tc>
                <w:tcPr>
                  <w:tcW w:w="2687" w:type="pct"/>
                  <w:gridSpan w:val="3"/>
                  <w:vAlign w:val="center"/>
                </w:tcPr>
                <w:p w14:paraId="3B31E192">
                  <w:pPr>
                    <w:widowControl/>
                    <w:adjustRightInd w:val="0"/>
                    <w:snapToGrid w:val="0"/>
                    <w:jc w:val="left"/>
                    <w:rPr>
                      <w:color w:val="auto"/>
                      <w:sz w:val="18"/>
                      <w:szCs w:val="18"/>
                    </w:rPr>
                  </w:pPr>
                  <w:r>
                    <w:rPr>
                      <w:rFonts w:hint="eastAsia" w:ascii="宋体" w:hAnsi="宋体" w:cs="宋体"/>
                      <w:color w:val="auto"/>
                      <w:sz w:val="18"/>
                      <w:szCs w:val="18"/>
                    </w:rPr>
                    <w:t>①</w:t>
                  </w:r>
                  <w:r>
                    <w:rPr>
                      <w:color w:val="auto"/>
                      <w:sz w:val="18"/>
                      <w:szCs w:val="18"/>
                    </w:rPr>
                    <w:t>引进的项目必须符合国家的产业政策，积极引进鼓励类项目，优先引进上下游产业协同发展的项目，比如：烯类产品链（乙烯、丙烯、丁二烯等及衍生品）、芳烃类产品链（苯、甲苯、二甲苯等及衍生品）。</w:t>
                  </w:r>
                </w:p>
                <w:p w14:paraId="5AC1B558">
                  <w:pPr>
                    <w:widowControl/>
                    <w:adjustRightInd w:val="0"/>
                    <w:snapToGrid w:val="0"/>
                    <w:jc w:val="left"/>
                    <w:rPr>
                      <w:color w:val="auto"/>
                      <w:sz w:val="18"/>
                      <w:szCs w:val="18"/>
                    </w:rPr>
                  </w:pPr>
                  <w:r>
                    <w:rPr>
                      <w:rFonts w:hint="eastAsia" w:ascii="宋体" w:hAnsi="宋体" w:cs="宋体"/>
                      <w:color w:val="auto"/>
                      <w:sz w:val="18"/>
                      <w:szCs w:val="18"/>
                    </w:rPr>
                    <w:t>②</w:t>
                  </w:r>
                  <w:r>
                    <w:rPr>
                      <w:color w:val="auto"/>
                      <w:sz w:val="18"/>
                      <w:szCs w:val="18"/>
                    </w:rPr>
                    <w:t>引进的项目生产工艺、装备技术、清洁生产水平等应达到国内领先或国际先进水平，优先引进资源能源消耗小、污染物排放少、产品附加值高的工艺技术、产品或项目。</w:t>
                  </w:r>
                </w:p>
                <w:p w14:paraId="25B43C4E">
                  <w:pPr>
                    <w:widowControl/>
                    <w:adjustRightInd w:val="0"/>
                    <w:snapToGrid w:val="0"/>
                    <w:jc w:val="left"/>
                    <w:rPr>
                      <w:color w:val="auto"/>
                      <w:sz w:val="18"/>
                      <w:szCs w:val="18"/>
                    </w:rPr>
                  </w:pPr>
                  <w:r>
                    <w:rPr>
                      <w:rFonts w:hint="eastAsia" w:ascii="宋体" w:hAnsi="宋体" w:cs="宋体"/>
                      <w:color w:val="auto"/>
                      <w:sz w:val="18"/>
                      <w:szCs w:val="18"/>
                    </w:rPr>
                    <w:t>③</w:t>
                  </w:r>
                  <w:r>
                    <w:rPr>
                      <w:color w:val="auto"/>
                      <w:sz w:val="18"/>
                      <w:szCs w:val="18"/>
                    </w:rPr>
                    <w:t>引进的项目必须具备完善、有效的“三废”治理措施，能够实现废水、废气等污染物的稳定达标排放，保障区域环境功能区达标。</w:t>
                  </w:r>
                </w:p>
                <w:p w14:paraId="64A1C2D2">
                  <w:pPr>
                    <w:widowControl/>
                    <w:adjustRightInd w:val="0"/>
                    <w:snapToGrid w:val="0"/>
                    <w:jc w:val="left"/>
                    <w:rPr>
                      <w:color w:val="auto"/>
                      <w:sz w:val="18"/>
                      <w:szCs w:val="18"/>
                    </w:rPr>
                  </w:pPr>
                  <w:r>
                    <w:rPr>
                      <w:rFonts w:hint="eastAsia" w:ascii="宋体" w:hAnsi="宋体" w:cs="宋体"/>
                      <w:color w:val="auto"/>
                      <w:sz w:val="18"/>
                      <w:szCs w:val="18"/>
                    </w:rPr>
                    <w:t>④</w:t>
                  </w:r>
                  <w:r>
                    <w:rPr>
                      <w:color w:val="auto"/>
                      <w:sz w:val="18"/>
                      <w:szCs w:val="18"/>
                    </w:rPr>
                    <w:t>强化污染物排放强度指标约束，引进项目污染物排放总量必须在基地允许排放总量范围内。</w:t>
                  </w:r>
                </w:p>
                <w:p w14:paraId="4053198E">
                  <w:pPr>
                    <w:widowControl/>
                    <w:adjustRightInd w:val="0"/>
                    <w:snapToGrid w:val="0"/>
                    <w:jc w:val="left"/>
                    <w:rPr>
                      <w:color w:val="auto"/>
                      <w:sz w:val="18"/>
                      <w:szCs w:val="18"/>
                    </w:rPr>
                  </w:pPr>
                  <w:r>
                    <w:rPr>
                      <w:rFonts w:hint="eastAsia" w:ascii="宋体" w:hAnsi="宋体" w:cs="宋体"/>
                      <w:color w:val="auto"/>
                      <w:sz w:val="18"/>
                      <w:szCs w:val="18"/>
                    </w:rPr>
                    <w:t>⑤</w:t>
                  </w:r>
                  <w:r>
                    <w:rPr>
                      <w:color w:val="auto"/>
                      <w:sz w:val="18"/>
                      <w:szCs w:val="18"/>
                    </w:rPr>
                    <w:t>引进的项目环境风险必须可控，优先引进环境风险小的项目。</w:t>
                  </w:r>
                </w:p>
                <w:p w14:paraId="5CB62512">
                  <w:pPr>
                    <w:widowControl/>
                    <w:adjustRightInd w:val="0"/>
                    <w:snapToGrid w:val="0"/>
                    <w:jc w:val="left"/>
                    <w:rPr>
                      <w:color w:val="auto"/>
                      <w:sz w:val="18"/>
                      <w:szCs w:val="18"/>
                    </w:rPr>
                  </w:pPr>
                  <w:r>
                    <w:rPr>
                      <w:rFonts w:hint="eastAsia" w:ascii="宋体" w:hAnsi="宋体" w:cs="宋体"/>
                      <w:color w:val="auto"/>
                      <w:sz w:val="18"/>
                      <w:szCs w:val="18"/>
                    </w:rPr>
                    <w:t>⑥</w:t>
                  </w:r>
                  <w:r>
                    <w:rPr>
                      <w:color w:val="auto"/>
                      <w:sz w:val="18"/>
                      <w:szCs w:val="18"/>
                    </w:rPr>
                    <w:t>炼油装置单位能量因数能耗达到国家先进水平（≤7.0千克标准油/吨•能量因数），炼油装置综合能耗应控制在80kg标油/t原料，石油炼制、乙烯装置水耗应分别控制在0.5m</w:t>
                  </w:r>
                  <w:r>
                    <w:rPr>
                      <w:color w:val="auto"/>
                      <w:sz w:val="18"/>
                      <w:szCs w:val="18"/>
                      <w:vertAlign w:val="superscript"/>
                    </w:rPr>
                    <w:t>3</w:t>
                  </w:r>
                  <w:r>
                    <w:rPr>
                      <w:color w:val="auto"/>
                      <w:sz w:val="18"/>
                      <w:szCs w:val="18"/>
                    </w:rPr>
                    <w:t>/t、8m</w:t>
                  </w:r>
                  <w:r>
                    <w:rPr>
                      <w:color w:val="auto"/>
                      <w:sz w:val="18"/>
                      <w:szCs w:val="18"/>
                      <w:vertAlign w:val="superscript"/>
                    </w:rPr>
                    <w:t>3</w:t>
                  </w:r>
                  <w:r>
                    <w:rPr>
                      <w:color w:val="auto"/>
                      <w:sz w:val="18"/>
                      <w:szCs w:val="18"/>
                    </w:rPr>
                    <w:t>/t产品以下。</w:t>
                  </w:r>
                </w:p>
                <w:p w14:paraId="6714C486">
                  <w:pPr>
                    <w:widowControl/>
                    <w:adjustRightInd w:val="0"/>
                    <w:snapToGrid w:val="0"/>
                    <w:jc w:val="left"/>
                    <w:rPr>
                      <w:color w:val="auto"/>
                      <w:sz w:val="18"/>
                      <w:szCs w:val="18"/>
                    </w:rPr>
                  </w:pPr>
                  <w:r>
                    <w:rPr>
                      <w:rFonts w:hint="eastAsia" w:ascii="宋体" w:hAnsi="宋体" w:cs="宋体"/>
                      <w:color w:val="auto"/>
                      <w:sz w:val="18"/>
                      <w:szCs w:val="18"/>
                    </w:rPr>
                    <w:t>⑦</w:t>
                  </w:r>
                  <w:r>
                    <w:rPr>
                      <w:color w:val="auto"/>
                      <w:sz w:val="18"/>
                      <w:szCs w:val="18"/>
                    </w:rPr>
                    <w:t>炼油装置VOCs排放量应控制在0.011%吨原油加工量以下。</w:t>
                  </w:r>
                </w:p>
                <w:p w14:paraId="1937FD7D">
                  <w:pPr>
                    <w:widowControl/>
                    <w:adjustRightInd w:val="0"/>
                    <w:snapToGrid w:val="0"/>
                    <w:jc w:val="left"/>
                    <w:rPr>
                      <w:color w:val="auto"/>
                      <w:sz w:val="18"/>
                      <w:szCs w:val="18"/>
                    </w:rPr>
                  </w:pPr>
                  <w:r>
                    <w:rPr>
                      <w:rFonts w:hint="eastAsia" w:ascii="宋体" w:hAnsi="宋体" w:cs="宋体"/>
                      <w:color w:val="auto"/>
                      <w:sz w:val="18"/>
                      <w:szCs w:val="18"/>
                    </w:rPr>
                    <w:t>⑧</w:t>
                  </w:r>
                  <w:r>
                    <w:rPr>
                      <w:color w:val="auto"/>
                      <w:sz w:val="18"/>
                      <w:szCs w:val="18"/>
                    </w:rPr>
                    <w:t>IGCC锅炉：SO</w:t>
                  </w:r>
                  <w:r>
                    <w:rPr>
                      <w:color w:val="auto"/>
                      <w:sz w:val="18"/>
                      <w:szCs w:val="18"/>
                      <w:vertAlign w:val="subscript"/>
                    </w:rPr>
                    <w:t>2</w:t>
                  </w:r>
                  <w:r>
                    <w:rPr>
                      <w:color w:val="auto"/>
                      <w:sz w:val="18"/>
                      <w:szCs w:val="18"/>
                    </w:rPr>
                    <w:t>60mg/m</w:t>
                  </w:r>
                  <w:r>
                    <w:rPr>
                      <w:color w:val="auto"/>
                      <w:sz w:val="18"/>
                      <w:szCs w:val="18"/>
                      <w:vertAlign w:val="superscript"/>
                    </w:rPr>
                    <w:t>3</w:t>
                  </w:r>
                  <w:r>
                    <w:rPr>
                      <w:color w:val="auto"/>
                      <w:sz w:val="18"/>
                      <w:szCs w:val="18"/>
                    </w:rPr>
                    <w:t>、NO</w:t>
                  </w:r>
                  <w:r>
                    <w:rPr>
                      <w:color w:val="auto"/>
                      <w:sz w:val="18"/>
                      <w:szCs w:val="18"/>
                      <w:vertAlign w:val="subscript"/>
                    </w:rPr>
                    <w:t>x</w:t>
                  </w:r>
                  <w:r>
                    <w:rPr>
                      <w:color w:val="auto"/>
                      <w:sz w:val="18"/>
                      <w:szCs w:val="18"/>
                    </w:rPr>
                    <w:t>50mg/m</w:t>
                  </w:r>
                  <w:r>
                    <w:rPr>
                      <w:color w:val="auto"/>
                      <w:sz w:val="18"/>
                      <w:szCs w:val="18"/>
                      <w:vertAlign w:val="superscript"/>
                    </w:rPr>
                    <w:t>3</w:t>
                  </w:r>
                  <w:r>
                    <w:rPr>
                      <w:color w:val="auto"/>
                      <w:sz w:val="18"/>
                      <w:szCs w:val="18"/>
                    </w:rPr>
                    <w:t>、烟尘5mg/m</w:t>
                  </w:r>
                  <w:r>
                    <w:rPr>
                      <w:color w:val="auto"/>
                      <w:sz w:val="18"/>
                      <w:szCs w:val="18"/>
                      <w:vertAlign w:val="superscript"/>
                    </w:rPr>
                    <w:t>3</w:t>
                  </w:r>
                  <w:r>
                    <w:rPr>
                      <w:color w:val="auto"/>
                      <w:sz w:val="18"/>
                      <w:szCs w:val="18"/>
                    </w:rPr>
                    <w:t>。石油炼制及石油化学工艺加热炉：SO</w:t>
                  </w:r>
                  <w:r>
                    <w:rPr>
                      <w:color w:val="auto"/>
                      <w:sz w:val="18"/>
                      <w:szCs w:val="18"/>
                      <w:vertAlign w:val="subscript"/>
                    </w:rPr>
                    <w:t>2</w:t>
                  </w:r>
                  <w:r>
                    <w:rPr>
                      <w:color w:val="auto"/>
                      <w:sz w:val="18"/>
                      <w:szCs w:val="18"/>
                    </w:rPr>
                    <w:t>50mg/m</w:t>
                  </w:r>
                  <w:r>
                    <w:rPr>
                      <w:color w:val="auto"/>
                      <w:sz w:val="18"/>
                      <w:szCs w:val="18"/>
                      <w:vertAlign w:val="superscript"/>
                    </w:rPr>
                    <w:t>3</w:t>
                  </w:r>
                  <w:r>
                    <w:rPr>
                      <w:color w:val="auto"/>
                      <w:sz w:val="18"/>
                      <w:szCs w:val="18"/>
                    </w:rPr>
                    <w:t>、NO</w:t>
                  </w:r>
                  <w:r>
                    <w:rPr>
                      <w:color w:val="auto"/>
                      <w:sz w:val="18"/>
                      <w:szCs w:val="18"/>
                      <w:vertAlign w:val="subscript"/>
                    </w:rPr>
                    <w:t>x</w:t>
                  </w:r>
                  <w:r>
                    <w:rPr>
                      <w:color w:val="auto"/>
                      <w:sz w:val="18"/>
                      <w:szCs w:val="18"/>
                    </w:rPr>
                    <w:t>100mg/m</w:t>
                  </w:r>
                  <w:r>
                    <w:rPr>
                      <w:color w:val="auto"/>
                      <w:sz w:val="18"/>
                      <w:szCs w:val="18"/>
                      <w:vertAlign w:val="superscript"/>
                    </w:rPr>
                    <w:t>3</w:t>
                  </w:r>
                  <w:r>
                    <w:rPr>
                      <w:color w:val="auto"/>
                      <w:sz w:val="18"/>
                      <w:szCs w:val="18"/>
                    </w:rPr>
                    <w:t>、烟尘20mg/m</w:t>
                  </w:r>
                  <w:r>
                    <w:rPr>
                      <w:color w:val="auto"/>
                      <w:sz w:val="18"/>
                      <w:szCs w:val="18"/>
                      <w:vertAlign w:val="superscript"/>
                    </w:rPr>
                    <w:t>3</w:t>
                  </w:r>
                  <w:r>
                    <w:rPr>
                      <w:color w:val="auto"/>
                      <w:sz w:val="18"/>
                      <w:szCs w:val="18"/>
                    </w:rPr>
                    <w:t>。</w:t>
                  </w:r>
                </w:p>
                <w:p w14:paraId="3B7B9EF1">
                  <w:pPr>
                    <w:widowControl/>
                    <w:adjustRightInd w:val="0"/>
                    <w:snapToGrid w:val="0"/>
                    <w:jc w:val="left"/>
                    <w:rPr>
                      <w:color w:val="auto"/>
                      <w:sz w:val="18"/>
                      <w:szCs w:val="18"/>
                    </w:rPr>
                  </w:pPr>
                  <w:r>
                    <w:rPr>
                      <w:rFonts w:hint="eastAsia" w:ascii="宋体" w:hAnsi="宋体" w:cs="宋体"/>
                      <w:color w:val="auto"/>
                      <w:sz w:val="18"/>
                      <w:szCs w:val="18"/>
                    </w:rPr>
                    <w:t>⑨</w:t>
                  </w:r>
                  <w:r>
                    <w:rPr>
                      <w:color w:val="auto"/>
                      <w:sz w:val="18"/>
                      <w:szCs w:val="18"/>
                    </w:rPr>
                    <w:t>石油炼制项目废水接管标准应执行《石油炼制工业污染物排放标准》（GB31570-2015）间接排放水污染物特别限值及污水处理厂接管要求，石油化工项目废水接管标准应执行《石油化学工业污染物排放标准》（GB31571-2015）间接排放水污染物特别限值及污水处理厂接管要求。</w:t>
                  </w:r>
                </w:p>
              </w:tc>
              <w:tc>
                <w:tcPr>
                  <w:tcW w:w="1738" w:type="pct"/>
                  <w:vAlign w:val="center"/>
                </w:tcPr>
                <w:p w14:paraId="5BAFA984">
                  <w:pPr>
                    <w:widowControl/>
                    <w:adjustRightInd w:val="0"/>
                    <w:snapToGrid w:val="0"/>
                    <w:jc w:val="left"/>
                    <w:rPr>
                      <w:color w:val="auto"/>
                      <w:sz w:val="18"/>
                      <w:szCs w:val="18"/>
                    </w:rPr>
                  </w:pPr>
                  <w:r>
                    <w:rPr>
                      <w:rFonts w:hint="eastAsia" w:ascii="宋体" w:hAnsi="宋体"/>
                      <w:color w:val="auto"/>
                      <w:sz w:val="18"/>
                      <w:szCs w:val="18"/>
                    </w:rPr>
                    <w:t>①</w:t>
                  </w:r>
                  <w:r>
                    <w:rPr>
                      <w:rFonts w:hint="eastAsia"/>
                      <w:color w:val="auto"/>
                      <w:sz w:val="18"/>
                      <w:szCs w:val="18"/>
                    </w:rPr>
                    <w:t>本项目主要建设内容为将质检及车间管理楼三楼部分改建为品控洁净实验室，新增部分配套设施，用于现有项目电子级产品分析及检测，不新增产品和产能，属于产业链配套辅助设施，</w:t>
                  </w:r>
                  <w:r>
                    <w:rPr>
                      <w:color w:val="auto"/>
                      <w:sz w:val="18"/>
                      <w:szCs w:val="18"/>
                    </w:rPr>
                    <w:t>符合国家的产业政策。</w:t>
                  </w:r>
                </w:p>
                <w:p w14:paraId="3F4D2368">
                  <w:pPr>
                    <w:widowControl/>
                    <w:adjustRightInd w:val="0"/>
                    <w:snapToGrid w:val="0"/>
                    <w:jc w:val="left"/>
                    <w:rPr>
                      <w:color w:val="auto"/>
                      <w:sz w:val="18"/>
                      <w:szCs w:val="18"/>
                    </w:rPr>
                  </w:pPr>
                  <w:r>
                    <w:rPr>
                      <w:rFonts w:hint="eastAsia"/>
                      <w:color w:val="auto"/>
                      <w:sz w:val="18"/>
                      <w:szCs w:val="18"/>
                    </w:rPr>
                    <w:t>②</w:t>
                  </w:r>
                  <w:r>
                    <w:rPr>
                      <w:color w:val="auto"/>
                      <w:sz w:val="18"/>
                      <w:szCs w:val="18"/>
                    </w:rPr>
                    <w:t>本项目</w:t>
                  </w:r>
                  <w:r>
                    <w:rPr>
                      <w:rFonts w:hint="eastAsia"/>
                      <w:color w:val="auto"/>
                      <w:sz w:val="18"/>
                      <w:szCs w:val="18"/>
                    </w:rPr>
                    <w:t>不涉及</w:t>
                  </w:r>
                  <w:r>
                    <w:rPr>
                      <w:color w:val="auto"/>
                      <w:sz w:val="18"/>
                      <w:szCs w:val="18"/>
                    </w:rPr>
                    <w:t>生产工艺、</w:t>
                  </w:r>
                  <w:r>
                    <w:rPr>
                      <w:rFonts w:hint="eastAsia"/>
                      <w:color w:val="auto"/>
                      <w:sz w:val="18"/>
                      <w:szCs w:val="18"/>
                    </w:rPr>
                    <w:t>检测装备</w:t>
                  </w:r>
                  <w:r>
                    <w:rPr>
                      <w:color w:val="auto"/>
                      <w:sz w:val="18"/>
                      <w:szCs w:val="18"/>
                    </w:rPr>
                    <w:t>国际</w:t>
                  </w:r>
                  <w:r>
                    <w:rPr>
                      <w:rFonts w:hint="eastAsia"/>
                      <w:color w:val="auto"/>
                      <w:sz w:val="18"/>
                      <w:szCs w:val="18"/>
                    </w:rPr>
                    <w:t>先进，能耗物耗增量小；实验废气、废水、固废均收集处置，污染物产生量少，间接保障企业现有高附加值主产品稳定生产，满足园区管控要求</w:t>
                  </w:r>
                  <w:r>
                    <w:rPr>
                      <w:color w:val="auto"/>
                      <w:sz w:val="18"/>
                      <w:szCs w:val="18"/>
                    </w:rPr>
                    <w:t>。</w:t>
                  </w:r>
                </w:p>
                <w:p w14:paraId="511C9717">
                  <w:pPr>
                    <w:widowControl/>
                    <w:adjustRightInd w:val="0"/>
                    <w:snapToGrid w:val="0"/>
                    <w:jc w:val="left"/>
                    <w:rPr>
                      <w:color w:val="auto"/>
                      <w:sz w:val="18"/>
                      <w:szCs w:val="18"/>
                    </w:rPr>
                  </w:pPr>
                  <w:r>
                    <w:rPr>
                      <w:rFonts w:hint="eastAsia"/>
                      <w:color w:val="auto"/>
                      <w:sz w:val="18"/>
                      <w:szCs w:val="18"/>
                    </w:rPr>
                    <w:t>③</w:t>
                  </w:r>
                  <w:r>
                    <w:rPr>
                      <w:color w:val="auto"/>
                      <w:sz w:val="18"/>
                      <w:szCs w:val="18"/>
                    </w:rPr>
                    <w:t>项目产生的废气、废水、固废（液）等污染物采取完善的治理措施，能够保证稳定达标排放。</w:t>
                  </w:r>
                </w:p>
                <w:p w14:paraId="24C58458">
                  <w:pPr>
                    <w:widowControl/>
                    <w:adjustRightInd w:val="0"/>
                    <w:snapToGrid w:val="0"/>
                    <w:jc w:val="left"/>
                    <w:rPr>
                      <w:color w:val="auto"/>
                      <w:sz w:val="18"/>
                      <w:szCs w:val="18"/>
                    </w:rPr>
                  </w:pPr>
                  <w:r>
                    <w:rPr>
                      <w:rFonts w:hint="eastAsia"/>
                      <w:color w:val="auto"/>
                      <w:sz w:val="18"/>
                      <w:szCs w:val="18"/>
                    </w:rPr>
                    <w:t>④</w:t>
                  </w:r>
                  <w:r>
                    <w:rPr>
                      <w:color w:val="auto"/>
                      <w:sz w:val="18"/>
                      <w:szCs w:val="18"/>
                    </w:rPr>
                    <w:t>项目污染物排放总量在基地允许排放总量内。</w:t>
                  </w:r>
                </w:p>
                <w:p w14:paraId="44E828D5">
                  <w:pPr>
                    <w:widowControl/>
                    <w:adjustRightInd w:val="0"/>
                    <w:snapToGrid w:val="0"/>
                    <w:jc w:val="left"/>
                    <w:rPr>
                      <w:color w:val="auto"/>
                      <w:sz w:val="18"/>
                      <w:szCs w:val="18"/>
                    </w:rPr>
                  </w:pPr>
                  <w:r>
                    <w:rPr>
                      <w:rFonts w:hint="eastAsia"/>
                      <w:color w:val="auto"/>
                      <w:sz w:val="18"/>
                      <w:szCs w:val="18"/>
                    </w:rPr>
                    <w:t>⑤</w:t>
                  </w:r>
                  <w:r>
                    <w:rPr>
                      <w:color w:val="auto"/>
                      <w:sz w:val="18"/>
                      <w:szCs w:val="18"/>
                    </w:rPr>
                    <w:t>项目采取有效的风险防控措施，风险可</w:t>
                  </w:r>
                  <w:r>
                    <w:rPr>
                      <w:rFonts w:hint="eastAsia"/>
                      <w:color w:val="auto"/>
                      <w:sz w:val="18"/>
                      <w:szCs w:val="18"/>
                    </w:rPr>
                    <w:t>防控</w:t>
                  </w:r>
                  <w:r>
                    <w:rPr>
                      <w:color w:val="auto"/>
                      <w:sz w:val="18"/>
                      <w:szCs w:val="18"/>
                    </w:rPr>
                    <w:t>。</w:t>
                  </w:r>
                </w:p>
                <w:p w14:paraId="7484E7FB">
                  <w:pPr>
                    <w:widowControl/>
                    <w:adjustRightInd w:val="0"/>
                    <w:snapToGrid w:val="0"/>
                    <w:jc w:val="left"/>
                    <w:rPr>
                      <w:color w:val="auto"/>
                      <w:sz w:val="18"/>
                      <w:szCs w:val="18"/>
                    </w:rPr>
                  </w:pPr>
                  <w:r>
                    <w:rPr>
                      <w:rFonts w:hint="eastAsia"/>
                      <w:color w:val="auto"/>
                      <w:sz w:val="18"/>
                      <w:szCs w:val="18"/>
                    </w:rPr>
                    <w:t>⑥</w:t>
                  </w:r>
                  <w:r>
                    <w:rPr>
                      <w:color w:val="auto"/>
                      <w:sz w:val="18"/>
                      <w:szCs w:val="18"/>
                    </w:rPr>
                    <w:t>项目无炼油装置。</w:t>
                  </w:r>
                </w:p>
                <w:p w14:paraId="715B8DA5">
                  <w:pPr>
                    <w:widowControl/>
                    <w:adjustRightInd w:val="0"/>
                    <w:snapToGrid w:val="0"/>
                    <w:jc w:val="left"/>
                    <w:rPr>
                      <w:color w:val="auto"/>
                      <w:sz w:val="18"/>
                      <w:szCs w:val="18"/>
                    </w:rPr>
                  </w:pPr>
                  <w:r>
                    <w:rPr>
                      <w:rFonts w:hint="eastAsia"/>
                      <w:color w:val="auto"/>
                      <w:sz w:val="18"/>
                      <w:szCs w:val="18"/>
                    </w:rPr>
                    <w:t>⑦</w:t>
                  </w:r>
                  <w:r>
                    <w:rPr>
                      <w:color w:val="auto"/>
                      <w:sz w:val="18"/>
                      <w:szCs w:val="18"/>
                    </w:rPr>
                    <w:t>项目</w:t>
                  </w:r>
                  <w:r>
                    <w:rPr>
                      <w:rFonts w:hint="eastAsia"/>
                      <w:color w:val="auto"/>
                      <w:sz w:val="18"/>
                      <w:szCs w:val="18"/>
                    </w:rPr>
                    <w:t>废气</w:t>
                  </w:r>
                  <w:r>
                    <w:rPr>
                      <w:color w:val="auto"/>
                      <w:sz w:val="18"/>
                      <w:szCs w:val="18"/>
                    </w:rPr>
                    <w:t>污染物排放浓度均能达到对应标准要求</w:t>
                  </w:r>
                  <w:r>
                    <w:rPr>
                      <w:rFonts w:hint="eastAsia"/>
                      <w:color w:val="auto"/>
                      <w:sz w:val="18"/>
                      <w:szCs w:val="18"/>
                    </w:rPr>
                    <w:t>。</w:t>
                  </w:r>
                </w:p>
                <w:p w14:paraId="304FDD4E">
                  <w:pPr>
                    <w:widowControl/>
                    <w:adjustRightInd w:val="0"/>
                    <w:snapToGrid w:val="0"/>
                    <w:jc w:val="left"/>
                    <w:rPr>
                      <w:color w:val="auto"/>
                      <w:sz w:val="18"/>
                      <w:szCs w:val="18"/>
                    </w:rPr>
                  </w:pPr>
                  <w:r>
                    <w:rPr>
                      <w:rFonts w:hint="eastAsia"/>
                      <w:color w:val="auto"/>
                      <w:sz w:val="18"/>
                      <w:szCs w:val="18"/>
                    </w:rPr>
                    <w:t>⑧项目废水厂内预处理后</w:t>
                  </w:r>
                  <w:r>
                    <w:rPr>
                      <w:color w:val="auto"/>
                      <w:sz w:val="18"/>
                      <w:szCs w:val="18"/>
                    </w:rPr>
                    <w:t>经专管送往</w:t>
                  </w:r>
                  <w:r>
                    <w:rPr>
                      <w:rFonts w:hint="eastAsia"/>
                      <w:color w:val="auto"/>
                      <w:sz w:val="18"/>
                      <w:szCs w:val="18"/>
                    </w:rPr>
                    <w:t>连云港石化基地工业废水综合治理中心进行处理，最终通过深海排放管道排入黄海，项目各废水均满足相应接管要求。</w:t>
                  </w:r>
                </w:p>
              </w:tc>
              <w:tc>
                <w:tcPr>
                  <w:tcW w:w="275" w:type="pct"/>
                  <w:vAlign w:val="center"/>
                </w:tcPr>
                <w:p w14:paraId="003CD864">
                  <w:pPr>
                    <w:widowControl/>
                    <w:adjustRightInd w:val="0"/>
                    <w:snapToGrid w:val="0"/>
                    <w:jc w:val="center"/>
                    <w:rPr>
                      <w:color w:val="auto"/>
                      <w:sz w:val="18"/>
                      <w:szCs w:val="18"/>
                    </w:rPr>
                  </w:pPr>
                  <w:r>
                    <w:rPr>
                      <w:color w:val="auto"/>
                      <w:sz w:val="18"/>
                      <w:szCs w:val="18"/>
                    </w:rPr>
                    <w:t>本项目满足规划环评中环境准入基本要求</w:t>
                  </w:r>
                </w:p>
              </w:tc>
            </w:tr>
            <w:tr w14:paraId="6156AE0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7" w:type="dxa"/>
                  <w:bottom w:w="0" w:type="dxa"/>
                  <w:right w:w="17" w:type="dxa"/>
                </w:tblCellMar>
              </w:tblPrEx>
              <w:trPr>
                <w:jc w:val="center"/>
              </w:trPr>
              <w:tc>
                <w:tcPr>
                  <w:tcW w:w="150" w:type="pct"/>
                  <w:vMerge w:val="continue"/>
                  <w:vAlign w:val="center"/>
                </w:tcPr>
                <w:p w14:paraId="6B31E702">
                  <w:pPr>
                    <w:widowControl/>
                    <w:adjustRightInd w:val="0"/>
                    <w:snapToGrid w:val="0"/>
                    <w:jc w:val="center"/>
                    <w:rPr>
                      <w:color w:val="auto"/>
                      <w:sz w:val="18"/>
                      <w:szCs w:val="18"/>
                    </w:rPr>
                  </w:pPr>
                </w:p>
              </w:tc>
              <w:tc>
                <w:tcPr>
                  <w:tcW w:w="150" w:type="pct"/>
                  <w:vAlign w:val="center"/>
                </w:tcPr>
                <w:p w14:paraId="575D0E95">
                  <w:pPr>
                    <w:widowControl/>
                    <w:adjustRightInd w:val="0"/>
                    <w:snapToGrid w:val="0"/>
                    <w:jc w:val="center"/>
                    <w:rPr>
                      <w:color w:val="auto"/>
                      <w:sz w:val="18"/>
                      <w:szCs w:val="18"/>
                    </w:rPr>
                  </w:pPr>
                  <w:r>
                    <w:rPr>
                      <w:color w:val="auto"/>
                      <w:sz w:val="18"/>
                      <w:szCs w:val="18"/>
                    </w:rPr>
                    <w:t>产业负面清单</w:t>
                  </w:r>
                </w:p>
              </w:tc>
              <w:tc>
                <w:tcPr>
                  <w:tcW w:w="2687" w:type="pct"/>
                  <w:gridSpan w:val="3"/>
                  <w:vAlign w:val="center"/>
                </w:tcPr>
                <w:p w14:paraId="3A974493">
                  <w:pPr>
                    <w:widowControl/>
                    <w:adjustRightInd w:val="0"/>
                    <w:snapToGrid w:val="0"/>
                    <w:jc w:val="left"/>
                    <w:rPr>
                      <w:color w:val="auto"/>
                      <w:sz w:val="18"/>
                      <w:szCs w:val="18"/>
                    </w:rPr>
                  </w:pPr>
                  <w:r>
                    <w:rPr>
                      <w:rFonts w:hint="eastAsia" w:ascii="宋体" w:hAnsi="宋体" w:cs="宋体"/>
                      <w:color w:val="auto"/>
                      <w:sz w:val="18"/>
                      <w:szCs w:val="18"/>
                    </w:rPr>
                    <w:t>①</w:t>
                  </w:r>
                  <w:r>
                    <w:rPr>
                      <w:color w:val="auto"/>
                      <w:sz w:val="18"/>
                      <w:szCs w:val="18"/>
                    </w:rPr>
                    <w:t>禁止新建农药及中间体项目，严格控制传统医药、染料化工项目，原则上不新上医药中间体、染料中间体项目；限制新建含苯类溶剂油墨生产，有机溶剂型涂料生产、改性淀粉涂料生产、含有机锡的防污涂料生产、含三丁基锡、红丹、滴滴涕的涂料生产、以氯氟烃为发泡剂的聚氨酯、聚乙烯、聚苯乙烯泡沫塑料生产，用火直接加热的涂料用树脂生产。</w:t>
                  </w:r>
                </w:p>
                <w:p w14:paraId="7117DA60">
                  <w:pPr>
                    <w:widowControl/>
                    <w:adjustRightInd w:val="0"/>
                    <w:snapToGrid w:val="0"/>
                    <w:jc w:val="left"/>
                    <w:rPr>
                      <w:color w:val="auto"/>
                      <w:sz w:val="18"/>
                      <w:szCs w:val="18"/>
                    </w:rPr>
                  </w:pPr>
                  <w:r>
                    <w:rPr>
                      <w:rFonts w:hint="eastAsia" w:ascii="宋体" w:hAnsi="宋体" w:cs="宋体"/>
                      <w:color w:val="auto"/>
                      <w:sz w:val="18"/>
                      <w:szCs w:val="18"/>
                    </w:rPr>
                    <w:t>②</w:t>
                  </w:r>
                  <w:r>
                    <w:rPr>
                      <w:color w:val="auto"/>
                      <w:sz w:val="18"/>
                      <w:szCs w:val="18"/>
                    </w:rPr>
                    <w:t>限制新建高氮废水排放生产项目。</w:t>
                  </w:r>
                </w:p>
                <w:p w14:paraId="62FD176D">
                  <w:pPr>
                    <w:widowControl/>
                    <w:adjustRightInd w:val="0"/>
                    <w:snapToGrid w:val="0"/>
                    <w:jc w:val="left"/>
                    <w:rPr>
                      <w:color w:val="auto"/>
                      <w:sz w:val="18"/>
                      <w:szCs w:val="18"/>
                    </w:rPr>
                  </w:pPr>
                  <w:r>
                    <w:rPr>
                      <w:rFonts w:hint="eastAsia" w:ascii="宋体" w:hAnsi="宋体" w:cs="宋体"/>
                      <w:color w:val="auto"/>
                      <w:sz w:val="18"/>
                      <w:szCs w:val="18"/>
                    </w:rPr>
                    <w:t>③</w:t>
                  </w:r>
                  <w:r>
                    <w:rPr>
                      <w:color w:val="auto"/>
                      <w:sz w:val="18"/>
                      <w:szCs w:val="18"/>
                    </w:rPr>
                    <w:t>石化后加工区限制新建排放氨、硫化氢等恶臭气体及废气排放量大的生产项目。</w:t>
                  </w:r>
                </w:p>
                <w:p w14:paraId="628B63EB">
                  <w:pPr>
                    <w:widowControl/>
                    <w:adjustRightInd w:val="0"/>
                    <w:snapToGrid w:val="0"/>
                    <w:jc w:val="left"/>
                    <w:rPr>
                      <w:color w:val="auto"/>
                      <w:sz w:val="18"/>
                      <w:szCs w:val="18"/>
                    </w:rPr>
                  </w:pPr>
                  <w:r>
                    <w:rPr>
                      <w:rFonts w:hint="eastAsia" w:ascii="宋体" w:hAnsi="宋体" w:cs="宋体"/>
                      <w:color w:val="auto"/>
                      <w:sz w:val="18"/>
                      <w:szCs w:val="18"/>
                    </w:rPr>
                    <w:t>④</w:t>
                  </w:r>
                  <w:r>
                    <w:rPr>
                      <w:color w:val="auto"/>
                      <w:sz w:val="18"/>
                      <w:szCs w:val="18"/>
                    </w:rPr>
                    <w:t>《产业转移指导目录》（2012年本）、《产业结构调整指导目录》（2013修改）以及江苏省产业政策中明确列入淘汰或限制的项目。</w:t>
                  </w:r>
                </w:p>
                <w:p w14:paraId="741CCB0A">
                  <w:pPr>
                    <w:widowControl/>
                    <w:adjustRightInd w:val="0"/>
                    <w:snapToGrid w:val="0"/>
                    <w:jc w:val="left"/>
                    <w:rPr>
                      <w:color w:val="auto"/>
                      <w:sz w:val="18"/>
                      <w:szCs w:val="18"/>
                    </w:rPr>
                  </w:pPr>
                  <w:r>
                    <w:rPr>
                      <w:rFonts w:hint="eastAsia" w:ascii="宋体" w:hAnsi="宋体" w:cs="宋体"/>
                      <w:color w:val="auto"/>
                      <w:sz w:val="18"/>
                      <w:szCs w:val="18"/>
                    </w:rPr>
                    <w:t>⑤</w:t>
                  </w:r>
                  <w:r>
                    <w:rPr>
                      <w:color w:val="auto"/>
                      <w:sz w:val="18"/>
                      <w:szCs w:val="18"/>
                    </w:rPr>
                    <w:t>不符合国家、江苏省有关法律法规规定，严重浪费资源、污染环境、不具备安全生产条件，需要淘汰的落后工艺技术、装备及产品。</w:t>
                  </w:r>
                </w:p>
              </w:tc>
              <w:tc>
                <w:tcPr>
                  <w:tcW w:w="1738" w:type="pct"/>
                  <w:vAlign w:val="center"/>
                </w:tcPr>
                <w:p w14:paraId="649BB1C3">
                  <w:pPr>
                    <w:widowControl/>
                    <w:adjustRightInd w:val="0"/>
                    <w:snapToGrid w:val="0"/>
                    <w:jc w:val="left"/>
                    <w:rPr>
                      <w:color w:val="auto"/>
                      <w:sz w:val="18"/>
                      <w:szCs w:val="18"/>
                    </w:rPr>
                  </w:pPr>
                  <w:r>
                    <w:rPr>
                      <w:rFonts w:hint="eastAsia"/>
                      <w:color w:val="auto"/>
                      <w:sz w:val="18"/>
                      <w:szCs w:val="18"/>
                    </w:rPr>
                    <w:t>①本项目主要建设内容为将质检及车间管理楼三楼部分改建为品控洁净实验室，新增部分配套设施，用于现有项目电子级产品分析及检测，不新增产品和产能</w:t>
                  </w:r>
                  <w:r>
                    <w:rPr>
                      <w:color w:val="auto"/>
                      <w:sz w:val="18"/>
                      <w:szCs w:val="18"/>
                    </w:rPr>
                    <w:t>，不属于产业负面清单内项目。</w:t>
                  </w:r>
                </w:p>
                <w:p w14:paraId="29EA2B87">
                  <w:pPr>
                    <w:widowControl/>
                    <w:adjustRightInd w:val="0"/>
                    <w:snapToGrid w:val="0"/>
                    <w:jc w:val="left"/>
                    <w:rPr>
                      <w:color w:val="auto"/>
                      <w:sz w:val="18"/>
                      <w:szCs w:val="18"/>
                    </w:rPr>
                  </w:pPr>
                  <w:r>
                    <w:rPr>
                      <w:rFonts w:hint="eastAsia"/>
                      <w:color w:val="auto"/>
                      <w:sz w:val="18"/>
                      <w:szCs w:val="18"/>
                    </w:rPr>
                    <w:t>②</w:t>
                  </w:r>
                  <w:r>
                    <w:rPr>
                      <w:color w:val="auto"/>
                      <w:sz w:val="18"/>
                      <w:szCs w:val="18"/>
                    </w:rPr>
                    <w:t>项目</w:t>
                  </w:r>
                  <w:r>
                    <w:rPr>
                      <w:rFonts w:hint="eastAsia"/>
                      <w:color w:val="auto"/>
                      <w:sz w:val="18"/>
                      <w:szCs w:val="18"/>
                    </w:rPr>
                    <w:t>不排放高氮废水。</w:t>
                  </w:r>
                </w:p>
                <w:p w14:paraId="4B166B55">
                  <w:pPr>
                    <w:widowControl/>
                    <w:adjustRightInd w:val="0"/>
                    <w:snapToGrid w:val="0"/>
                    <w:jc w:val="left"/>
                    <w:rPr>
                      <w:color w:val="auto"/>
                      <w:sz w:val="18"/>
                      <w:szCs w:val="18"/>
                    </w:rPr>
                  </w:pPr>
                  <w:r>
                    <w:rPr>
                      <w:rFonts w:hint="eastAsia"/>
                      <w:color w:val="auto"/>
                      <w:sz w:val="18"/>
                      <w:szCs w:val="18"/>
                    </w:rPr>
                    <w:t>③本</w:t>
                  </w:r>
                  <w:r>
                    <w:rPr>
                      <w:color w:val="auto"/>
                      <w:sz w:val="18"/>
                      <w:szCs w:val="18"/>
                    </w:rPr>
                    <w:t>项目</w:t>
                  </w:r>
                  <w:r>
                    <w:rPr>
                      <w:rFonts w:hint="eastAsia"/>
                      <w:color w:val="auto"/>
                      <w:sz w:val="18"/>
                      <w:szCs w:val="18"/>
                    </w:rPr>
                    <w:t>为改建项目。</w:t>
                  </w:r>
                </w:p>
                <w:p w14:paraId="027B6F86">
                  <w:pPr>
                    <w:widowControl/>
                    <w:adjustRightInd w:val="0"/>
                    <w:snapToGrid w:val="0"/>
                    <w:jc w:val="left"/>
                    <w:rPr>
                      <w:color w:val="auto"/>
                      <w:sz w:val="18"/>
                      <w:szCs w:val="18"/>
                    </w:rPr>
                  </w:pPr>
                  <w:r>
                    <w:rPr>
                      <w:rFonts w:hint="eastAsia"/>
                      <w:color w:val="auto"/>
                      <w:sz w:val="18"/>
                      <w:szCs w:val="18"/>
                    </w:rPr>
                    <w:t>④</w:t>
                  </w:r>
                  <w:r>
                    <w:rPr>
                      <w:color w:val="auto"/>
                      <w:sz w:val="18"/>
                      <w:szCs w:val="18"/>
                    </w:rPr>
                    <w:t>项目不属于《产业转移指导目录》（201</w:t>
                  </w:r>
                  <w:r>
                    <w:rPr>
                      <w:rFonts w:hint="eastAsia"/>
                      <w:color w:val="auto"/>
                      <w:sz w:val="18"/>
                      <w:szCs w:val="18"/>
                    </w:rPr>
                    <w:t>2</w:t>
                  </w:r>
                  <w:r>
                    <w:rPr>
                      <w:color w:val="auto"/>
                      <w:sz w:val="18"/>
                      <w:szCs w:val="18"/>
                    </w:rPr>
                    <w:t>年本）、《产业结构调整指导目录》</w:t>
                  </w:r>
                  <w:r>
                    <w:rPr>
                      <w:rFonts w:hint="eastAsia"/>
                      <w:color w:val="auto"/>
                      <w:sz w:val="18"/>
                      <w:szCs w:val="18"/>
                    </w:rPr>
                    <w:t>（2</w:t>
                  </w:r>
                  <w:r>
                    <w:rPr>
                      <w:color w:val="auto"/>
                      <w:sz w:val="18"/>
                      <w:szCs w:val="18"/>
                    </w:rPr>
                    <w:t>024</w:t>
                  </w:r>
                  <w:r>
                    <w:rPr>
                      <w:rFonts w:hint="eastAsia"/>
                      <w:color w:val="auto"/>
                      <w:sz w:val="18"/>
                      <w:szCs w:val="18"/>
                    </w:rPr>
                    <w:t>年本）</w:t>
                  </w:r>
                  <w:r>
                    <w:rPr>
                      <w:color w:val="auto"/>
                      <w:sz w:val="18"/>
                      <w:szCs w:val="18"/>
                    </w:rPr>
                    <w:t>以及江苏省产业政策中明确列入淘汰或限制的项目。</w:t>
                  </w:r>
                </w:p>
                <w:p w14:paraId="21687432">
                  <w:pPr>
                    <w:widowControl/>
                    <w:adjustRightInd w:val="0"/>
                    <w:snapToGrid w:val="0"/>
                    <w:jc w:val="left"/>
                    <w:rPr>
                      <w:color w:val="auto"/>
                      <w:sz w:val="18"/>
                      <w:szCs w:val="18"/>
                    </w:rPr>
                  </w:pPr>
                  <w:r>
                    <w:rPr>
                      <w:rFonts w:hint="eastAsia"/>
                      <w:color w:val="auto"/>
                      <w:sz w:val="18"/>
                      <w:szCs w:val="18"/>
                    </w:rPr>
                    <w:t>⑤</w:t>
                  </w:r>
                  <w:r>
                    <w:rPr>
                      <w:color w:val="auto"/>
                      <w:sz w:val="18"/>
                      <w:szCs w:val="18"/>
                    </w:rPr>
                    <w:t>项目符合国家、江苏省有关法律法规规定，不属于严重浪费资源、污染环境、不具备安全生产条件，需要淘汰的落后工艺技术、装备及产品。</w:t>
                  </w:r>
                </w:p>
              </w:tc>
              <w:tc>
                <w:tcPr>
                  <w:tcW w:w="275" w:type="pct"/>
                  <w:vAlign w:val="center"/>
                </w:tcPr>
                <w:p w14:paraId="0BAB47D3">
                  <w:pPr>
                    <w:widowControl/>
                    <w:adjustRightInd w:val="0"/>
                    <w:snapToGrid w:val="0"/>
                    <w:jc w:val="center"/>
                    <w:rPr>
                      <w:color w:val="auto"/>
                      <w:sz w:val="18"/>
                      <w:szCs w:val="18"/>
                    </w:rPr>
                  </w:pPr>
                  <w:r>
                    <w:rPr>
                      <w:color w:val="auto"/>
                      <w:sz w:val="18"/>
                      <w:szCs w:val="18"/>
                    </w:rPr>
                    <w:t>本项目不属于规划环评产业负面清单建设项目</w:t>
                  </w:r>
                </w:p>
              </w:tc>
            </w:tr>
            <w:tr w14:paraId="1AF1089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7" w:type="dxa"/>
                  <w:bottom w:w="0" w:type="dxa"/>
                  <w:right w:w="17" w:type="dxa"/>
                </w:tblCellMar>
              </w:tblPrEx>
              <w:trPr>
                <w:jc w:val="center"/>
              </w:trPr>
              <w:tc>
                <w:tcPr>
                  <w:tcW w:w="150" w:type="pct"/>
                  <w:vMerge w:val="continue"/>
                  <w:vAlign w:val="center"/>
                </w:tcPr>
                <w:p w14:paraId="6F849342">
                  <w:pPr>
                    <w:widowControl/>
                    <w:adjustRightInd w:val="0"/>
                    <w:snapToGrid w:val="0"/>
                    <w:jc w:val="center"/>
                    <w:rPr>
                      <w:color w:val="auto"/>
                      <w:sz w:val="18"/>
                      <w:szCs w:val="18"/>
                    </w:rPr>
                  </w:pPr>
                </w:p>
              </w:tc>
              <w:tc>
                <w:tcPr>
                  <w:tcW w:w="150" w:type="pct"/>
                  <w:vMerge w:val="restart"/>
                  <w:vAlign w:val="center"/>
                </w:tcPr>
                <w:p w14:paraId="1A184B89">
                  <w:pPr>
                    <w:widowControl/>
                    <w:adjustRightInd w:val="0"/>
                    <w:snapToGrid w:val="0"/>
                    <w:jc w:val="center"/>
                    <w:rPr>
                      <w:color w:val="auto"/>
                      <w:sz w:val="18"/>
                      <w:szCs w:val="18"/>
                    </w:rPr>
                  </w:pPr>
                  <w:r>
                    <w:rPr>
                      <w:color w:val="auto"/>
                      <w:sz w:val="18"/>
                      <w:szCs w:val="18"/>
                    </w:rPr>
                    <w:t>生态环境准入清单</w:t>
                  </w:r>
                </w:p>
              </w:tc>
              <w:tc>
                <w:tcPr>
                  <w:tcW w:w="104" w:type="pct"/>
                  <w:vMerge w:val="restart"/>
                  <w:vAlign w:val="center"/>
                </w:tcPr>
                <w:p w14:paraId="0850E6CA">
                  <w:pPr>
                    <w:widowControl/>
                    <w:adjustRightInd w:val="0"/>
                    <w:snapToGrid w:val="0"/>
                    <w:jc w:val="center"/>
                    <w:rPr>
                      <w:color w:val="auto"/>
                      <w:sz w:val="18"/>
                      <w:szCs w:val="18"/>
                    </w:rPr>
                  </w:pPr>
                  <w:r>
                    <w:rPr>
                      <w:color w:val="auto"/>
                      <w:sz w:val="18"/>
                      <w:szCs w:val="18"/>
                    </w:rPr>
                    <w:t>产业定位和准入</w:t>
                  </w:r>
                </w:p>
              </w:tc>
              <w:tc>
                <w:tcPr>
                  <w:tcW w:w="152" w:type="pct"/>
                  <w:vAlign w:val="center"/>
                </w:tcPr>
                <w:p w14:paraId="384BA6A5">
                  <w:pPr>
                    <w:widowControl/>
                    <w:adjustRightInd w:val="0"/>
                    <w:snapToGrid w:val="0"/>
                    <w:jc w:val="center"/>
                    <w:rPr>
                      <w:color w:val="auto"/>
                      <w:sz w:val="18"/>
                      <w:szCs w:val="18"/>
                    </w:rPr>
                  </w:pPr>
                  <w:r>
                    <w:rPr>
                      <w:color w:val="auto"/>
                      <w:sz w:val="18"/>
                      <w:szCs w:val="18"/>
                    </w:rPr>
                    <w:t>产业定位</w:t>
                  </w:r>
                </w:p>
              </w:tc>
              <w:tc>
                <w:tcPr>
                  <w:tcW w:w="2431" w:type="pct"/>
                  <w:vAlign w:val="center"/>
                </w:tcPr>
                <w:p w14:paraId="631A3BCA">
                  <w:pPr>
                    <w:widowControl/>
                    <w:adjustRightInd w:val="0"/>
                    <w:snapToGrid w:val="0"/>
                    <w:jc w:val="left"/>
                    <w:rPr>
                      <w:color w:val="auto"/>
                      <w:sz w:val="18"/>
                      <w:szCs w:val="18"/>
                    </w:rPr>
                  </w:pPr>
                  <w:r>
                    <w:rPr>
                      <w:color w:val="auto"/>
                      <w:sz w:val="18"/>
                      <w:szCs w:val="18"/>
                    </w:rPr>
                    <w:t>炼化一体化和多元化原料加工产业、化工新材料和精细化工高端产业。</w:t>
                  </w:r>
                </w:p>
              </w:tc>
              <w:tc>
                <w:tcPr>
                  <w:tcW w:w="1738" w:type="pct"/>
                  <w:vAlign w:val="center"/>
                </w:tcPr>
                <w:p w14:paraId="6D756055">
                  <w:pPr>
                    <w:widowControl/>
                    <w:adjustRightInd w:val="0"/>
                    <w:snapToGrid w:val="0"/>
                    <w:jc w:val="left"/>
                    <w:rPr>
                      <w:color w:val="auto"/>
                      <w:sz w:val="18"/>
                      <w:szCs w:val="18"/>
                    </w:rPr>
                  </w:pPr>
                  <w:r>
                    <w:rPr>
                      <w:rFonts w:hint="eastAsia"/>
                      <w:color w:val="auto"/>
                      <w:sz w:val="18"/>
                      <w:szCs w:val="18"/>
                    </w:rPr>
                    <w:t>本项目为企业配套品控洁净实验室，服务厂区现有电子级化学品产品质量管控，属于园区精细化工高端产业必不可少的配套辅助设施，助力园区精细化工高质量发展，与园区产业定位相符</w:t>
                  </w:r>
                </w:p>
              </w:tc>
              <w:tc>
                <w:tcPr>
                  <w:tcW w:w="275" w:type="pct"/>
                  <w:vMerge w:val="restart"/>
                  <w:vAlign w:val="center"/>
                </w:tcPr>
                <w:p w14:paraId="41490330">
                  <w:pPr>
                    <w:widowControl/>
                    <w:adjustRightInd w:val="0"/>
                    <w:snapToGrid w:val="0"/>
                    <w:jc w:val="center"/>
                    <w:rPr>
                      <w:color w:val="auto"/>
                      <w:sz w:val="18"/>
                      <w:szCs w:val="18"/>
                    </w:rPr>
                  </w:pPr>
                  <w:r>
                    <w:rPr>
                      <w:color w:val="auto"/>
                      <w:sz w:val="18"/>
                      <w:szCs w:val="18"/>
                    </w:rPr>
                    <w:t>本项目符合产业准入条件</w:t>
                  </w:r>
                </w:p>
              </w:tc>
            </w:tr>
            <w:tr w14:paraId="561EA4D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7" w:type="dxa"/>
                  <w:bottom w:w="0" w:type="dxa"/>
                  <w:right w:w="17" w:type="dxa"/>
                </w:tblCellMar>
              </w:tblPrEx>
              <w:trPr>
                <w:jc w:val="center"/>
              </w:trPr>
              <w:tc>
                <w:tcPr>
                  <w:tcW w:w="150" w:type="pct"/>
                  <w:vMerge w:val="continue"/>
                  <w:vAlign w:val="center"/>
                </w:tcPr>
                <w:p w14:paraId="25FAD1E2">
                  <w:pPr>
                    <w:widowControl/>
                    <w:adjustRightInd w:val="0"/>
                    <w:snapToGrid w:val="0"/>
                    <w:jc w:val="center"/>
                    <w:rPr>
                      <w:color w:val="auto"/>
                      <w:sz w:val="18"/>
                      <w:szCs w:val="18"/>
                    </w:rPr>
                  </w:pPr>
                </w:p>
              </w:tc>
              <w:tc>
                <w:tcPr>
                  <w:tcW w:w="150" w:type="pct"/>
                  <w:vMerge w:val="continue"/>
                  <w:vAlign w:val="center"/>
                </w:tcPr>
                <w:p w14:paraId="4E8806EA">
                  <w:pPr>
                    <w:widowControl/>
                    <w:adjustRightInd w:val="0"/>
                    <w:snapToGrid w:val="0"/>
                    <w:jc w:val="center"/>
                    <w:rPr>
                      <w:color w:val="auto"/>
                      <w:sz w:val="18"/>
                      <w:szCs w:val="18"/>
                    </w:rPr>
                  </w:pPr>
                </w:p>
              </w:tc>
              <w:tc>
                <w:tcPr>
                  <w:tcW w:w="104" w:type="pct"/>
                  <w:vMerge w:val="continue"/>
                  <w:vAlign w:val="center"/>
                </w:tcPr>
                <w:p w14:paraId="7348CA81">
                  <w:pPr>
                    <w:widowControl/>
                    <w:adjustRightInd w:val="0"/>
                    <w:snapToGrid w:val="0"/>
                    <w:jc w:val="center"/>
                    <w:rPr>
                      <w:color w:val="auto"/>
                      <w:sz w:val="18"/>
                      <w:szCs w:val="18"/>
                    </w:rPr>
                  </w:pPr>
                </w:p>
              </w:tc>
              <w:tc>
                <w:tcPr>
                  <w:tcW w:w="152" w:type="pct"/>
                  <w:vAlign w:val="center"/>
                </w:tcPr>
                <w:p w14:paraId="1DBCB201">
                  <w:pPr>
                    <w:widowControl/>
                    <w:adjustRightInd w:val="0"/>
                    <w:snapToGrid w:val="0"/>
                    <w:jc w:val="center"/>
                    <w:rPr>
                      <w:color w:val="auto"/>
                      <w:sz w:val="18"/>
                      <w:szCs w:val="18"/>
                    </w:rPr>
                  </w:pPr>
                  <w:r>
                    <w:rPr>
                      <w:color w:val="auto"/>
                      <w:sz w:val="18"/>
                      <w:szCs w:val="18"/>
                    </w:rPr>
                    <w:t>优先引入</w:t>
                  </w:r>
                </w:p>
              </w:tc>
              <w:tc>
                <w:tcPr>
                  <w:tcW w:w="2431" w:type="pct"/>
                  <w:vAlign w:val="center"/>
                </w:tcPr>
                <w:p w14:paraId="1DC24B6A">
                  <w:pPr>
                    <w:widowControl/>
                    <w:adjustRightInd w:val="0"/>
                    <w:snapToGrid w:val="0"/>
                    <w:jc w:val="left"/>
                    <w:rPr>
                      <w:color w:val="auto"/>
                      <w:sz w:val="18"/>
                      <w:szCs w:val="18"/>
                    </w:rPr>
                  </w:pPr>
                  <w:r>
                    <w:rPr>
                      <w:color w:val="auto"/>
                      <w:sz w:val="18"/>
                      <w:szCs w:val="18"/>
                    </w:rPr>
                    <w:t>符合石化基地重点产品链协同发展的项目，比如：炼化一体化项目、烯类产品链（乙烯、丙烯等及衍生品）、芳烃类产品链（苯、甲苯、二甲苯等及衍生品）。</w:t>
                  </w:r>
                </w:p>
              </w:tc>
              <w:tc>
                <w:tcPr>
                  <w:tcW w:w="1738" w:type="pct"/>
                  <w:vAlign w:val="center"/>
                </w:tcPr>
                <w:p w14:paraId="3D97DABD">
                  <w:pPr>
                    <w:widowControl/>
                    <w:adjustRightInd w:val="0"/>
                    <w:snapToGrid w:val="0"/>
                    <w:jc w:val="left"/>
                    <w:rPr>
                      <w:color w:val="auto"/>
                      <w:sz w:val="18"/>
                      <w:szCs w:val="18"/>
                    </w:rPr>
                  </w:pPr>
                  <w:r>
                    <w:rPr>
                      <w:rFonts w:hint="eastAsia"/>
                      <w:color w:val="auto"/>
                      <w:sz w:val="18"/>
                      <w:szCs w:val="18"/>
                    </w:rPr>
                    <w:t>本项目为瑞兆科厂区内部配套品控洁净实验室，主要服务瑞兆科电子级化学品产品质量管控。电子级化学品属于石化基地烯类、芳烃产业链下游高端精细配套产品，本项目为其生产运营提供必要质检支撑，属于产业链配套辅助设施，与石化基地重点产品链协同发展方向相符</w:t>
                  </w:r>
                </w:p>
              </w:tc>
              <w:tc>
                <w:tcPr>
                  <w:tcW w:w="275" w:type="pct"/>
                  <w:vMerge w:val="continue"/>
                  <w:vAlign w:val="center"/>
                </w:tcPr>
                <w:p w14:paraId="17CDAC8A">
                  <w:pPr>
                    <w:widowControl/>
                    <w:adjustRightInd w:val="0"/>
                    <w:snapToGrid w:val="0"/>
                    <w:jc w:val="center"/>
                    <w:rPr>
                      <w:color w:val="auto"/>
                      <w:sz w:val="18"/>
                      <w:szCs w:val="18"/>
                    </w:rPr>
                  </w:pPr>
                </w:p>
              </w:tc>
            </w:tr>
            <w:tr w14:paraId="21F8D61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7" w:type="dxa"/>
                  <w:bottom w:w="0" w:type="dxa"/>
                  <w:right w:w="17" w:type="dxa"/>
                </w:tblCellMar>
              </w:tblPrEx>
              <w:trPr>
                <w:jc w:val="center"/>
              </w:trPr>
              <w:tc>
                <w:tcPr>
                  <w:tcW w:w="150" w:type="pct"/>
                  <w:vMerge w:val="continue"/>
                  <w:vAlign w:val="center"/>
                </w:tcPr>
                <w:p w14:paraId="5A0B673B">
                  <w:pPr>
                    <w:widowControl/>
                    <w:adjustRightInd w:val="0"/>
                    <w:snapToGrid w:val="0"/>
                    <w:jc w:val="center"/>
                    <w:rPr>
                      <w:color w:val="auto"/>
                      <w:sz w:val="18"/>
                      <w:szCs w:val="18"/>
                    </w:rPr>
                  </w:pPr>
                </w:p>
              </w:tc>
              <w:tc>
                <w:tcPr>
                  <w:tcW w:w="150" w:type="pct"/>
                  <w:vMerge w:val="continue"/>
                  <w:vAlign w:val="center"/>
                </w:tcPr>
                <w:p w14:paraId="69095A88">
                  <w:pPr>
                    <w:widowControl/>
                    <w:adjustRightInd w:val="0"/>
                    <w:snapToGrid w:val="0"/>
                    <w:jc w:val="center"/>
                    <w:rPr>
                      <w:color w:val="auto"/>
                      <w:sz w:val="18"/>
                      <w:szCs w:val="18"/>
                    </w:rPr>
                  </w:pPr>
                </w:p>
              </w:tc>
              <w:tc>
                <w:tcPr>
                  <w:tcW w:w="104" w:type="pct"/>
                  <w:vMerge w:val="continue"/>
                  <w:vAlign w:val="center"/>
                </w:tcPr>
                <w:p w14:paraId="70FCB8A0">
                  <w:pPr>
                    <w:widowControl/>
                    <w:adjustRightInd w:val="0"/>
                    <w:snapToGrid w:val="0"/>
                    <w:jc w:val="center"/>
                    <w:rPr>
                      <w:color w:val="auto"/>
                      <w:sz w:val="18"/>
                      <w:szCs w:val="18"/>
                    </w:rPr>
                  </w:pPr>
                </w:p>
              </w:tc>
              <w:tc>
                <w:tcPr>
                  <w:tcW w:w="152" w:type="pct"/>
                  <w:vAlign w:val="center"/>
                </w:tcPr>
                <w:p w14:paraId="17117F8E">
                  <w:pPr>
                    <w:widowControl/>
                    <w:adjustRightInd w:val="0"/>
                    <w:snapToGrid w:val="0"/>
                    <w:jc w:val="center"/>
                    <w:rPr>
                      <w:color w:val="auto"/>
                      <w:sz w:val="18"/>
                      <w:szCs w:val="18"/>
                    </w:rPr>
                  </w:pPr>
                  <w:r>
                    <w:rPr>
                      <w:color w:val="auto"/>
                      <w:sz w:val="18"/>
                      <w:szCs w:val="18"/>
                    </w:rPr>
                    <w:t>禁止引入</w:t>
                  </w:r>
                </w:p>
              </w:tc>
              <w:tc>
                <w:tcPr>
                  <w:tcW w:w="2431" w:type="pct"/>
                  <w:vAlign w:val="center"/>
                </w:tcPr>
                <w:p w14:paraId="5564E76D">
                  <w:pPr>
                    <w:widowControl/>
                    <w:adjustRightInd w:val="0"/>
                    <w:snapToGrid w:val="0"/>
                    <w:jc w:val="left"/>
                    <w:rPr>
                      <w:color w:val="auto"/>
                      <w:sz w:val="18"/>
                      <w:szCs w:val="18"/>
                    </w:rPr>
                  </w:pPr>
                  <w:r>
                    <w:rPr>
                      <w:rFonts w:hint="eastAsia" w:ascii="宋体" w:hAnsi="宋体" w:cs="宋体"/>
                      <w:color w:val="auto"/>
                      <w:sz w:val="18"/>
                      <w:szCs w:val="18"/>
                    </w:rPr>
                    <w:t>①</w:t>
                  </w:r>
                  <w:r>
                    <w:rPr>
                      <w:color w:val="auto"/>
                      <w:sz w:val="18"/>
                      <w:szCs w:val="18"/>
                    </w:rPr>
                    <w:t>禁止新建农药及中间体项目，新建医药中间体、染料中间体项目；</w:t>
                  </w:r>
                </w:p>
                <w:p w14:paraId="46398F1B">
                  <w:pPr>
                    <w:widowControl/>
                    <w:adjustRightInd w:val="0"/>
                    <w:snapToGrid w:val="0"/>
                    <w:jc w:val="left"/>
                    <w:rPr>
                      <w:color w:val="auto"/>
                      <w:sz w:val="18"/>
                      <w:szCs w:val="18"/>
                    </w:rPr>
                  </w:pPr>
                  <w:r>
                    <w:rPr>
                      <w:rFonts w:hint="eastAsia" w:ascii="宋体" w:hAnsi="宋体" w:cs="宋体"/>
                      <w:color w:val="auto"/>
                      <w:sz w:val="18"/>
                      <w:szCs w:val="18"/>
                    </w:rPr>
                    <w:t>②</w:t>
                  </w:r>
                  <w:r>
                    <w:rPr>
                      <w:color w:val="auto"/>
                      <w:sz w:val="18"/>
                      <w:szCs w:val="18"/>
                    </w:rPr>
                    <w:t>《产业转移指导目录》、《产业结构调整指导目录》以及江苏省产业政策中明确列入淘汰或限制的项目；</w:t>
                  </w:r>
                </w:p>
                <w:p w14:paraId="25196613">
                  <w:pPr>
                    <w:widowControl/>
                    <w:adjustRightInd w:val="0"/>
                    <w:snapToGrid w:val="0"/>
                    <w:jc w:val="left"/>
                    <w:rPr>
                      <w:color w:val="auto"/>
                      <w:sz w:val="18"/>
                      <w:szCs w:val="18"/>
                    </w:rPr>
                  </w:pPr>
                  <w:r>
                    <w:rPr>
                      <w:rFonts w:hint="eastAsia" w:ascii="宋体" w:hAnsi="宋体" w:cs="宋体"/>
                      <w:color w:val="auto"/>
                      <w:sz w:val="18"/>
                      <w:szCs w:val="18"/>
                    </w:rPr>
                    <w:t>③</w:t>
                  </w:r>
                  <w:r>
                    <w:rPr>
                      <w:color w:val="auto"/>
                      <w:sz w:val="18"/>
                      <w:szCs w:val="18"/>
                    </w:rPr>
                    <w:t>不符合国家、江苏省有关法律法规规定，严重浪费资源、污染环境、不具备安全生产条件，需要淘汰的落后工艺技术、装备及产品。</w:t>
                  </w:r>
                </w:p>
              </w:tc>
              <w:tc>
                <w:tcPr>
                  <w:tcW w:w="1738" w:type="pct"/>
                  <w:vAlign w:val="center"/>
                </w:tcPr>
                <w:p w14:paraId="3E7415AB">
                  <w:pPr>
                    <w:widowControl/>
                    <w:adjustRightInd w:val="0"/>
                    <w:snapToGrid w:val="0"/>
                    <w:jc w:val="left"/>
                    <w:rPr>
                      <w:color w:val="auto"/>
                      <w:sz w:val="18"/>
                      <w:szCs w:val="18"/>
                    </w:rPr>
                  </w:pPr>
                  <w:r>
                    <w:rPr>
                      <w:color w:val="auto"/>
                      <w:sz w:val="18"/>
                      <w:szCs w:val="18"/>
                    </w:rPr>
                    <w:t>项目产品不属于石化产业基地禁止引入类项目，符合国家、江苏省有关法律法规规定，满足基地产业准入条件。</w:t>
                  </w:r>
                </w:p>
              </w:tc>
              <w:tc>
                <w:tcPr>
                  <w:tcW w:w="275" w:type="pct"/>
                  <w:vMerge w:val="continue"/>
                  <w:vAlign w:val="center"/>
                </w:tcPr>
                <w:p w14:paraId="7205D8EA">
                  <w:pPr>
                    <w:widowControl/>
                    <w:adjustRightInd w:val="0"/>
                    <w:snapToGrid w:val="0"/>
                    <w:jc w:val="center"/>
                    <w:rPr>
                      <w:color w:val="auto"/>
                      <w:sz w:val="18"/>
                      <w:szCs w:val="18"/>
                    </w:rPr>
                  </w:pPr>
                </w:p>
              </w:tc>
            </w:tr>
            <w:tr w14:paraId="13FE7BF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7" w:type="dxa"/>
                  <w:bottom w:w="0" w:type="dxa"/>
                  <w:right w:w="17" w:type="dxa"/>
                </w:tblCellMar>
              </w:tblPrEx>
              <w:trPr>
                <w:jc w:val="center"/>
              </w:trPr>
              <w:tc>
                <w:tcPr>
                  <w:tcW w:w="150" w:type="pct"/>
                  <w:vMerge w:val="continue"/>
                  <w:vAlign w:val="center"/>
                </w:tcPr>
                <w:p w14:paraId="2280D04E">
                  <w:pPr>
                    <w:widowControl/>
                    <w:adjustRightInd w:val="0"/>
                    <w:snapToGrid w:val="0"/>
                    <w:jc w:val="center"/>
                    <w:rPr>
                      <w:color w:val="auto"/>
                      <w:sz w:val="18"/>
                      <w:szCs w:val="18"/>
                    </w:rPr>
                  </w:pPr>
                </w:p>
              </w:tc>
              <w:tc>
                <w:tcPr>
                  <w:tcW w:w="150" w:type="pct"/>
                  <w:vMerge w:val="continue"/>
                  <w:vAlign w:val="center"/>
                </w:tcPr>
                <w:p w14:paraId="6E8B8EEA">
                  <w:pPr>
                    <w:widowControl/>
                    <w:adjustRightInd w:val="0"/>
                    <w:snapToGrid w:val="0"/>
                    <w:jc w:val="center"/>
                    <w:rPr>
                      <w:color w:val="auto"/>
                      <w:sz w:val="18"/>
                      <w:szCs w:val="18"/>
                    </w:rPr>
                  </w:pPr>
                </w:p>
              </w:tc>
              <w:tc>
                <w:tcPr>
                  <w:tcW w:w="256" w:type="pct"/>
                  <w:gridSpan w:val="2"/>
                  <w:vAlign w:val="center"/>
                </w:tcPr>
                <w:p w14:paraId="779A16AB">
                  <w:pPr>
                    <w:widowControl/>
                    <w:adjustRightInd w:val="0"/>
                    <w:snapToGrid w:val="0"/>
                    <w:jc w:val="center"/>
                    <w:rPr>
                      <w:color w:val="auto"/>
                      <w:sz w:val="18"/>
                      <w:szCs w:val="18"/>
                    </w:rPr>
                  </w:pPr>
                  <w:r>
                    <w:rPr>
                      <w:color w:val="auto"/>
                      <w:sz w:val="18"/>
                      <w:szCs w:val="18"/>
                    </w:rPr>
                    <w:t>空间布局约束</w:t>
                  </w:r>
                </w:p>
              </w:tc>
              <w:tc>
                <w:tcPr>
                  <w:tcW w:w="2431" w:type="pct"/>
                  <w:vAlign w:val="center"/>
                </w:tcPr>
                <w:p w14:paraId="21211400">
                  <w:pPr>
                    <w:widowControl/>
                    <w:adjustRightInd w:val="0"/>
                    <w:snapToGrid w:val="0"/>
                    <w:jc w:val="left"/>
                    <w:rPr>
                      <w:color w:val="auto"/>
                      <w:sz w:val="18"/>
                      <w:szCs w:val="18"/>
                    </w:rPr>
                  </w:pPr>
                  <w:r>
                    <w:rPr>
                      <w:rFonts w:hint="eastAsia" w:ascii="宋体" w:hAnsi="宋体" w:cs="宋体"/>
                      <w:color w:val="auto"/>
                      <w:sz w:val="18"/>
                      <w:szCs w:val="18"/>
                    </w:rPr>
                    <w:t>①</w:t>
                  </w:r>
                  <w:r>
                    <w:rPr>
                      <w:color w:val="auto"/>
                      <w:sz w:val="18"/>
                      <w:szCs w:val="18"/>
                    </w:rPr>
                    <w:t>基地为生产管控区，禁止开展与生产无关的活动。</w:t>
                  </w:r>
                </w:p>
                <w:p w14:paraId="15610D8A">
                  <w:pPr>
                    <w:widowControl/>
                    <w:adjustRightInd w:val="0"/>
                    <w:snapToGrid w:val="0"/>
                    <w:jc w:val="left"/>
                    <w:rPr>
                      <w:color w:val="auto"/>
                      <w:sz w:val="18"/>
                      <w:szCs w:val="18"/>
                    </w:rPr>
                  </w:pPr>
                  <w:r>
                    <w:rPr>
                      <w:rFonts w:hint="eastAsia" w:ascii="宋体" w:hAnsi="宋体" w:cs="宋体"/>
                      <w:color w:val="auto"/>
                      <w:sz w:val="18"/>
                      <w:szCs w:val="18"/>
                    </w:rPr>
                    <w:t>②</w:t>
                  </w:r>
                  <w:r>
                    <w:rPr>
                      <w:color w:val="auto"/>
                      <w:sz w:val="18"/>
                      <w:szCs w:val="18"/>
                    </w:rPr>
                    <w:t>石化产业区周边与居住区之间设置1公里的安全防护距离，并适当设有绿化带，安全卫生防护距离内不得规划建设学校、医院、居民住宅等环境敏感目标。</w:t>
                  </w:r>
                </w:p>
                <w:p w14:paraId="3486515C">
                  <w:pPr>
                    <w:widowControl/>
                    <w:adjustRightInd w:val="0"/>
                    <w:snapToGrid w:val="0"/>
                    <w:jc w:val="left"/>
                    <w:rPr>
                      <w:color w:val="auto"/>
                      <w:sz w:val="18"/>
                      <w:szCs w:val="18"/>
                    </w:rPr>
                  </w:pPr>
                  <w:r>
                    <w:rPr>
                      <w:rFonts w:hint="eastAsia" w:ascii="宋体" w:hAnsi="宋体" w:cs="宋体"/>
                      <w:color w:val="auto"/>
                      <w:sz w:val="18"/>
                      <w:szCs w:val="18"/>
                    </w:rPr>
                    <w:t>③</w:t>
                  </w:r>
                  <w:r>
                    <w:rPr>
                      <w:color w:val="auto"/>
                      <w:sz w:val="18"/>
                      <w:szCs w:val="18"/>
                    </w:rPr>
                    <w:t>陬山湖周边公共绿地限制开发，道路两侧的防护绿地可以架空高压线路、用作工业管廊和工程管线通道以及设置某些小型的辅助设施如变压器、指标牌和灯柱，同时控制严禁建设任何建筑。</w:t>
                  </w:r>
                </w:p>
              </w:tc>
              <w:tc>
                <w:tcPr>
                  <w:tcW w:w="1738" w:type="pct"/>
                  <w:vAlign w:val="center"/>
                </w:tcPr>
                <w:p w14:paraId="0AC11D6F">
                  <w:pPr>
                    <w:widowControl/>
                    <w:adjustRightInd w:val="0"/>
                    <w:snapToGrid w:val="0"/>
                    <w:jc w:val="left"/>
                    <w:rPr>
                      <w:color w:val="auto"/>
                      <w:sz w:val="18"/>
                      <w:szCs w:val="18"/>
                    </w:rPr>
                  </w:pPr>
                  <w:r>
                    <w:rPr>
                      <w:color w:val="auto"/>
                      <w:sz w:val="18"/>
                      <w:szCs w:val="18"/>
                    </w:rPr>
                    <w:t>本项目拟建地位于石化产业基地的</w:t>
                  </w:r>
                  <w:r>
                    <w:rPr>
                      <w:rFonts w:hint="eastAsia"/>
                      <w:color w:val="auto"/>
                      <w:sz w:val="18"/>
                      <w:szCs w:val="18"/>
                      <w:lang w:val="en-US" w:eastAsia="zh-CN"/>
                    </w:rPr>
                    <w:t>瑞兆科现有厂区</w:t>
                  </w:r>
                  <w:r>
                    <w:rPr>
                      <w:color w:val="auto"/>
                      <w:sz w:val="18"/>
                      <w:szCs w:val="18"/>
                    </w:rPr>
                    <w:t>内，</w:t>
                  </w:r>
                  <w:r>
                    <w:rPr>
                      <w:rFonts w:hint="eastAsia"/>
                      <w:color w:val="auto"/>
                      <w:sz w:val="18"/>
                      <w:szCs w:val="18"/>
                    </w:rPr>
                    <w:t>为厂区内部配套品控洁净实验室，</w:t>
                  </w:r>
                  <w:r>
                    <w:rPr>
                      <w:color w:val="auto"/>
                      <w:sz w:val="18"/>
                      <w:szCs w:val="18"/>
                    </w:rPr>
                    <w:t>不进行与生产无关的活动，项目用地性质为三类工业用地，符合基地用地布局和空间布局。</w:t>
                  </w:r>
                </w:p>
              </w:tc>
              <w:tc>
                <w:tcPr>
                  <w:tcW w:w="275" w:type="pct"/>
                  <w:vAlign w:val="center"/>
                </w:tcPr>
                <w:p w14:paraId="10920572">
                  <w:pPr>
                    <w:widowControl/>
                    <w:adjustRightInd w:val="0"/>
                    <w:snapToGrid w:val="0"/>
                    <w:jc w:val="center"/>
                    <w:rPr>
                      <w:color w:val="auto"/>
                      <w:sz w:val="18"/>
                      <w:szCs w:val="18"/>
                    </w:rPr>
                  </w:pPr>
                  <w:r>
                    <w:rPr>
                      <w:color w:val="auto"/>
                      <w:sz w:val="18"/>
                      <w:szCs w:val="18"/>
                    </w:rPr>
                    <w:t>本项目符合基地空间布局要求</w:t>
                  </w:r>
                </w:p>
              </w:tc>
            </w:tr>
            <w:tr w14:paraId="652B1EF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7" w:type="dxa"/>
                  <w:bottom w:w="0" w:type="dxa"/>
                  <w:right w:w="17" w:type="dxa"/>
                </w:tblCellMar>
              </w:tblPrEx>
              <w:trPr>
                <w:jc w:val="center"/>
              </w:trPr>
              <w:tc>
                <w:tcPr>
                  <w:tcW w:w="150" w:type="pct"/>
                  <w:vMerge w:val="continue"/>
                  <w:vAlign w:val="center"/>
                </w:tcPr>
                <w:p w14:paraId="1BADA436">
                  <w:pPr>
                    <w:widowControl/>
                    <w:adjustRightInd w:val="0"/>
                    <w:snapToGrid w:val="0"/>
                    <w:jc w:val="center"/>
                    <w:rPr>
                      <w:color w:val="auto"/>
                      <w:sz w:val="18"/>
                      <w:szCs w:val="18"/>
                    </w:rPr>
                  </w:pPr>
                </w:p>
              </w:tc>
              <w:tc>
                <w:tcPr>
                  <w:tcW w:w="150" w:type="pct"/>
                  <w:vMerge w:val="continue"/>
                  <w:vAlign w:val="center"/>
                </w:tcPr>
                <w:p w14:paraId="797C7B1E">
                  <w:pPr>
                    <w:widowControl/>
                    <w:adjustRightInd w:val="0"/>
                    <w:snapToGrid w:val="0"/>
                    <w:jc w:val="center"/>
                    <w:rPr>
                      <w:color w:val="auto"/>
                      <w:sz w:val="18"/>
                      <w:szCs w:val="18"/>
                    </w:rPr>
                  </w:pPr>
                </w:p>
              </w:tc>
              <w:tc>
                <w:tcPr>
                  <w:tcW w:w="104" w:type="pct"/>
                  <w:vMerge w:val="restart"/>
                  <w:vAlign w:val="center"/>
                </w:tcPr>
                <w:p w14:paraId="7A4F1CCE">
                  <w:pPr>
                    <w:widowControl/>
                    <w:adjustRightInd w:val="0"/>
                    <w:snapToGrid w:val="0"/>
                    <w:jc w:val="center"/>
                    <w:rPr>
                      <w:color w:val="auto"/>
                      <w:sz w:val="18"/>
                      <w:szCs w:val="18"/>
                    </w:rPr>
                  </w:pPr>
                  <w:r>
                    <w:rPr>
                      <w:color w:val="auto"/>
                      <w:sz w:val="18"/>
                      <w:szCs w:val="18"/>
                    </w:rPr>
                    <w:t>污染物排放管控</w:t>
                  </w:r>
                </w:p>
              </w:tc>
              <w:tc>
                <w:tcPr>
                  <w:tcW w:w="152" w:type="pct"/>
                  <w:vAlign w:val="center"/>
                </w:tcPr>
                <w:p w14:paraId="43327D9B">
                  <w:pPr>
                    <w:widowControl/>
                    <w:adjustRightInd w:val="0"/>
                    <w:snapToGrid w:val="0"/>
                    <w:jc w:val="center"/>
                    <w:rPr>
                      <w:color w:val="auto"/>
                      <w:sz w:val="18"/>
                      <w:szCs w:val="18"/>
                    </w:rPr>
                  </w:pPr>
                  <w:r>
                    <w:rPr>
                      <w:color w:val="auto"/>
                      <w:sz w:val="18"/>
                      <w:szCs w:val="18"/>
                    </w:rPr>
                    <w:t>总体要求</w:t>
                  </w:r>
                </w:p>
              </w:tc>
              <w:tc>
                <w:tcPr>
                  <w:tcW w:w="2431" w:type="pct"/>
                  <w:vAlign w:val="center"/>
                </w:tcPr>
                <w:p w14:paraId="2E6A1675">
                  <w:pPr>
                    <w:widowControl/>
                    <w:adjustRightInd w:val="0"/>
                    <w:snapToGrid w:val="0"/>
                    <w:jc w:val="left"/>
                    <w:rPr>
                      <w:color w:val="auto"/>
                      <w:sz w:val="18"/>
                      <w:szCs w:val="18"/>
                    </w:rPr>
                  </w:pPr>
                  <w:r>
                    <w:rPr>
                      <w:rFonts w:hint="eastAsia" w:ascii="宋体" w:hAnsi="宋体" w:cs="宋体"/>
                      <w:color w:val="auto"/>
                      <w:sz w:val="18"/>
                      <w:szCs w:val="18"/>
                    </w:rPr>
                    <w:t>①</w:t>
                  </w:r>
                  <w:r>
                    <w:rPr>
                      <w:color w:val="auto"/>
                      <w:sz w:val="18"/>
                      <w:szCs w:val="18"/>
                    </w:rPr>
                    <w:t>工业项目排放污染物必须达到国家和地方规定的污染物排放标准</w:t>
                  </w:r>
                </w:p>
                <w:p w14:paraId="288DAA58">
                  <w:pPr>
                    <w:widowControl/>
                    <w:adjustRightInd w:val="0"/>
                    <w:snapToGrid w:val="0"/>
                    <w:jc w:val="left"/>
                    <w:rPr>
                      <w:color w:val="auto"/>
                      <w:sz w:val="18"/>
                      <w:szCs w:val="18"/>
                    </w:rPr>
                  </w:pPr>
                  <w:r>
                    <w:rPr>
                      <w:rFonts w:hint="eastAsia" w:ascii="宋体" w:hAnsi="宋体" w:cs="宋体"/>
                      <w:color w:val="auto"/>
                      <w:sz w:val="18"/>
                      <w:szCs w:val="18"/>
                    </w:rPr>
                    <w:t>②</w:t>
                  </w:r>
                  <w:r>
                    <w:rPr>
                      <w:color w:val="auto"/>
                      <w:sz w:val="18"/>
                      <w:szCs w:val="18"/>
                    </w:rPr>
                    <w:t>新建、改建、扩建项目生产技术和工艺、水耗能耗物耗、产排污情况及环境管理等方面应达到国际先进水平。</w:t>
                  </w:r>
                </w:p>
              </w:tc>
              <w:tc>
                <w:tcPr>
                  <w:tcW w:w="1738" w:type="pct"/>
                  <w:vAlign w:val="center"/>
                </w:tcPr>
                <w:p w14:paraId="7A5B9ADA">
                  <w:pPr>
                    <w:widowControl/>
                    <w:adjustRightInd w:val="0"/>
                    <w:snapToGrid w:val="0"/>
                    <w:jc w:val="left"/>
                    <w:rPr>
                      <w:color w:val="auto"/>
                      <w:sz w:val="18"/>
                      <w:szCs w:val="18"/>
                    </w:rPr>
                  </w:pPr>
                  <w:r>
                    <w:rPr>
                      <w:color w:val="auto"/>
                      <w:sz w:val="18"/>
                      <w:szCs w:val="18"/>
                    </w:rPr>
                    <w:t>本项目为</w:t>
                  </w:r>
                  <w:r>
                    <w:rPr>
                      <w:rFonts w:hint="eastAsia"/>
                      <w:color w:val="auto"/>
                      <w:sz w:val="18"/>
                      <w:szCs w:val="18"/>
                    </w:rPr>
                    <w:t>改建</w:t>
                  </w:r>
                  <w:r>
                    <w:rPr>
                      <w:color w:val="auto"/>
                      <w:sz w:val="18"/>
                      <w:szCs w:val="18"/>
                    </w:rPr>
                    <w:t>项目，排放的污染物满足国家和地方规定的污染物排放标准；</w:t>
                  </w:r>
                  <w:r>
                    <w:rPr>
                      <w:rFonts w:hint="eastAsia"/>
                      <w:color w:val="auto"/>
                      <w:sz w:val="18"/>
                      <w:szCs w:val="18"/>
                    </w:rPr>
                    <w:t>本项目为配套品控洁净实验室，不涉及生产工艺，</w:t>
                  </w:r>
                  <w:r>
                    <w:rPr>
                      <w:color w:val="auto"/>
                      <w:sz w:val="18"/>
                      <w:szCs w:val="18"/>
                    </w:rPr>
                    <w:t>项目实施后，其</w:t>
                  </w:r>
                  <w:r>
                    <w:rPr>
                      <w:rFonts w:hint="eastAsia"/>
                      <w:color w:val="auto"/>
                      <w:sz w:val="18"/>
                      <w:szCs w:val="18"/>
                    </w:rPr>
                    <w:t>检测装备</w:t>
                  </w:r>
                  <w:r>
                    <w:rPr>
                      <w:color w:val="auto"/>
                      <w:sz w:val="18"/>
                      <w:szCs w:val="18"/>
                    </w:rPr>
                    <w:t>、水耗能耗物耗、产排污情况及环境管理可达到国际先进水平。</w:t>
                  </w:r>
                </w:p>
              </w:tc>
              <w:tc>
                <w:tcPr>
                  <w:tcW w:w="275" w:type="pct"/>
                  <w:vMerge w:val="restart"/>
                  <w:vAlign w:val="center"/>
                </w:tcPr>
                <w:p w14:paraId="48CFEC06">
                  <w:pPr>
                    <w:widowControl/>
                    <w:adjustRightInd w:val="0"/>
                    <w:snapToGrid w:val="0"/>
                    <w:jc w:val="center"/>
                    <w:rPr>
                      <w:color w:val="auto"/>
                      <w:sz w:val="18"/>
                      <w:szCs w:val="18"/>
                    </w:rPr>
                  </w:pPr>
                  <w:r>
                    <w:rPr>
                      <w:color w:val="auto"/>
                      <w:sz w:val="18"/>
                      <w:szCs w:val="18"/>
                    </w:rPr>
                    <w:t>本项目满足污染物排放管控要求</w:t>
                  </w:r>
                </w:p>
              </w:tc>
            </w:tr>
            <w:tr w14:paraId="4BEE6D0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7" w:type="dxa"/>
                  <w:bottom w:w="0" w:type="dxa"/>
                  <w:right w:w="17" w:type="dxa"/>
                </w:tblCellMar>
              </w:tblPrEx>
              <w:trPr>
                <w:jc w:val="center"/>
              </w:trPr>
              <w:tc>
                <w:tcPr>
                  <w:tcW w:w="150" w:type="pct"/>
                  <w:vMerge w:val="continue"/>
                  <w:vAlign w:val="center"/>
                </w:tcPr>
                <w:p w14:paraId="011A8F74">
                  <w:pPr>
                    <w:widowControl/>
                    <w:adjustRightInd w:val="0"/>
                    <w:snapToGrid w:val="0"/>
                    <w:jc w:val="center"/>
                    <w:rPr>
                      <w:color w:val="auto"/>
                      <w:sz w:val="18"/>
                      <w:szCs w:val="18"/>
                    </w:rPr>
                  </w:pPr>
                </w:p>
              </w:tc>
              <w:tc>
                <w:tcPr>
                  <w:tcW w:w="150" w:type="pct"/>
                  <w:vMerge w:val="continue"/>
                  <w:vAlign w:val="center"/>
                </w:tcPr>
                <w:p w14:paraId="3A3B2EB7">
                  <w:pPr>
                    <w:widowControl/>
                    <w:adjustRightInd w:val="0"/>
                    <w:snapToGrid w:val="0"/>
                    <w:jc w:val="center"/>
                    <w:rPr>
                      <w:color w:val="auto"/>
                      <w:sz w:val="18"/>
                      <w:szCs w:val="18"/>
                    </w:rPr>
                  </w:pPr>
                </w:p>
              </w:tc>
              <w:tc>
                <w:tcPr>
                  <w:tcW w:w="104" w:type="pct"/>
                  <w:vMerge w:val="continue"/>
                  <w:vAlign w:val="center"/>
                </w:tcPr>
                <w:p w14:paraId="23D45656">
                  <w:pPr>
                    <w:widowControl/>
                    <w:adjustRightInd w:val="0"/>
                    <w:snapToGrid w:val="0"/>
                    <w:jc w:val="center"/>
                    <w:rPr>
                      <w:color w:val="auto"/>
                      <w:sz w:val="18"/>
                      <w:szCs w:val="18"/>
                    </w:rPr>
                  </w:pPr>
                </w:p>
              </w:tc>
              <w:tc>
                <w:tcPr>
                  <w:tcW w:w="152" w:type="pct"/>
                  <w:vAlign w:val="center"/>
                </w:tcPr>
                <w:p w14:paraId="7962BB62">
                  <w:pPr>
                    <w:widowControl/>
                    <w:adjustRightInd w:val="0"/>
                    <w:snapToGrid w:val="0"/>
                    <w:jc w:val="center"/>
                    <w:rPr>
                      <w:color w:val="auto"/>
                      <w:sz w:val="18"/>
                      <w:szCs w:val="18"/>
                    </w:rPr>
                  </w:pPr>
                  <w:r>
                    <w:rPr>
                      <w:color w:val="auto"/>
                      <w:sz w:val="18"/>
                      <w:szCs w:val="18"/>
                    </w:rPr>
                    <w:t>石化行业</w:t>
                  </w:r>
                </w:p>
              </w:tc>
              <w:tc>
                <w:tcPr>
                  <w:tcW w:w="2431" w:type="pct"/>
                  <w:vAlign w:val="center"/>
                </w:tcPr>
                <w:p w14:paraId="19B550F8">
                  <w:pPr>
                    <w:widowControl/>
                    <w:adjustRightInd w:val="0"/>
                    <w:snapToGrid w:val="0"/>
                    <w:jc w:val="left"/>
                    <w:rPr>
                      <w:color w:val="auto"/>
                      <w:sz w:val="18"/>
                      <w:szCs w:val="18"/>
                    </w:rPr>
                  </w:pPr>
                  <w:r>
                    <w:rPr>
                      <w:color w:val="auto"/>
                      <w:sz w:val="18"/>
                      <w:szCs w:val="18"/>
                    </w:rPr>
                    <w:t>污染物排放：工艺加热炉： SO</w:t>
                  </w:r>
                  <w:r>
                    <w:rPr>
                      <w:color w:val="auto"/>
                      <w:sz w:val="18"/>
                      <w:szCs w:val="18"/>
                      <w:vertAlign w:val="subscript"/>
                    </w:rPr>
                    <w:t xml:space="preserve">2 </w:t>
                  </w:r>
                  <w:r>
                    <w:rPr>
                      <w:color w:val="auto"/>
                      <w:sz w:val="18"/>
                      <w:szCs w:val="18"/>
                    </w:rPr>
                    <w:t>≤50mg/m</w:t>
                  </w:r>
                  <w:r>
                    <w:rPr>
                      <w:color w:val="auto"/>
                      <w:sz w:val="18"/>
                      <w:szCs w:val="18"/>
                      <w:vertAlign w:val="superscript"/>
                    </w:rPr>
                    <w:t>3</w:t>
                  </w:r>
                  <w:r>
                    <w:rPr>
                      <w:color w:val="auto"/>
                      <w:sz w:val="18"/>
                      <w:szCs w:val="18"/>
                    </w:rPr>
                    <w:t>、NO</w:t>
                  </w:r>
                  <w:r>
                    <w:rPr>
                      <w:color w:val="auto"/>
                      <w:sz w:val="18"/>
                      <w:szCs w:val="18"/>
                      <w:vertAlign w:val="subscript"/>
                    </w:rPr>
                    <w:t xml:space="preserve">x </w:t>
                  </w:r>
                  <w:r>
                    <w:rPr>
                      <w:color w:val="auto"/>
                      <w:sz w:val="18"/>
                      <w:szCs w:val="18"/>
                    </w:rPr>
                    <w:t>≤100mg/m</w:t>
                  </w:r>
                  <w:r>
                    <w:rPr>
                      <w:color w:val="auto"/>
                      <w:sz w:val="18"/>
                      <w:szCs w:val="18"/>
                      <w:vertAlign w:val="superscript"/>
                    </w:rPr>
                    <w:t>3</w:t>
                  </w:r>
                  <w:r>
                    <w:rPr>
                      <w:color w:val="auto"/>
                      <w:sz w:val="18"/>
                      <w:szCs w:val="18"/>
                    </w:rPr>
                    <w:t>、烟尘≤20mg/m</w:t>
                  </w:r>
                  <w:r>
                    <w:rPr>
                      <w:color w:val="auto"/>
                      <w:sz w:val="18"/>
                      <w:szCs w:val="18"/>
                      <w:vertAlign w:val="superscript"/>
                    </w:rPr>
                    <w:t>3</w:t>
                  </w:r>
                  <w:r>
                    <w:rPr>
                      <w:color w:val="auto"/>
                      <w:sz w:val="18"/>
                      <w:szCs w:val="18"/>
                    </w:rPr>
                    <w:t>。厂区内NMHC监控点处1h平均浓度值≤6mg/m</w:t>
                  </w:r>
                  <w:r>
                    <w:rPr>
                      <w:color w:val="auto"/>
                      <w:sz w:val="18"/>
                      <w:szCs w:val="18"/>
                      <w:vertAlign w:val="superscript"/>
                    </w:rPr>
                    <w:t>3</w:t>
                  </w:r>
                  <w:r>
                    <w:rPr>
                      <w:color w:val="auto"/>
                      <w:sz w:val="18"/>
                      <w:szCs w:val="18"/>
                    </w:rPr>
                    <w:t>，NMHC监控点处任意一次浓度值≤20mg/m</w:t>
                  </w:r>
                  <w:r>
                    <w:rPr>
                      <w:color w:val="auto"/>
                      <w:sz w:val="18"/>
                      <w:szCs w:val="18"/>
                      <w:vertAlign w:val="superscript"/>
                    </w:rPr>
                    <w:t>3</w:t>
                  </w:r>
                  <w:r>
                    <w:rPr>
                      <w:color w:val="auto"/>
                      <w:sz w:val="18"/>
                      <w:szCs w:val="18"/>
                    </w:rPr>
                    <w:t>。非甲烷总烃去除率≥97%。COD ≤50mg/L、氨氮≤5mg/L；循环冷却水系统采用无氮无磷抑制剂。</w:t>
                  </w:r>
                </w:p>
              </w:tc>
              <w:tc>
                <w:tcPr>
                  <w:tcW w:w="1738" w:type="pct"/>
                  <w:vMerge w:val="restart"/>
                  <w:vAlign w:val="center"/>
                </w:tcPr>
                <w:p w14:paraId="0CF5ECB7">
                  <w:pPr>
                    <w:widowControl/>
                    <w:adjustRightInd w:val="0"/>
                    <w:snapToGrid w:val="0"/>
                    <w:jc w:val="left"/>
                    <w:rPr>
                      <w:color w:val="auto"/>
                      <w:sz w:val="18"/>
                      <w:szCs w:val="18"/>
                    </w:rPr>
                  </w:pPr>
                  <w:r>
                    <w:rPr>
                      <w:color w:val="auto"/>
                      <w:sz w:val="18"/>
                      <w:szCs w:val="18"/>
                    </w:rPr>
                    <w:t>项目</w:t>
                  </w:r>
                  <w:r>
                    <w:rPr>
                      <w:rFonts w:hint="eastAsia"/>
                      <w:color w:val="auto"/>
                      <w:sz w:val="18"/>
                      <w:szCs w:val="18"/>
                    </w:rPr>
                    <w:t>废气</w:t>
                  </w:r>
                  <w:r>
                    <w:rPr>
                      <w:color w:val="auto"/>
                      <w:sz w:val="18"/>
                      <w:szCs w:val="18"/>
                    </w:rPr>
                    <w:t>排放</w:t>
                  </w:r>
                  <w:r>
                    <w:rPr>
                      <w:rFonts w:hint="eastAsia"/>
                      <w:color w:val="auto"/>
                      <w:sz w:val="18"/>
                      <w:szCs w:val="18"/>
                    </w:rPr>
                    <w:t>满足</w:t>
                  </w:r>
                  <w:r>
                    <w:rPr>
                      <w:color w:val="auto"/>
                      <w:sz w:val="18"/>
                      <w:szCs w:val="18"/>
                    </w:rPr>
                    <w:t>标准要求；根据项目拟采取的无组织控制措施</w:t>
                  </w:r>
                  <w:r>
                    <w:rPr>
                      <w:rFonts w:hint="eastAsia"/>
                      <w:color w:val="auto"/>
                      <w:sz w:val="18"/>
                      <w:szCs w:val="18"/>
                    </w:rPr>
                    <w:t>，</w:t>
                  </w:r>
                  <w:r>
                    <w:rPr>
                      <w:color w:val="auto"/>
                      <w:sz w:val="18"/>
                      <w:szCs w:val="18"/>
                    </w:rPr>
                    <w:t>项目建成后厂区内NMHC监控点处1h平均浓度值</w:t>
                  </w:r>
                  <w:r>
                    <w:rPr>
                      <w:rFonts w:hint="eastAsia"/>
                      <w:color w:val="auto"/>
                      <w:sz w:val="18"/>
                      <w:szCs w:val="18"/>
                    </w:rPr>
                    <w:t>及</w:t>
                  </w:r>
                  <w:r>
                    <w:rPr>
                      <w:color w:val="auto"/>
                      <w:sz w:val="18"/>
                      <w:szCs w:val="18"/>
                    </w:rPr>
                    <w:t>监控点处任意</w:t>
                  </w:r>
                  <w:r>
                    <w:rPr>
                      <w:rFonts w:hint="eastAsia"/>
                      <w:color w:val="auto"/>
                      <w:sz w:val="18"/>
                      <w:szCs w:val="18"/>
                    </w:rPr>
                    <w:t>1</w:t>
                  </w:r>
                  <w:r>
                    <w:rPr>
                      <w:color w:val="auto"/>
                      <w:sz w:val="18"/>
                      <w:szCs w:val="18"/>
                    </w:rPr>
                    <w:t>次浓度值</w:t>
                  </w:r>
                  <w:r>
                    <w:rPr>
                      <w:rFonts w:hint="eastAsia"/>
                      <w:color w:val="auto"/>
                      <w:sz w:val="18"/>
                      <w:szCs w:val="18"/>
                    </w:rPr>
                    <w:t>能够</w:t>
                  </w:r>
                  <w:r>
                    <w:rPr>
                      <w:color w:val="auto"/>
                      <w:sz w:val="18"/>
                      <w:szCs w:val="18"/>
                    </w:rPr>
                    <w:t>达到标准要求；项目</w:t>
                  </w:r>
                  <w:r>
                    <w:rPr>
                      <w:rFonts w:hint="eastAsia"/>
                      <w:color w:val="auto"/>
                      <w:sz w:val="18"/>
                      <w:szCs w:val="18"/>
                    </w:rPr>
                    <w:t>废水</w:t>
                  </w:r>
                  <w:r>
                    <w:rPr>
                      <w:color w:val="auto"/>
                      <w:sz w:val="18"/>
                      <w:szCs w:val="18"/>
                    </w:rPr>
                    <w:t>经</w:t>
                  </w:r>
                  <w:r>
                    <w:rPr>
                      <w:rFonts w:hint="eastAsia"/>
                      <w:color w:val="auto"/>
                      <w:sz w:val="18"/>
                      <w:szCs w:val="18"/>
                    </w:rPr>
                    <w:t>厂内预处理后由</w:t>
                  </w:r>
                  <w:r>
                    <w:rPr>
                      <w:color w:val="auto"/>
                      <w:sz w:val="18"/>
                      <w:szCs w:val="18"/>
                    </w:rPr>
                    <w:t>专管送往</w:t>
                  </w:r>
                  <w:r>
                    <w:rPr>
                      <w:rFonts w:hint="eastAsia"/>
                      <w:color w:val="auto"/>
                      <w:sz w:val="18"/>
                      <w:szCs w:val="18"/>
                    </w:rPr>
                    <w:t>连云港石化基地工业废水综合治理中心进行处理，尾水通过深海排放管道排入黄海，各废水均满足相应接管要求。现有循环冷却水系统采用无氮无磷抑制剂。</w:t>
                  </w:r>
                </w:p>
              </w:tc>
              <w:tc>
                <w:tcPr>
                  <w:tcW w:w="275" w:type="pct"/>
                  <w:vMerge w:val="continue"/>
                  <w:vAlign w:val="center"/>
                </w:tcPr>
                <w:p w14:paraId="6ADA6B74">
                  <w:pPr>
                    <w:widowControl/>
                    <w:adjustRightInd w:val="0"/>
                    <w:snapToGrid w:val="0"/>
                    <w:jc w:val="center"/>
                    <w:rPr>
                      <w:color w:val="auto"/>
                      <w:sz w:val="18"/>
                      <w:szCs w:val="18"/>
                    </w:rPr>
                  </w:pPr>
                </w:p>
              </w:tc>
            </w:tr>
            <w:tr w14:paraId="4C9A345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7" w:type="dxa"/>
                  <w:bottom w:w="0" w:type="dxa"/>
                  <w:right w:w="17" w:type="dxa"/>
                </w:tblCellMar>
              </w:tblPrEx>
              <w:trPr>
                <w:jc w:val="center"/>
              </w:trPr>
              <w:tc>
                <w:tcPr>
                  <w:tcW w:w="150" w:type="pct"/>
                  <w:vMerge w:val="continue"/>
                  <w:vAlign w:val="center"/>
                </w:tcPr>
                <w:p w14:paraId="19CB536C">
                  <w:pPr>
                    <w:widowControl/>
                    <w:adjustRightInd w:val="0"/>
                    <w:snapToGrid w:val="0"/>
                    <w:jc w:val="center"/>
                    <w:rPr>
                      <w:color w:val="auto"/>
                      <w:sz w:val="18"/>
                      <w:szCs w:val="18"/>
                    </w:rPr>
                  </w:pPr>
                </w:p>
              </w:tc>
              <w:tc>
                <w:tcPr>
                  <w:tcW w:w="150" w:type="pct"/>
                  <w:vMerge w:val="continue"/>
                  <w:vAlign w:val="center"/>
                </w:tcPr>
                <w:p w14:paraId="180C2FCC">
                  <w:pPr>
                    <w:widowControl/>
                    <w:adjustRightInd w:val="0"/>
                    <w:snapToGrid w:val="0"/>
                    <w:jc w:val="center"/>
                    <w:rPr>
                      <w:color w:val="auto"/>
                      <w:sz w:val="18"/>
                      <w:szCs w:val="18"/>
                    </w:rPr>
                  </w:pPr>
                </w:p>
              </w:tc>
              <w:tc>
                <w:tcPr>
                  <w:tcW w:w="104" w:type="pct"/>
                  <w:vMerge w:val="continue"/>
                  <w:vAlign w:val="center"/>
                </w:tcPr>
                <w:p w14:paraId="4B8CDF7D">
                  <w:pPr>
                    <w:widowControl/>
                    <w:adjustRightInd w:val="0"/>
                    <w:snapToGrid w:val="0"/>
                    <w:jc w:val="left"/>
                    <w:rPr>
                      <w:color w:val="auto"/>
                      <w:sz w:val="18"/>
                      <w:szCs w:val="18"/>
                    </w:rPr>
                  </w:pPr>
                </w:p>
              </w:tc>
              <w:tc>
                <w:tcPr>
                  <w:tcW w:w="152" w:type="pct"/>
                  <w:vAlign w:val="center"/>
                </w:tcPr>
                <w:p w14:paraId="0078DC1E">
                  <w:pPr>
                    <w:widowControl/>
                    <w:adjustRightInd w:val="0"/>
                    <w:snapToGrid w:val="0"/>
                    <w:jc w:val="center"/>
                    <w:rPr>
                      <w:color w:val="auto"/>
                      <w:sz w:val="18"/>
                      <w:szCs w:val="18"/>
                    </w:rPr>
                  </w:pPr>
                  <w:r>
                    <w:rPr>
                      <w:color w:val="auto"/>
                      <w:sz w:val="18"/>
                      <w:szCs w:val="18"/>
                    </w:rPr>
                    <w:t>非石化类化工行业</w:t>
                  </w:r>
                </w:p>
              </w:tc>
              <w:tc>
                <w:tcPr>
                  <w:tcW w:w="2431" w:type="pct"/>
                  <w:vAlign w:val="center"/>
                </w:tcPr>
                <w:p w14:paraId="2A99F0B9">
                  <w:pPr>
                    <w:widowControl/>
                    <w:adjustRightInd w:val="0"/>
                    <w:snapToGrid w:val="0"/>
                    <w:jc w:val="left"/>
                    <w:rPr>
                      <w:color w:val="auto"/>
                      <w:sz w:val="18"/>
                      <w:szCs w:val="18"/>
                    </w:rPr>
                  </w:pPr>
                  <w:r>
                    <w:rPr>
                      <w:color w:val="auto"/>
                      <w:sz w:val="18"/>
                      <w:szCs w:val="18"/>
                    </w:rPr>
                    <w:t>污染物排放：挥发性有机物去除率≥90%。厂内非甲烷总烃监控点处1h平均浓度值≤6mg/m</w:t>
                  </w:r>
                  <w:r>
                    <w:rPr>
                      <w:color w:val="auto"/>
                      <w:sz w:val="18"/>
                      <w:szCs w:val="18"/>
                      <w:vertAlign w:val="superscript"/>
                    </w:rPr>
                    <w:t>3</w:t>
                  </w:r>
                  <w:r>
                    <w:rPr>
                      <w:color w:val="auto"/>
                      <w:sz w:val="18"/>
                      <w:szCs w:val="18"/>
                    </w:rPr>
                    <w:t>，非甲烷总烃监控点处任意一次浓度值≤20mg/m</w:t>
                  </w:r>
                  <w:r>
                    <w:rPr>
                      <w:color w:val="auto"/>
                      <w:sz w:val="18"/>
                      <w:szCs w:val="18"/>
                      <w:vertAlign w:val="superscript"/>
                    </w:rPr>
                    <w:t>3</w:t>
                  </w:r>
                  <w:r>
                    <w:rPr>
                      <w:color w:val="auto"/>
                      <w:sz w:val="18"/>
                      <w:szCs w:val="18"/>
                    </w:rPr>
                    <w:t>。COD ≤50mg/L、氨氮≤5mg/L；循环冷却水系统采用无氮无磷抑制剂。</w:t>
                  </w:r>
                </w:p>
              </w:tc>
              <w:tc>
                <w:tcPr>
                  <w:tcW w:w="1738" w:type="pct"/>
                  <w:vMerge w:val="continue"/>
                  <w:vAlign w:val="center"/>
                </w:tcPr>
                <w:p w14:paraId="21F254CD">
                  <w:pPr>
                    <w:widowControl/>
                    <w:adjustRightInd w:val="0"/>
                    <w:snapToGrid w:val="0"/>
                    <w:jc w:val="left"/>
                    <w:rPr>
                      <w:color w:val="auto"/>
                      <w:sz w:val="18"/>
                      <w:szCs w:val="18"/>
                    </w:rPr>
                  </w:pPr>
                </w:p>
              </w:tc>
              <w:tc>
                <w:tcPr>
                  <w:tcW w:w="275" w:type="pct"/>
                  <w:vMerge w:val="continue"/>
                  <w:vAlign w:val="center"/>
                </w:tcPr>
                <w:p w14:paraId="0113DB6E">
                  <w:pPr>
                    <w:widowControl/>
                    <w:adjustRightInd w:val="0"/>
                    <w:snapToGrid w:val="0"/>
                    <w:jc w:val="center"/>
                    <w:rPr>
                      <w:color w:val="auto"/>
                      <w:sz w:val="18"/>
                      <w:szCs w:val="18"/>
                    </w:rPr>
                  </w:pPr>
                </w:p>
              </w:tc>
            </w:tr>
            <w:tr w14:paraId="5F2E5BE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7" w:type="dxa"/>
                  <w:bottom w:w="0" w:type="dxa"/>
                  <w:right w:w="17" w:type="dxa"/>
                </w:tblCellMar>
              </w:tblPrEx>
              <w:trPr>
                <w:jc w:val="center"/>
              </w:trPr>
              <w:tc>
                <w:tcPr>
                  <w:tcW w:w="150" w:type="pct"/>
                  <w:vMerge w:val="continue"/>
                  <w:vAlign w:val="center"/>
                </w:tcPr>
                <w:p w14:paraId="74FE3225">
                  <w:pPr>
                    <w:widowControl/>
                    <w:adjustRightInd w:val="0"/>
                    <w:snapToGrid w:val="0"/>
                    <w:jc w:val="center"/>
                    <w:rPr>
                      <w:color w:val="auto"/>
                      <w:sz w:val="18"/>
                      <w:szCs w:val="18"/>
                    </w:rPr>
                  </w:pPr>
                </w:p>
              </w:tc>
              <w:tc>
                <w:tcPr>
                  <w:tcW w:w="150" w:type="pct"/>
                  <w:vMerge w:val="continue"/>
                  <w:vAlign w:val="center"/>
                </w:tcPr>
                <w:p w14:paraId="11FE5D24">
                  <w:pPr>
                    <w:widowControl/>
                    <w:adjustRightInd w:val="0"/>
                    <w:snapToGrid w:val="0"/>
                    <w:jc w:val="center"/>
                    <w:rPr>
                      <w:color w:val="auto"/>
                      <w:sz w:val="18"/>
                      <w:szCs w:val="18"/>
                    </w:rPr>
                  </w:pPr>
                </w:p>
              </w:tc>
              <w:tc>
                <w:tcPr>
                  <w:tcW w:w="104" w:type="pct"/>
                  <w:vAlign w:val="center"/>
                </w:tcPr>
                <w:p w14:paraId="4F691093">
                  <w:pPr>
                    <w:widowControl/>
                    <w:adjustRightInd w:val="0"/>
                    <w:snapToGrid w:val="0"/>
                    <w:jc w:val="center"/>
                    <w:rPr>
                      <w:color w:val="auto"/>
                      <w:sz w:val="18"/>
                      <w:szCs w:val="18"/>
                    </w:rPr>
                  </w:pPr>
                  <w:r>
                    <w:rPr>
                      <w:color w:val="auto"/>
                      <w:sz w:val="18"/>
                      <w:szCs w:val="18"/>
                    </w:rPr>
                    <w:t>环境风险防控</w:t>
                  </w:r>
                </w:p>
              </w:tc>
              <w:tc>
                <w:tcPr>
                  <w:tcW w:w="152" w:type="pct"/>
                  <w:vAlign w:val="center"/>
                </w:tcPr>
                <w:p w14:paraId="27F6E0D9">
                  <w:pPr>
                    <w:widowControl/>
                    <w:adjustRightInd w:val="0"/>
                    <w:snapToGrid w:val="0"/>
                    <w:jc w:val="center"/>
                    <w:rPr>
                      <w:color w:val="auto"/>
                      <w:sz w:val="18"/>
                      <w:szCs w:val="18"/>
                    </w:rPr>
                  </w:pPr>
                  <w:r>
                    <w:rPr>
                      <w:color w:val="auto"/>
                      <w:sz w:val="18"/>
                      <w:szCs w:val="18"/>
                    </w:rPr>
                    <w:t>总体要求</w:t>
                  </w:r>
                </w:p>
              </w:tc>
              <w:tc>
                <w:tcPr>
                  <w:tcW w:w="2431" w:type="pct"/>
                  <w:vAlign w:val="center"/>
                </w:tcPr>
                <w:p w14:paraId="0F5218E2">
                  <w:pPr>
                    <w:widowControl/>
                    <w:adjustRightInd w:val="0"/>
                    <w:snapToGrid w:val="0"/>
                    <w:jc w:val="left"/>
                    <w:rPr>
                      <w:color w:val="auto"/>
                      <w:sz w:val="18"/>
                      <w:szCs w:val="18"/>
                    </w:rPr>
                  </w:pPr>
                  <w:r>
                    <w:rPr>
                      <w:rFonts w:hint="eastAsia" w:ascii="宋体" w:hAnsi="宋体" w:cs="宋体"/>
                      <w:color w:val="auto"/>
                      <w:sz w:val="18"/>
                      <w:szCs w:val="18"/>
                    </w:rPr>
                    <w:t>①</w:t>
                  </w:r>
                  <w:r>
                    <w:rPr>
                      <w:color w:val="auto"/>
                      <w:sz w:val="18"/>
                      <w:szCs w:val="18"/>
                    </w:rPr>
                    <w:t>严格制定安全准入制度，按照既定的产业布局，充分考虑基地产业链的安全性和科学性，有选择地接纳危险化学品企业入园，把符合安全生产标准、基地产业链安全和安全风险容量要求，作为危险化学品企业准入的前置条件。</w:t>
                  </w:r>
                </w:p>
                <w:p w14:paraId="2F620CEA">
                  <w:pPr>
                    <w:widowControl/>
                    <w:adjustRightInd w:val="0"/>
                    <w:snapToGrid w:val="0"/>
                    <w:jc w:val="left"/>
                    <w:rPr>
                      <w:color w:val="auto"/>
                      <w:sz w:val="18"/>
                      <w:szCs w:val="18"/>
                    </w:rPr>
                  </w:pPr>
                  <w:r>
                    <w:rPr>
                      <w:rFonts w:hint="eastAsia" w:ascii="宋体" w:hAnsi="宋体" w:cs="宋体"/>
                      <w:color w:val="auto"/>
                      <w:sz w:val="18"/>
                      <w:szCs w:val="18"/>
                    </w:rPr>
                    <w:t>②</w:t>
                  </w:r>
                  <w:r>
                    <w:rPr>
                      <w:color w:val="auto"/>
                      <w:sz w:val="18"/>
                      <w:szCs w:val="18"/>
                    </w:rPr>
                    <w:t>对不符合基地产业链发展的项目不准入园，限制不利于基地产业链发展的项目的发展规模；</w:t>
                  </w:r>
                </w:p>
                <w:p w14:paraId="6165C9A1">
                  <w:pPr>
                    <w:widowControl/>
                    <w:adjustRightInd w:val="0"/>
                    <w:snapToGrid w:val="0"/>
                    <w:jc w:val="left"/>
                    <w:rPr>
                      <w:color w:val="auto"/>
                      <w:sz w:val="18"/>
                      <w:szCs w:val="18"/>
                    </w:rPr>
                  </w:pPr>
                  <w:r>
                    <w:rPr>
                      <w:rFonts w:hint="eastAsia" w:ascii="宋体" w:hAnsi="宋体" w:cs="宋体"/>
                      <w:color w:val="auto"/>
                      <w:sz w:val="18"/>
                      <w:szCs w:val="18"/>
                    </w:rPr>
                    <w:t>③</w:t>
                  </w:r>
                  <w:r>
                    <w:rPr>
                      <w:color w:val="auto"/>
                      <w:sz w:val="18"/>
                      <w:szCs w:val="18"/>
                    </w:rPr>
                    <w:t>禁止安全风险大、工艺设施落后、本质安全水平低的企业入园，严格控制涉及光气、剧毒化学品生产企业项目的入园，对于涉及剧毒化学品的项目应加强安全监管和严格按照法规标准的要求采取相应的安全防护措施，控制基地安全风险和危险化学品重大危险源等级，优化基地产业布局，提高整体安全水平。</w:t>
                  </w:r>
                </w:p>
                <w:p w14:paraId="1EDCC5E6">
                  <w:pPr>
                    <w:widowControl/>
                    <w:adjustRightInd w:val="0"/>
                    <w:snapToGrid w:val="0"/>
                    <w:jc w:val="left"/>
                    <w:rPr>
                      <w:color w:val="auto"/>
                      <w:sz w:val="18"/>
                      <w:szCs w:val="18"/>
                    </w:rPr>
                  </w:pPr>
                  <w:r>
                    <w:rPr>
                      <w:rFonts w:hint="eastAsia" w:ascii="宋体" w:hAnsi="宋体" w:cs="宋体"/>
                      <w:color w:val="auto"/>
                      <w:sz w:val="18"/>
                      <w:szCs w:val="18"/>
                    </w:rPr>
                    <w:t>④</w:t>
                  </w:r>
                  <w:r>
                    <w:rPr>
                      <w:color w:val="auto"/>
                      <w:sz w:val="18"/>
                      <w:szCs w:val="18"/>
                    </w:rPr>
                    <w:t>各类石化企业抓住泄漏、火灾、爆炸等导致重大事故发生的关键环节，科学准确地评估危险因素，依据国家法律法规和技术标准进行安全设施设计，组织建设项目施工和竣工验收。</w:t>
                  </w:r>
                </w:p>
              </w:tc>
              <w:tc>
                <w:tcPr>
                  <w:tcW w:w="1738" w:type="pct"/>
                  <w:vAlign w:val="center"/>
                </w:tcPr>
                <w:p w14:paraId="22062694">
                  <w:pPr>
                    <w:widowControl/>
                    <w:adjustRightInd w:val="0"/>
                    <w:snapToGrid w:val="0"/>
                    <w:jc w:val="left"/>
                    <w:rPr>
                      <w:color w:val="auto"/>
                      <w:sz w:val="18"/>
                      <w:szCs w:val="18"/>
                    </w:rPr>
                  </w:pPr>
                  <w:r>
                    <w:rPr>
                      <w:color w:val="auto"/>
                      <w:sz w:val="18"/>
                      <w:szCs w:val="18"/>
                    </w:rPr>
                    <w:t>本项目符合基地产业链发展，不属于禁止入园项目</w:t>
                  </w:r>
                  <w:r>
                    <w:rPr>
                      <w:rFonts w:hint="eastAsia"/>
                      <w:color w:val="auto"/>
                      <w:sz w:val="18"/>
                      <w:szCs w:val="18"/>
                    </w:rPr>
                    <w:t>。</w:t>
                  </w:r>
                  <w:r>
                    <w:rPr>
                      <w:color w:val="auto"/>
                      <w:sz w:val="18"/>
                      <w:szCs w:val="18"/>
                    </w:rPr>
                    <w:t xml:space="preserve"> </w:t>
                  </w:r>
                </w:p>
                <w:p w14:paraId="24C74131">
                  <w:pPr>
                    <w:widowControl/>
                    <w:adjustRightInd w:val="0"/>
                    <w:snapToGrid w:val="0"/>
                    <w:jc w:val="left"/>
                    <w:rPr>
                      <w:color w:val="auto"/>
                      <w:sz w:val="18"/>
                      <w:szCs w:val="18"/>
                    </w:rPr>
                  </w:pPr>
                  <w:r>
                    <w:rPr>
                      <w:rFonts w:hint="eastAsia"/>
                      <w:color w:val="auto"/>
                      <w:sz w:val="18"/>
                      <w:szCs w:val="18"/>
                    </w:rPr>
                    <w:t>①项目选址位于</w:t>
                  </w:r>
                  <w:r>
                    <w:rPr>
                      <w:rFonts w:hint="eastAsia"/>
                      <w:color w:val="auto"/>
                      <w:sz w:val="18"/>
                      <w:szCs w:val="18"/>
                      <w:lang w:val="en-US" w:eastAsia="zh-CN"/>
                    </w:rPr>
                    <w:t>瑞兆科现有厂区</w:t>
                  </w:r>
                  <w:r>
                    <w:rPr>
                      <w:color w:val="auto"/>
                      <w:sz w:val="18"/>
                      <w:szCs w:val="18"/>
                    </w:rPr>
                    <w:t>内</w:t>
                  </w:r>
                  <w:r>
                    <w:rPr>
                      <w:rFonts w:hint="eastAsia"/>
                      <w:color w:val="auto"/>
                      <w:sz w:val="18"/>
                      <w:szCs w:val="18"/>
                    </w:rPr>
                    <w:t>，符合石化基地产业布局，</w:t>
                  </w:r>
                  <w:r>
                    <w:rPr>
                      <w:color w:val="auto"/>
                      <w:sz w:val="18"/>
                      <w:szCs w:val="18"/>
                    </w:rPr>
                    <w:t>项目设计、建设和</w:t>
                  </w:r>
                  <w:r>
                    <w:rPr>
                      <w:rFonts w:hint="eastAsia"/>
                      <w:color w:val="auto"/>
                      <w:sz w:val="18"/>
                      <w:szCs w:val="18"/>
                    </w:rPr>
                    <w:t>运行</w:t>
                  </w:r>
                  <w:r>
                    <w:rPr>
                      <w:color w:val="auto"/>
                      <w:sz w:val="18"/>
                      <w:szCs w:val="18"/>
                    </w:rPr>
                    <w:t>过程中采取严格的安全防护措施，依据国家法律法规和技术标准进行安全设施设计</w:t>
                  </w:r>
                  <w:r>
                    <w:rPr>
                      <w:rFonts w:hint="eastAsia"/>
                      <w:color w:val="auto"/>
                      <w:sz w:val="18"/>
                      <w:szCs w:val="18"/>
                    </w:rPr>
                    <w:t>，必须符合安全生产标准，并经过相关部门审查许可。</w:t>
                  </w:r>
                </w:p>
                <w:p w14:paraId="55A57BA8">
                  <w:pPr>
                    <w:widowControl/>
                    <w:adjustRightInd w:val="0"/>
                    <w:snapToGrid w:val="0"/>
                    <w:jc w:val="left"/>
                    <w:rPr>
                      <w:color w:val="auto"/>
                      <w:sz w:val="18"/>
                      <w:szCs w:val="18"/>
                    </w:rPr>
                  </w:pPr>
                  <w:r>
                    <w:rPr>
                      <w:rFonts w:hint="eastAsia" w:ascii="宋体" w:hAnsi="宋体"/>
                      <w:color w:val="auto"/>
                      <w:sz w:val="18"/>
                      <w:szCs w:val="18"/>
                    </w:rPr>
                    <w:t>②</w:t>
                  </w:r>
                  <w:r>
                    <w:rPr>
                      <w:rFonts w:hint="eastAsia"/>
                      <w:color w:val="auto"/>
                      <w:sz w:val="18"/>
                      <w:szCs w:val="18"/>
                    </w:rPr>
                    <w:t>本项目为瑞兆科厂区内部配套品控洁净实验室，主要服务瑞兆科电子级化学品产品质量管控。电子级化学品属于石化基地烯类、芳烃产业链下游高端精细配套产品，本项目为其生产运营提供必要质检支撑，属于产业链配套辅助设施，与石化基地重点产品链协同发展方向相符</w:t>
                  </w:r>
                  <w:r>
                    <w:rPr>
                      <w:color w:val="auto"/>
                      <w:sz w:val="18"/>
                      <w:szCs w:val="18"/>
                    </w:rPr>
                    <w:t>。</w:t>
                  </w:r>
                </w:p>
                <w:p w14:paraId="5AD01225">
                  <w:pPr>
                    <w:widowControl/>
                    <w:adjustRightInd w:val="0"/>
                    <w:snapToGrid w:val="0"/>
                    <w:jc w:val="left"/>
                    <w:rPr>
                      <w:color w:val="auto"/>
                      <w:sz w:val="18"/>
                      <w:szCs w:val="18"/>
                    </w:rPr>
                  </w:pPr>
                  <w:r>
                    <w:rPr>
                      <w:rFonts w:hint="eastAsia" w:ascii="宋体" w:hAnsi="宋体"/>
                      <w:color w:val="auto"/>
                      <w:sz w:val="18"/>
                      <w:szCs w:val="18"/>
                    </w:rPr>
                    <w:t>③</w:t>
                  </w:r>
                  <w:r>
                    <w:rPr>
                      <w:rFonts w:hint="eastAsia"/>
                      <w:color w:val="auto"/>
                      <w:sz w:val="18"/>
                      <w:szCs w:val="18"/>
                    </w:rPr>
                    <w:t>项目不属于安全风险大、工艺设施落后、本质安全水平低类项目，不涉及光气、剧毒化学品生产。</w:t>
                  </w:r>
                </w:p>
                <w:p w14:paraId="0E0F96BC">
                  <w:pPr>
                    <w:widowControl/>
                    <w:adjustRightInd w:val="0"/>
                    <w:snapToGrid w:val="0"/>
                    <w:jc w:val="left"/>
                    <w:rPr>
                      <w:color w:val="auto"/>
                      <w:sz w:val="18"/>
                      <w:szCs w:val="18"/>
                    </w:rPr>
                  </w:pPr>
                  <w:r>
                    <w:rPr>
                      <w:rFonts w:hint="eastAsia"/>
                      <w:color w:val="auto"/>
                      <w:sz w:val="18"/>
                      <w:szCs w:val="18"/>
                    </w:rPr>
                    <w:t>④本项目识别了</w:t>
                  </w:r>
                  <w:r>
                    <w:rPr>
                      <w:color w:val="auto"/>
                      <w:sz w:val="18"/>
                      <w:szCs w:val="18"/>
                    </w:rPr>
                    <w:t>泄漏、火灾、爆炸等</w:t>
                  </w:r>
                  <w:r>
                    <w:rPr>
                      <w:rFonts w:hint="eastAsia"/>
                      <w:color w:val="auto"/>
                      <w:sz w:val="18"/>
                      <w:szCs w:val="18"/>
                      <w:lang w:val="en-US" w:eastAsia="zh-CN"/>
                    </w:rPr>
                    <w:t>风险</w:t>
                  </w:r>
                  <w:r>
                    <w:rPr>
                      <w:rFonts w:hint="eastAsia"/>
                      <w:color w:val="auto"/>
                      <w:sz w:val="18"/>
                      <w:szCs w:val="18"/>
                    </w:rPr>
                    <w:t>，</w:t>
                  </w:r>
                  <w:r>
                    <w:rPr>
                      <w:color w:val="auto"/>
                      <w:sz w:val="18"/>
                      <w:szCs w:val="18"/>
                    </w:rPr>
                    <w:t>科学准确地评估危险因素，依据国家法律法规和技术标准进行安全设施设计，组织建设项目施工和竣工验收。</w:t>
                  </w:r>
                </w:p>
              </w:tc>
              <w:tc>
                <w:tcPr>
                  <w:tcW w:w="275" w:type="pct"/>
                  <w:vAlign w:val="center"/>
                </w:tcPr>
                <w:p w14:paraId="1D9425D4">
                  <w:pPr>
                    <w:widowControl/>
                    <w:adjustRightInd w:val="0"/>
                    <w:snapToGrid w:val="0"/>
                    <w:jc w:val="center"/>
                    <w:rPr>
                      <w:color w:val="auto"/>
                      <w:sz w:val="18"/>
                      <w:szCs w:val="18"/>
                    </w:rPr>
                  </w:pPr>
                  <w:r>
                    <w:rPr>
                      <w:color w:val="auto"/>
                      <w:sz w:val="18"/>
                      <w:szCs w:val="18"/>
                    </w:rPr>
                    <w:t>本项目满足环境风险防控整体要求</w:t>
                  </w:r>
                </w:p>
              </w:tc>
            </w:tr>
            <w:tr w14:paraId="4939524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7" w:type="dxa"/>
                  <w:bottom w:w="0" w:type="dxa"/>
                  <w:right w:w="17" w:type="dxa"/>
                </w:tblCellMar>
              </w:tblPrEx>
              <w:trPr>
                <w:jc w:val="center"/>
              </w:trPr>
              <w:tc>
                <w:tcPr>
                  <w:tcW w:w="300" w:type="pct"/>
                  <w:gridSpan w:val="2"/>
                  <w:vAlign w:val="center"/>
                </w:tcPr>
                <w:p w14:paraId="690001A3">
                  <w:pPr>
                    <w:widowControl/>
                    <w:adjustRightInd w:val="0"/>
                    <w:snapToGrid w:val="0"/>
                    <w:jc w:val="center"/>
                    <w:rPr>
                      <w:color w:val="auto"/>
                      <w:sz w:val="18"/>
                      <w:szCs w:val="18"/>
                    </w:rPr>
                  </w:pPr>
                  <w:r>
                    <w:rPr>
                      <w:color w:val="auto"/>
                      <w:sz w:val="18"/>
                      <w:szCs w:val="18"/>
                    </w:rPr>
                    <w:t>审查意见苏环审〔2020〕52号</w:t>
                  </w:r>
                </w:p>
              </w:tc>
              <w:tc>
                <w:tcPr>
                  <w:tcW w:w="2687" w:type="pct"/>
                  <w:gridSpan w:val="3"/>
                  <w:vAlign w:val="center"/>
                </w:tcPr>
                <w:p w14:paraId="005BF0F6">
                  <w:pPr>
                    <w:widowControl/>
                    <w:adjustRightInd w:val="0"/>
                    <w:snapToGrid w:val="0"/>
                    <w:jc w:val="left"/>
                    <w:rPr>
                      <w:color w:val="auto"/>
                      <w:sz w:val="18"/>
                      <w:szCs w:val="18"/>
                    </w:rPr>
                  </w:pPr>
                  <w:r>
                    <w:rPr>
                      <w:color w:val="auto"/>
                      <w:sz w:val="18"/>
                      <w:szCs w:val="18"/>
                    </w:rPr>
                    <w:t>五、《规划修编》优化调整和实施过程的意见</w:t>
                  </w:r>
                </w:p>
                <w:p w14:paraId="02A60D16">
                  <w:pPr>
                    <w:widowControl/>
                    <w:adjustRightInd w:val="0"/>
                    <w:snapToGrid w:val="0"/>
                    <w:jc w:val="left"/>
                    <w:rPr>
                      <w:color w:val="auto"/>
                      <w:sz w:val="18"/>
                      <w:szCs w:val="18"/>
                    </w:rPr>
                  </w:pPr>
                  <w:r>
                    <w:rPr>
                      <w:color w:val="auto"/>
                      <w:sz w:val="18"/>
                      <w:szCs w:val="18"/>
                    </w:rPr>
                    <w:t>（二）……各类开发建设活动严禁占用石化基地附近清水通道维护区、饮用水水源保护区和重要湿地等重要生态空间区域。……</w:t>
                  </w:r>
                </w:p>
                <w:p w14:paraId="03D11B07">
                  <w:pPr>
                    <w:widowControl/>
                    <w:adjustRightInd w:val="0"/>
                    <w:snapToGrid w:val="0"/>
                    <w:jc w:val="left"/>
                    <w:rPr>
                      <w:color w:val="auto"/>
                      <w:sz w:val="18"/>
                      <w:szCs w:val="18"/>
                    </w:rPr>
                  </w:pPr>
                  <w:r>
                    <w:rPr>
                      <w:color w:val="auto"/>
                      <w:sz w:val="18"/>
                      <w:szCs w:val="18"/>
                    </w:rPr>
                    <w:t>（五）严格项目生态环境准入。强化企业特征污染物排放控制、高效治理设施建设以及精细化管控要求。优化基地产业链的建设布局，禁止与主导产业不相关的项目进入石化基地，执行最严格的行业废水、废气排放控制标准。新建、改建、扩建项目应采用先进的技术和设备，清洁生产水平应达到国际同行业先进水平。</w:t>
                  </w:r>
                </w:p>
                <w:p w14:paraId="08EE9C33">
                  <w:pPr>
                    <w:widowControl/>
                    <w:adjustRightInd w:val="0"/>
                    <w:snapToGrid w:val="0"/>
                    <w:jc w:val="left"/>
                    <w:rPr>
                      <w:color w:val="auto"/>
                      <w:sz w:val="18"/>
                      <w:szCs w:val="18"/>
                    </w:rPr>
                  </w:pPr>
                  <w:r>
                    <w:rPr>
                      <w:color w:val="auto"/>
                      <w:sz w:val="18"/>
                      <w:szCs w:val="18"/>
                    </w:rPr>
                    <w:t>（九）强化上一轮规划环评及环评审查意见（环审〔2016〕166号）的指导约束。《规划修编》未做调整的方案内容，仍按上一轮规划环评及环评审查意见相关要求执行。</w:t>
                  </w:r>
                </w:p>
                <w:p w14:paraId="1FF0CBF4">
                  <w:pPr>
                    <w:widowControl/>
                    <w:adjustRightInd w:val="0"/>
                    <w:snapToGrid w:val="0"/>
                    <w:jc w:val="left"/>
                    <w:rPr>
                      <w:color w:val="auto"/>
                      <w:sz w:val="18"/>
                      <w:szCs w:val="18"/>
                    </w:rPr>
                  </w:pPr>
                  <w:r>
                    <w:rPr>
                      <w:color w:val="auto"/>
                      <w:sz w:val="18"/>
                      <w:szCs w:val="18"/>
                    </w:rPr>
                    <w:t>六、拟进入石化基地的建设项目，应结合规划环评提出的指导意见做好环境影响评价工作，落实相关要求，加强与规划环评的联动，重点开展工程分析、环境风险评价、污染物允许排放量测算和环保措施的可行性论证等内容，并重点关注控制VOC排放的环保措施、应急体系建设等内容，强化环境监测和环境保护相关措施的落实。规划环评中环境协调性分析、环境现状、污染源调查等符合要求的资料供建设项目共享，项目环评相应评价可结合实际情况予以简化。</w:t>
                  </w:r>
                </w:p>
              </w:tc>
              <w:tc>
                <w:tcPr>
                  <w:tcW w:w="1738" w:type="pct"/>
                  <w:vAlign w:val="center"/>
                </w:tcPr>
                <w:p w14:paraId="6373279C">
                  <w:pPr>
                    <w:widowControl/>
                    <w:adjustRightInd w:val="0"/>
                    <w:snapToGrid w:val="0"/>
                    <w:jc w:val="left"/>
                    <w:rPr>
                      <w:color w:val="auto"/>
                      <w:sz w:val="18"/>
                      <w:szCs w:val="18"/>
                    </w:rPr>
                  </w:pPr>
                  <w:r>
                    <w:rPr>
                      <w:color w:val="auto"/>
                      <w:sz w:val="18"/>
                      <w:szCs w:val="18"/>
                    </w:rPr>
                    <w:t>本项目为</w:t>
                  </w:r>
                  <w:r>
                    <w:rPr>
                      <w:rFonts w:hint="eastAsia"/>
                      <w:color w:val="auto"/>
                      <w:sz w:val="18"/>
                      <w:szCs w:val="18"/>
                    </w:rPr>
                    <w:t>改建</w:t>
                  </w:r>
                  <w:r>
                    <w:rPr>
                      <w:color w:val="auto"/>
                      <w:sz w:val="18"/>
                      <w:szCs w:val="18"/>
                    </w:rPr>
                    <w:t>项目，位于基地内部</w:t>
                  </w:r>
                  <w:r>
                    <w:rPr>
                      <w:rFonts w:hint="eastAsia"/>
                      <w:color w:val="auto"/>
                      <w:sz w:val="18"/>
                      <w:szCs w:val="18"/>
                    </w:rPr>
                    <w:t>中化连云港循环经济产业园</w:t>
                  </w:r>
                  <w:r>
                    <w:rPr>
                      <w:color w:val="auto"/>
                      <w:sz w:val="18"/>
                      <w:szCs w:val="18"/>
                    </w:rPr>
                    <w:t>内，为规划的三类工业用地。项目符合石化产业基地产业定位，废气、废水强化特征污染物的治理和控制措施，污染物排放执行最严格的行业控制标准。项目采用先进设备，清洁生产水平达到国际同行业先进水平。</w:t>
                  </w:r>
                </w:p>
                <w:p w14:paraId="711675D8">
                  <w:pPr>
                    <w:widowControl/>
                    <w:adjustRightInd w:val="0"/>
                    <w:snapToGrid w:val="0"/>
                    <w:jc w:val="left"/>
                    <w:rPr>
                      <w:color w:val="auto"/>
                      <w:sz w:val="18"/>
                      <w:szCs w:val="18"/>
                    </w:rPr>
                  </w:pPr>
                  <w:r>
                    <w:rPr>
                      <w:rFonts w:hint="eastAsia"/>
                      <w:color w:val="auto"/>
                      <w:sz w:val="18"/>
                      <w:szCs w:val="18"/>
                    </w:rPr>
                    <w:t>本项目选址连云港石化产业基地中化连云港循环经济产业园</w:t>
                  </w:r>
                  <w:r>
                    <w:rPr>
                      <w:color w:val="auto"/>
                      <w:sz w:val="18"/>
                      <w:szCs w:val="18"/>
                    </w:rPr>
                    <w:t>内</w:t>
                  </w:r>
                  <w:r>
                    <w:rPr>
                      <w:rFonts w:hint="eastAsia"/>
                      <w:color w:val="auto"/>
                      <w:sz w:val="18"/>
                      <w:szCs w:val="18"/>
                    </w:rPr>
                    <w:t>，根据《</w:t>
                  </w:r>
                  <w:r>
                    <w:rPr>
                      <w:color w:val="auto"/>
                      <w:sz w:val="18"/>
                      <w:szCs w:val="18"/>
                    </w:rPr>
                    <w:t>连云港石化产业基地总体发展规划</w:t>
                  </w:r>
                  <w:r>
                    <w:rPr>
                      <w:rFonts w:hint="eastAsia"/>
                      <w:color w:val="auto"/>
                      <w:sz w:val="18"/>
                      <w:szCs w:val="18"/>
                    </w:rPr>
                    <w:t>修编环境影响报告书（</w:t>
                  </w:r>
                  <w:r>
                    <w:rPr>
                      <w:color w:val="auto"/>
                      <w:sz w:val="18"/>
                      <w:szCs w:val="18"/>
                    </w:rPr>
                    <w:t>总</w:t>
                  </w:r>
                  <w:r>
                    <w:rPr>
                      <w:rFonts w:hint="eastAsia"/>
                      <w:color w:val="auto"/>
                      <w:sz w:val="18"/>
                      <w:szCs w:val="18"/>
                    </w:rPr>
                    <w:t>报告）》：“原规划中炼化一区规划为多元化原料加工区及中化产业园”，“中化连云港循环经济产业园内布局了一批中化集团下属专业公司投资的项目”，项目</w:t>
                  </w:r>
                  <w:r>
                    <w:rPr>
                      <w:color w:val="auto"/>
                      <w:sz w:val="18"/>
                      <w:szCs w:val="18"/>
                    </w:rPr>
                    <w:t>建设用地</w:t>
                  </w:r>
                  <w:r>
                    <w:rPr>
                      <w:rFonts w:hint="eastAsia"/>
                      <w:color w:val="auto"/>
                      <w:sz w:val="18"/>
                      <w:szCs w:val="18"/>
                    </w:rPr>
                    <w:t>符合基地土地利用、</w:t>
                  </w:r>
                  <w:r>
                    <w:rPr>
                      <w:color w:val="auto"/>
                      <w:sz w:val="18"/>
                      <w:szCs w:val="18"/>
                    </w:rPr>
                    <w:t>总体布局及产业布局规划</w:t>
                  </w:r>
                  <w:r>
                    <w:rPr>
                      <w:rFonts w:hint="eastAsia"/>
                      <w:color w:val="auto"/>
                      <w:sz w:val="18"/>
                      <w:szCs w:val="18"/>
                    </w:rPr>
                    <w:t>。</w:t>
                  </w:r>
                </w:p>
                <w:p w14:paraId="0271A5B4">
                  <w:pPr>
                    <w:widowControl/>
                    <w:adjustRightInd w:val="0"/>
                    <w:snapToGrid w:val="0"/>
                    <w:jc w:val="left"/>
                    <w:rPr>
                      <w:color w:val="auto"/>
                      <w:sz w:val="18"/>
                      <w:szCs w:val="18"/>
                    </w:rPr>
                  </w:pPr>
                  <w:r>
                    <w:rPr>
                      <w:color w:val="auto"/>
                      <w:sz w:val="18"/>
                      <w:szCs w:val="18"/>
                    </w:rPr>
                    <w:t>本项目环评重点开展工程分析、环境风险评价、污染物允许排放量测算和环保措施的可行性论证等内容，并重点关注控制VOC排放的环保措施、应急体系建设等内容，强化环境监测和环境保护相关措施的落实。</w:t>
                  </w:r>
                </w:p>
              </w:tc>
              <w:tc>
                <w:tcPr>
                  <w:tcW w:w="275" w:type="pct"/>
                  <w:vAlign w:val="center"/>
                </w:tcPr>
                <w:p w14:paraId="61FEFED0">
                  <w:pPr>
                    <w:widowControl/>
                    <w:adjustRightInd w:val="0"/>
                    <w:snapToGrid w:val="0"/>
                    <w:jc w:val="center"/>
                    <w:rPr>
                      <w:color w:val="auto"/>
                      <w:sz w:val="18"/>
                      <w:szCs w:val="18"/>
                    </w:rPr>
                  </w:pPr>
                  <w:r>
                    <w:rPr>
                      <w:color w:val="auto"/>
                      <w:sz w:val="18"/>
                      <w:szCs w:val="18"/>
                    </w:rPr>
                    <w:t>符合规划修编审查意见的相关要求</w:t>
                  </w:r>
                </w:p>
              </w:tc>
            </w:tr>
          </w:tbl>
          <w:p w14:paraId="538B0507">
            <w:pPr>
              <w:snapToGrid w:val="0"/>
              <w:spacing w:line="500" w:lineRule="exact"/>
              <w:ind w:firstLine="420" w:firstLineChars="200"/>
              <w:jc w:val="center"/>
              <w:rPr>
                <w:color w:val="auto"/>
                <w:kern w:val="0"/>
                <w:szCs w:val="21"/>
              </w:rPr>
            </w:pPr>
          </w:p>
        </w:tc>
      </w:tr>
      <w:tr w14:paraId="1C9F7A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3" w:type="pct"/>
            <w:vAlign w:val="center"/>
          </w:tcPr>
          <w:p w14:paraId="6598FF1C">
            <w:pPr>
              <w:autoSpaceDE w:val="0"/>
              <w:autoSpaceDN w:val="0"/>
              <w:adjustRightInd w:val="0"/>
              <w:snapToGrid w:val="0"/>
              <w:jc w:val="center"/>
              <w:rPr>
                <w:color w:val="auto"/>
                <w:kern w:val="0"/>
                <w:szCs w:val="21"/>
              </w:rPr>
            </w:pPr>
            <w:r>
              <w:rPr>
                <w:color w:val="auto"/>
                <w:kern w:val="0"/>
                <w:szCs w:val="21"/>
              </w:rPr>
              <w:t>其他符合性分析</w:t>
            </w:r>
          </w:p>
        </w:tc>
        <w:tc>
          <w:tcPr>
            <w:tcW w:w="4276" w:type="pct"/>
            <w:gridSpan w:val="3"/>
            <w:vAlign w:val="center"/>
          </w:tcPr>
          <w:p w14:paraId="397FBCCC">
            <w:pPr>
              <w:autoSpaceDE w:val="0"/>
              <w:autoSpaceDN w:val="0"/>
              <w:adjustRightInd w:val="0"/>
              <w:snapToGrid w:val="0"/>
              <w:spacing w:line="500" w:lineRule="exact"/>
              <w:ind w:firstLine="422" w:firstLineChars="200"/>
              <w:jc w:val="left"/>
              <w:rPr>
                <w:b/>
                <w:color w:val="auto"/>
                <w:kern w:val="0"/>
                <w:szCs w:val="21"/>
              </w:rPr>
            </w:pPr>
            <w:r>
              <w:rPr>
                <w:rFonts w:hint="eastAsia"/>
                <w:b/>
                <w:color w:val="auto"/>
                <w:kern w:val="0"/>
                <w:szCs w:val="21"/>
              </w:rPr>
              <w:t>1、</w:t>
            </w:r>
            <w:r>
              <w:rPr>
                <w:b/>
                <w:color w:val="auto"/>
                <w:kern w:val="0"/>
                <w:szCs w:val="21"/>
              </w:rPr>
              <w:t>产业政策相符性分析</w:t>
            </w:r>
          </w:p>
          <w:p w14:paraId="747ABFF6">
            <w:pPr>
              <w:autoSpaceDE w:val="0"/>
              <w:autoSpaceDN w:val="0"/>
              <w:adjustRightInd w:val="0"/>
              <w:snapToGrid w:val="0"/>
              <w:spacing w:line="500" w:lineRule="exact"/>
              <w:ind w:firstLine="420" w:firstLineChars="200"/>
              <w:rPr>
                <w:bCs/>
                <w:color w:val="auto"/>
                <w:kern w:val="0"/>
                <w:szCs w:val="21"/>
              </w:rPr>
            </w:pPr>
            <w:r>
              <w:rPr>
                <w:rFonts w:hint="eastAsia"/>
                <w:bCs/>
                <w:color w:val="auto"/>
                <w:kern w:val="0"/>
                <w:szCs w:val="21"/>
              </w:rPr>
              <w:t>本项目为江苏瑞兆科电子材料有限公司品控洁净实验室建设，对照《国民经济行业分类》（GB/T 4754-2017），本项目属于M7310自然科学研究和试验发展。</w:t>
            </w:r>
          </w:p>
          <w:p w14:paraId="40D9460C">
            <w:pPr>
              <w:autoSpaceDE w:val="0"/>
              <w:autoSpaceDN w:val="0"/>
              <w:adjustRightInd w:val="0"/>
              <w:snapToGrid w:val="0"/>
              <w:spacing w:line="500" w:lineRule="exact"/>
              <w:ind w:firstLine="420" w:firstLineChars="200"/>
              <w:rPr>
                <w:bCs/>
                <w:color w:val="auto"/>
                <w:kern w:val="0"/>
                <w:szCs w:val="21"/>
              </w:rPr>
            </w:pPr>
            <w:r>
              <w:rPr>
                <w:rFonts w:hint="eastAsia"/>
                <w:bCs/>
                <w:color w:val="auto"/>
                <w:kern w:val="0"/>
                <w:szCs w:val="21"/>
              </w:rPr>
              <w:t>对照《产业结构调整指导目录（2024年本）》，本项目不属于限制类、淘汰类；对照《市场准入负面清单（2025年版）》，本项目不属于禁止准入类项目。</w:t>
            </w:r>
          </w:p>
          <w:p w14:paraId="4374E414">
            <w:pPr>
              <w:autoSpaceDE w:val="0"/>
              <w:autoSpaceDN w:val="0"/>
              <w:adjustRightInd w:val="0"/>
              <w:snapToGrid w:val="0"/>
              <w:spacing w:line="500" w:lineRule="exact"/>
              <w:ind w:firstLine="420" w:firstLineChars="200"/>
              <w:rPr>
                <w:bCs/>
                <w:color w:val="auto"/>
                <w:kern w:val="0"/>
                <w:szCs w:val="21"/>
              </w:rPr>
            </w:pPr>
            <w:r>
              <w:rPr>
                <w:rFonts w:hint="eastAsia"/>
                <w:bCs/>
                <w:color w:val="auto"/>
                <w:kern w:val="0"/>
                <w:szCs w:val="21"/>
              </w:rPr>
              <w:t>对照《省政府办公厅关于印发江苏省化工产业结构调整限制和淘汰目录（2025 年本）的通知》（苏政办发〔2025〕42 号），本项目不属于目录中淘汰类</w:t>
            </w:r>
            <w:r>
              <w:rPr>
                <w:rFonts w:hint="eastAsia"/>
                <w:bCs/>
                <w:color w:val="auto"/>
                <w:kern w:val="0"/>
                <w:szCs w:val="21"/>
                <w:lang w:eastAsia="zh-CN"/>
              </w:rPr>
              <w:t>、</w:t>
            </w:r>
            <w:r>
              <w:rPr>
                <w:rFonts w:hint="eastAsia"/>
                <w:bCs/>
                <w:color w:val="auto"/>
                <w:kern w:val="0"/>
                <w:szCs w:val="21"/>
              </w:rPr>
              <w:t>限制类项目。</w:t>
            </w:r>
          </w:p>
          <w:p w14:paraId="5E7A10E9">
            <w:pPr>
              <w:autoSpaceDE w:val="0"/>
              <w:autoSpaceDN w:val="0"/>
              <w:adjustRightInd w:val="0"/>
              <w:snapToGrid w:val="0"/>
              <w:spacing w:line="500" w:lineRule="exact"/>
              <w:ind w:firstLine="420" w:firstLineChars="200"/>
              <w:rPr>
                <w:bCs/>
                <w:color w:val="auto"/>
                <w:kern w:val="0"/>
                <w:szCs w:val="21"/>
              </w:rPr>
            </w:pPr>
            <w:r>
              <w:rPr>
                <w:rFonts w:hint="eastAsia"/>
                <w:bCs/>
                <w:color w:val="auto"/>
                <w:kern w:val="0"/>
                <w:szCs w:val="21"/>
              </w:rPr>
              <w:t>本项目目前已取得备案证（备案证号</w:t>
            </w:r>
            <w:r>
              <w:rPr>
                <w:rFonts w:hint="eastAsia"/>
                <w:bCs/>
                <w:color w:val="auto"/>
                <w:kern w:val="0"/>
                <w:szCs w:val="21"/>
                <w:lang w:eastAsia="zh-CN"/>
              </w:rPr>
              <w:t>：</w:t>
            </w:r>
            <w:r>
              <w:rPr>
                <w:rFonts w:hint="eastAsia"/>
                <w:color w:val="auto"/>
                <w:szCs w:val="21"/>
              </w:rPr>
              <w:t>示范区经备〔2026〕50号</w:t>
            </w:r>
            <w:r>
              <w:rPr>
                <w:rFonts w:hint="eastAsia"/>
                <w:bCs/>
                <w:color w:val="auto"/>
                <w:kern w:val="0"/>
                <w:szCs w:val="21"/>
              </w:rPr>
              <w:t>，项目代码：</w:t>
            </w:r>
            <w:r>
              <w:rPr>
                <w:rFonts w:hint="eastAsia"/>
                <w:color w:val="auto"/>
                <w:szCs w:val="21"/>
              </w:rPr>
              <w:t>2606-320720-04-02-841358</w:t>
            </w:r>
            <w:r>
              <w:rPr>
                <w:rFonts w:hint="eastAsia"/>
                <w:bCs/>
                <w:color w:val="auto"/>
                <w:kern w:val="0"/>
                <w:szCs w:val="21"/>
              </w:rPr>
              <w:t>），详见附件1。</w:t>
            </w:r>
          </w:p>
          <w:p w14:paraId="0BE7AF76">
            <w:pPr>
              <w:autoSpaceDE w:val="0"/>
              <w:autoSpaceDN w:val="0"/>
              <w:adjustRightInd w:val="0"/>
              <w:snapToGrid w:val="0"/>
              <w:spacing w:line="500" w:lineRule="exact"/>
              <w:ind w:firstLine="420" w:firstLineChars="200"/>
              <w:rPr>
                <w:bCs/>
                <w:color w:val="auto"/>
                <w:kern w:val="0"/>
                <w:szCs w:val="21"/>
              </w:rPr>
            </w:pPr>
            <w:r>
              <w:rPr>
                <w:rFonts w:hint="eastAsia"/>
                <w:bCs/>
                <w:color w:val="auto"/>
                <w:kern w:val="0"/>
                <w:szCs w:val="21"/>
              </w:rPr>
              <w:t>因此，本项目的建设符合国家及地方的产业政策。</w:t>
            </w:r>
          </w:p>
          <w:p w14:paraId="5242FC29">
            <w:pPr>
              <w:autoSpaceDE w:val="0"/>
              <w:autoSpaceDN w:val="0"/>
              <w:adjustRightInd w:val="0"/>
              <w:snapToGrid w:val="0"/>
              <w:spacing w:line="500" w:lineRule="exact"/>
              <w:ind w:firstLine="422" w:firstLineChars="200"/>
              <w:jc w:val="left"/>
              <w:rPr>
                <w:b/>
                <w:color w:val="auto"/>
                <w:kern w:val="0"/>
                <w:szCs w:val="21"/>
              </w:rPr>
            </w:pPr>
            <w:r>
              <w:rPr>
                <w:rFonts w:hint="eastAsia"/>
                <w:b/>
                <w:color w:val="auto"/>
                <w:kern w:val="0"/>
                <w:szCs w:val="21"/>
              </w:rPr>
              <w:t>2、“生态环境分区管控”</w:t>
            </w:r>
            <w:r>
              <w:rPr>
                <w:b/>
                <w:color w:val="auto"/>
                <w:kern w:val="0"/>
                <w:szCs w:val="21"/>
              </w:rPr>
              <w:t>相符性分析</w:t>
            </w:r>
          </w:p>
          <w:p w14:paraId="1D24BFAA">
            <w:pPr>
              <w:autoSpaceDE w:val="0"/>
              <w:autoSpaceDN w:val="0"/>
              <w:adjustRightInd w:val="0"/>
              <w:snapToGrid w:val="0"/>
              <w:spacing w:line="500" w:lineRule="exact"/>
              <w:ind w:firstLine="420" w:firstLineChars="200"/>
              <w:jc w:val="left"/>
              <w:rPr>
                <w:bCs/>
                <w:color w:val="auto"/>
                <w:kern w:val="0"/>
                <w:szCs w:val="21"/>
              </w:rPr>
            </w:pPr>
            <w:r>
              <w:rPr>
                <w:rFonts w:hint="eastAsia"/>
                <w:bCs/>
                <w:color w:val="auto"/>
                <w:kern w:val="0"/>
                <w:szCs w:val="21"/>
              </w:rPr>
              <w:t>本项目位于连云港石化产业基地，符合园区规划环评及审查意见（苏环审〔2020〕52号）要求，本项目不占用生态保护红线和生态空间管控区域，环境质量底线和资源利用上限分别与连政办发〔2018〕38号、连政办发〔2018〕37号要求相符，不属于长江经济带、连云港市和园区环境准入负面清单中项目。</w:t>
            </w:r>
          </w:p>
          <w:p w14:paraId="5ED27673">
            <w:pPr>
              <w:autoSpaceDE w:val="0"/>
              <w:autoSpaceDN w:val="0"/>
              <w:adjustRightInd w:val="0"/>
              <w:snapToGrid w:val="0"/>
              <w:spacing w:line="500" w:lineRule="exact"/>
              <w:ind w:firstLine="420" w:firstLineChars="200"/>
              <w:jc w:val="left"/>
              <w:rPr>
                <w:bCs/>
                <w:color w:val="auto"/>
                <w:kern w:val="0"/>
                <w:szCs w:val="21"/>
              </w:rPr>
            </w:pPr>
            <w:r>
              <w:rPr>
                <w:rFonts w:hint="eastAsia"/>
                <w:bCs/>
                <w:color w:val="auto"/>
                <w:kern w:val="0"/>
                <w:szCs w:val="21"/>
              </w:rPr>
              <w:t>本项目所在连云港石化产业基地为重点管控单元，属于淮河流域、沿海地区；园区严格项目准入，引进的项目必须符合国家的产业政策，生产工艺、设备、污染治理技术、清洁生产水平须达到同行业国际先进水平，并且优先引进上下游产业协同发展的项目，严控污染物排放，加强环境风险防控，总体与江苏省2023年度生态环境分区管控动态更新成果、连云港市2026年度生态环境分区管控动态更新成果中重点管控单元的管控要求相符。</w:t>
            </w:r>
          </w:p>
          <w:p w14:paraId="09D0A22F">
            <w:pPr>
              <w:autoSpaceDE w:val="0"/>
              <w:autoSpaceDN w:val="0"/>
              <w:adjustRightInd w:val="0"/>
              <w:snapToGrid w:val="0"/>
              <w:spacing w:line="500" w:lineRule="exact"/>
              <w:ind w:firstLine="420" w:firstLineChars="200"/>
              <w:jc w:val="left"/>
              <w:rPr>
                <w:bCs/>
                <w:color w:val="auto"/>
                <w:kern w:val="0"/>
                <w:szCs w:val="21"/>
              </w:rPr>
            </w:pPr>
            <w:r>
              <w:rPr>
                <w:rFonts w:hint="eastAsia"/>
                <w:bCs/>
                <w:color w:val="auto"/>
                <w:kern w:val="0"/>
                <w:szCs w:val="21"/>
              </w:rPr>
              <w:t>本项目位于瑞兆科公司现有厂区内，属于重点管控单元，经与《江苏省2023年度生态环境分区管控动态更新成果》、《连云港市2026年度生态环境分区管控动态更新成果公告》对照分析，本项目的建设符合空间布局约束、污染物排放管控、环境风险防控、资源开发效率要</w:t>
            </w:r>
            <w:r>
              <w:rPr>
                <w:rFonts w:hint="eastAsia"/>
                <w:bCs/>
                <w:color w:val="auto"/>
                <w:kern w:val="0"/>
                <w:szCs w:val="21"/>
                <w:lang w:eastAsia="zh-CN"/>
              </w:rPr>
              <w:t>求等</w:t>
            </w:r>
            <w:r>
              <w:rPr>
                <w:rFonts w:hint="eastAsia"/>
                <w:bCs/>
                <w:color w:val="auto"/>
                <w:kern w:val="0"/>
                <w:szCs w:val="21"/>
              </w:rPr>
              <w:t>相关要求，江苏省生态环境分区管控综合查询报告见附件9。</w:t>
            </w:r>
          </w:p>
          <w:p w14:paraId="5B8163F7">
            <w:pPr>
              <w:snapToGrid w:val="0"/>
              <w:spacing w:line="500" w:lineRule="exact"/>
              <w:jc w:val="center"/>
              <w:rPr>
                <w:b/>
                <w:color w:val="auto"/>
                <w:szCs w:val="21"/>
              </w:rPr>
            </w:pPr>
            <w:r>
              <w:rPr>
                <w:rFonts w:hint="eastAsia"/>
                <w:b/>
                <w:color w:val="auto"/>
                <w:szCs w:val="21"/>
              </w:rPr>
              <w:t>表1-2  与江苏省重点流域生态环境分区管控要求的符合性</w:t>
            </w:r>
          </w:p>
          <w:tbl>
            <w:tblPr>
              <w:tblStyle w:val="21"/>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57" w:type="dxa"/>
                <w:left w:w="108" w:type="dxa"/>
                <w:bottom w:w="57" w:type="dxa"/>
                <w:right w:w="108" w:type="dxa"/>
              </w:tblCellMar>
            </w:tblPr>
            <w:tblGrid>
              <w:gridCol w:w="885"/>
              <w:gridCol w:w="4085"/>
              <w:gridCol w:w="1835"/>
              <w:gridCol w:w="698"/>
            </w:tblGrid>
            <w:tr w14:paraId="2F4950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340" w:hRule="atLeast"/>
                <w:jc w:val="center"/>
              </w:trPr>
              <w:tc>
                <w:tcPr>
                  <w:tcW w:w="590" w:type="pct"/>
                  <w:vAlign w:val="center"/>
                </w:tcPr>
                <w:p w14:paraId="5C06FE7A">
                  <w:pPr>
                    <w:adjustRightInd w:val="0"/>
                    <w:snapToGrid w:val="0"/>
                    <w:jc w:val="center"/>
                    <w:rPr>
                      <w:b/>
                      <w:color w:val="auto"/>
                      <w:kern w:val="0"/>
                      <w:sz w:val="18"/>
                      <w:szCs w:val="18"/>
                    </w:rPr>
                  </w:pPr>
                  <w:r>
                    <w:rPr>
                      <w:b/>
                      <w:color w:val="auto"/>
                      <w:kern w:val="0"/>
                      <w:sz w:val="18"/>
                      <w:szCs w:val="18"/>
                    </w:rPr>
                    <w:t>管控类别</w:t>
                  </w:r>
                </w:p>
              </w:tc>
              <w:tc>
                <w:tcPr>
                  <w:tcW w:w="2722" w:type="pct"/>
                  <w:vAlign w:val="center"/>
                </w:tcPr>
                <w:p w14:paraId="4978DB78">
                  <w:pPr>
                    <w:tabs>
                      <w:tab w:val="left" w:pos="0"/>
                      <w:tab w:val="left" w:pos="870"/>
                      <w:tab w:val="left" w:pos="3150"/>
                    </w:tabs>
                    <w:autoSpaceDE w:val="0"/>
                    <w:autoSpaceDN w:val="0"/>
                    <w:adjustRightInd w:val="0"/>
                    <w:snapToGrid w:val="0"/>
                    <w:jc w:val="center"/>
                    <w:rPr>
                      <w:b/>
                      <w:color w:val="auto"/>
                      <w:kern w:val="0"/>
                      <w:sz w:val="18"/>
                      <w:szCs w:val="18"/>
                    </w:rPr>
                  </w:pPr>
                  <w:r>
                    <w:rPr>
                      <w:b/>
                      <w:color w:val="auto"/>
                      <w:kern w:val="0"/>
                      <w:sz w:val="18"/>
                      <w:szCs w:val="18"/>
                    </w:rPr>
                    <w:t>重点管控要求</w:t>
                  </w:r>
                </w:p>
              </w:tc>
              <w:tc>
                <w:tcPr>
                  <w:tcW w:w="1223" w:type="pct"/>
                  <w:vAlign w:val="center"/>
                </w:tcPr>
                <w:p w14:paraId="6558A4D5">
                  <w:pPr>
                    <w:tabs>
                      <w:tab w:val="left" w:pos="0"/>
                      <w:tab w:val="left" w:pos="870"/>
                      <w:tab w:val="left" w:pos="3150"/>
                    </w:tabs>
                    <w:autoSpaceDE w:val="0"/>
                    <w:autoSpaceDN w:val="0"/>
                    <w:adjustRightInd w:val="0"/>
                    <w:snapToGrid w:val="0"/>
                    <w:jc w:val="center"/>
                    <w:rPr>
                      <w:b/>
                      <w:color w:val="auto"/>
                      <w:kern w:val="0"/>
                      <w:sz w:val="18"/>
                      <w:szCs w:val="18"/>
                    </w:rPr>
                  </w:pPr>
                  <w:r>
                    <w:rPr>
                      <w:b/>
                      <w:color w:val="auto"/>
                      <w:kern w:val="0"/>
                      <w:sz w:val="18"/>
                      <w:szCs w:val="18"/>
                    </w:rPr>
                    <w:t>本项目情况</w:t>
                  </w:r>
                </w:p>
              </w:tc>
              <w:tc>
                <w:tcPr>
                  <w:tcW w:w="463" w:type="pct"/>
                  <w:vAlign w:val="center"/>
                </w:tcPr>
                <w:p w14:paraId="729A025B">
                  <w:pPr>
                    <w:tabs>
                      <w:tab w:val="left" w:pos="0"/>
                      <w:tab w:val="left" w:pos="870"/>
                      <w:tab w:val="left" w:pos="3150"/>
                    </w:tabs>
                    <w:autoSpaceDE w:val="0"/>
                    <w:autoSpaceDN w:val="0"/>
                    <w:adjustRightInd w:val="0"/>
                    <w:snapToGrid w:val="0"/>
                    <w:jc w:val="center"/>
                    <w:rPr>
                      <w:b/>
                      <w:color w:val="auto"/>
                      <w:kern w:val="0"/>
                      <w:sz w:val="18"/>
                      <w:szCs w:val="18"/>
                    </w:rPr>
                  </w:pPr>
                  <w:r>
                    <w:rPr>
                      <w:b/>
                      <w:color w:val="auto"/>
                      <w:kern w:val="0"/>
                      <w:sz w:val="18"/>
                      <w:szCs w:val="18"/>
                    </w:rPr>
                    <w:t>符合性</w:t>
                  </w:r>
                </w:p>
              </w:tc>
            </w:tr>
            <w:tr w14:paraId="5DF7A1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340" w:hRule="atLeast"/>
                <w:jc w:val="center"/>
              </w:trPr>
              <w:tc>
                <w:tcPr>
                  <w:tcW w:w="5000" w:type="pct"/>
                  <w:gridSpan w:val="4"/>
                  <w:vAlign w:val="center"/>
                </w:tcPr>
                <w:p w14:paraId="706EB283">
                  <w:pPr>
                    <w:tabs>
                      <w:tab w:val="left" w:pos="0"/>
                      <w:tab w:val="left" w:pos="870"/>
                      <w:tab w:val="left" w:pos="3150"/>
                    </w:tabs>
                    <w:autoSpaceDE w:val="0"/>
                    <w:autoSpaceDN w:val="0"/>
                    <w:adjustRightInd w:val="0"/>
                    <w:snapToGrid w:val="0"/>
                    <w:jc w:val="center"/>
                    <w:rPr>
                      <w:b/>
                      <w:color w:val="auto"/>
                      <w:kern w:val="0"/>
                      <w:sz w:val="18"/>
                      <w:szCs w:val="18"/>
                    </w:rPr>
                  </w:pPr>
                  <w:r>
                    <w:rPr>
                      <w:rFonts w:hint="eastAsia"/>
                      <w:b/>
                      <w:color w:val="auto"/>
                      <w:kern w:val="0"/>
                      <w:sz w:val="18"/>
                      <w:szCs w:val="18"/>
                    </w:rPr>
                    <w:t>淮河流域</w:t>
                  </w:r>
                </w:p>
              </w:tc>
            </w:tr>
            <w:tr w14:paraId="5C2C01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340" w:hRule="atLeast"/>
                <w:jc w:val="center"/>
              </w:trPr>
              <w:tc>
                <w:tcPr>
                  <w:tcW w:w="590" w:type="pct"/>
                  <w:vMerge w:val="restart"/>
                  <w:vAlign w:val="center"/>
                </w:tcPr>
                <w:p w14:paraId="71D1CE86">
                  <w:pPr>
                    <w:tabs>
                      <w:tab w:val="left" w:pos="0"/>
                      <w:tab w:val="left" w:pos="870"/>
                      <w:tab w:val="left" w:pos="3150"/>
                    </w:tabs>
                    <w:autoSpaceDE w:val="0"/>
                    <w:autoSpaceDN w:val="0"/>
                    <w:adjustRightInd w:val="0"/>
                    <w:snapToGrid w:val="0"/>
                    <w:jc w:val="center"/>
                    <w:rPr>
                      <w:color w:val="auto"/>
                      <w:kern w:val="0"/>
                      <w:sz w:val="18"/>
                      <w:szCs w:val="18"/>
                    </w:rPr>
                  </w:pPr>
                  <w:r>
                    <w:rPr>
                      <w:color w:val="auto"/>
                      <w:kern w:val="0"/>
                      <w:sz w:val="18"/>
                      <w:szCs w:val="18"/>
                    </w:rPr>
                    <w:t>空间布局约束</w:t>
                  </w:r>
                </w:p>
              </w:tc>
              <w:tc>
                <w:tcPr>
                  <w:tcW w:w="2722" w:type="pct"/>
                  <w:vAlign w:val="center"/>
                </w:tcPr>
                <w:p w14:paraId="1880B001">
                  <w:pPr>
                    <w:adjustRightInd w:val="0"/>
                    <w:snapToGrid w:val="0"/>
                    <w:jc w:val="left"/>
                    <w:rPr>
                      <w:color w:val="auto"/>
                      <w:kern w:val="0"/>
                      <w:sz w:val="18"/>
                      <w:szCs w:val="18"/>
                    </w:rPr>
                  </w:pPr>
                  <w:r>
                    <w:rPr>
                      <w:rFonts w:hint="eastAsia"/>
                      <w:color w:val="auto"/>
                      <w:kern w:val="0"/>
                      <w:sz w:val="18"/>
                      <w:szCs w:val="18"/>
                    </w:rPr>
                    <w:t>禁止在淮河流域新建化学制浆造纸企业，禁止在淮河流域新建制革、化工、印染、电镀、酿造等污染严重的小型企业</w:t>
                  </w:r>
                  <w:r>
                    <w:rPr>
                      <w:color w:val="auto"/>
                      <w:kern w:val="0"/>
                      <w:sz w:val="18"/>
                      <w:szCs w:val="18"/>
                    </w:rPr>
                    <w:t>。</w:t>
                  </w:r>
                </w:p>
              </w:tc>
              <w:tc>
                <w:tcPr>
                  <w:tcW w:w="1223" w:type="pct"/>
                  <w:vAlign w:val="center"/>
                </w:tcPr>
                <w:p w14:paraId="566FB568">
                  <w:pPr>
                    <w:adjustRightInd w:val="0"/>
                    <w:snapToGrid w:val="0"/>
                    <w:jc w:val="center"/>
                    <w:rPr>
                      <w:color w:val="auto"/>
                      <w:kern w:val="0"/>
                      <w:sz w:val="18"/>
                      <w:szCs w:val="18"/>
                    </w:rPr>
                  </w:pPr>
                  <w:r>
                    <w:rPr>
                      <w:color w:val="auto"/>
                      <w:kern w:val="0"/>
                      <w:sz w:val="18"/>
                      <w:szCs w:val="18"/>
                    </w:rPr>
                    <w:t>本项目</w:t>
                  </w:r>
                  <w:r>
                    <w:rPr>
                      <w:rFonts w:hint="eastAsia"/>
                      <w:color w:val="auto"/>
                      <w:kern w:val="0"/>
                      <w:sz w:val="18"/>
                      <w:szCs w:val="18"/>
                    </w:rPr>
                    <w:t>属于现有合规化工园区内化工企业项目</w:t>
                  </w:r>
                  <w:r>
                    <w:rPr>
                      <w:color w:val="auto"/>
                      <w:kern w:val="0"/>
                      <w:sz w:val="18"/>
                      <w:szCs w:val="18"/>
                    </w:rPr>
                    <w:t>，</w:t>
                  </w:r>
                  <w:r>
                    <w:rPr>
                      <w:rFonts w:hint="eastAsia"/>
                      <w:color w:val="auto"/>
                      <w:kern w:val="0"/>
                      <w:sz w:val="18"/>
                      <w:szCs w:val="18"/>
                    </w:rPr>
                    <w:t>项目配套污染治理设施，</w:t>
                  </w:r>
                  <w:r>
                    <w:rPr>
                      <w:color w:val="auto"/>
                      <w:kern w:val="0"/>
                      <w:sz w:val="18"/>
                      <w:szCs w:val="18"/>
                    </w:rPr>
                    <w:t>不属于</w:t>
                  </w:r>
                  <w:r>
                    <w:rPr>
                      <w:rFonts w:hint="eastAsia"/>
                      <w:color w:val="auto"/>
                      <w:kern w:val="0"/>
                      <w:sz w:val="18"/>
                      <w:szCs w:val="18"/>
                    </w:rPr>
                    <w:t>污染严重的小型化工企业项目</w:t>
                  </w:r>
                  <w:r>
                    <w:rPr>
                      <w:color w:val="auto"/>
                      <w:kern w:val="0"/>
                      <w:sz w:val="18"/>
                      <w:szCs w:val="18"/>
                    </w:rPr>
                    <w:t>。</w:t>
                  </w:r>
                </w:p>
              </w:tc>
              <w:tc>
                <w:tcPr>
                  <w:tcW w:w="463" w:type="pct"/>
                  <w:vAlign w:val="center"/>
                </w:tcPr>
                <w:p w14:paraId="248328ED">
                  <w:pPr>
                    <w:adjustRightInd w:val="0"/>
                    <w:snapToGrid w:val="0"/>
                    <w:jc w:val="center"/>
                    <w:rPr>
                      <w:color w:val="auto"/>
                      <w:kern w:val="0"/>
                      <w:sz w:val="18"/>
                      <w:szCs w:val="18"/>
                    </w:rPr>
                  </w:pPr>
                  <w:r>
                    <w:rPr>
                      <w:color w:val="auto"/>
                      <w:kern w:val="0"/>
                      <w:sz w:val="18"/>
                      <w:szCs w:val="18"/>
                    </w:rPr>
                    <w:t>符合</w:t>
                  </w:r>
                </w:p>
              </w:tc>
            </w:tr>
            <w:tr w14:paraId="38CD7F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340" w:hRule="atLeast"/>
                <w:jc w:val="center"/>
              </w:trPr>
              <w:tc>
                <w:tcPr>
                  <w:tcW w:w="590" w:type="pct"/>
                  <w:vMerge w:val="continue"/>
                  <w:vAlign w:val="center"/>
                </w:tcPr>
                <w:p w14:paraId="40C0E5D7">
                  <w:pPr>
                    <w:adjustRightInd w:val="0"/>
                    <w:snapToGrid w:val="0"/>
                    <w:jc w:val="center"/>
                    <w:rPr>
                      <w:color w:val="auto"/>
                      <w:kern w:val="0"/>
                      <w:sz w:val="18"/>
                      <w:szCs w:val="18"/>
                    </w:rPr>
                  </w:pPr>
                </w:p>
              </w:tc>
              <w:tc>
                <w:tcPr>
                  <w:tcW w:w="2722" w:type="pct"/>
                  <w:vAlign w:val="center"/>
                </w:tcPr>
                <w:p w14:paraId="7029D2E0">
                  <w:pPr>
                    <w:adjustRightInd w:val="0"/>
                    <w:snapToGrid w:val="0"/>
                    <w:jc w:val="left"/>
                    <w:rPr>
                      <w:color w:val="auto"/>
                      <w:kern w:val="0"/>
                      <w:sz w:val="18"/>
                      <w:szCs w:val="18"/>
                    </w:rPr>
                  </w:pPr>
                  <w:r>
                    <w:rPr>
                      <w:rFonts w:hint="eastAsia"/>
                      <w:color w:val="auto"/>
                      <w:kern w:val="0"/>
                      <w:sz w:val="18"/>
                      <w:szCs w:val="18"/>
                    </w:rPr>
                    <w:t>落实《江苏省通榆河水污染防治条例》，在通榆河一级保护区、二级保护区，禁止新建、改建、扩建制浆、造纸、化工、制革、酿造、染料、印染、电镀、炼油、铅酸蓄电池和排放水污染物的黑色金属冶炼及压延加工项目、有色金属冶炼及压延加工项目、金属制品项目等污染环境的项目。</w:t>
                  </w:r>
                </w:p>
              </w:tc>
              <w:tc>
                <w:tcPr>
                  <w:tcW w:w="1223" w:type="pct"/>
                  <w:vAlign w:val="center"/>
                </w:tcPr>
                <w:p w14:paraId="14F5EED1">
                  <w:pPr>
                    <w:adjustRightInd w:val="0"/>
                    <w:snapToGrid w:val="0"/>
                    <w:jc w:val="center"/>
                    <w:rPr>
                      <w:color w:val="auto"/>
                      <w:kern w:val="0"/>
                      <w:sz w:val="18"/>
                      <w:szCs w:val="18"/>
                    </w:rPr>
                  </w:pPr>
                  <w:r>
                    <w:rPr>
                      <w:color w:val="auto"/>
                      <w:kern w:val="0"/>
                      <w:sz w:val="18"/>
                      <w:szCs w:val="18"/>
                    </w:rPr>
                    <w:t>本项目位于</w:t>
                  </w:r>
                  <w:r>
                    <w:rPr>
                      <w:rFonts w:hint="eastAsia"/>
                      <w:color w:val="auto"/>
                      <w:kern w:val="0"/>
                      <w:sz w:val="18"/>
                      <w:szCs w:val="18"/>
                    </w:rPr>
                    <w:t>连云港石化产业基地瑞兆科公司现有厂区内</w:t>
                  </w:r>
                  <w:r>
                    <w:rPr>
                      <w:color w:val="auto"/>
                      <w:kern w:val="0"/>
                      <w:sz w:val="18"/>
                      <w:szCs w:val="18"/>
                    </w:rPr>
                    <w:t>，不</w:t>
                  </w:r>
                  <w:r>
                    <w:rPr>
                      <w:rFonts w:hint="eastAsia"/>
                      <w:color w:val="auto"/>
                      <w:kern w:val="0"/>
                      <w:sz w:val="18"/>
                      <w:szCs w:val="18"/>
                    </w:rPr>
                    <w:t>涉及</w:t>
                  </w:r>
                  <w:r>
                    <w:rPr>
                      <w:color w:val="auto"/>
                      <w:kern w:val="0"/>
                      <w:sz w:val="18"/>
                      <w:szCs w:val="18"/>
                    </w:rPr>
                    <w:t>。</w:t>
                  </w:r>
                </w:p>
              </w:tc>
              <w:tc>
                <w:tcPr>
                  <w:tcW w:w="463" w:type="pct"/>
                  <w:vAlign w:val="center"/>
                </w:tcPr>
                <w:p w14:paraId="1F394E0D">
                  <w:pPr>
                    <w:adjustRightInd w:val="0"/>
                    <w:snapToGrid w:val="0"/>
                    <w:jc w:val="center"/>
                    <w:rPr>
                      <w:color w:val="auto"/>
                      <w:kern w:val="0"/>
                      <w:sz w:val="18"/>
                      <w:szCs w:val="18"/>
                    </w:rPr>
                  </w:pPr>
                  <w:r>
                    <w:rPr>
                      <w:color w:val="auto"/>
                      <w:kern w:val="0"/>
                      <w:sz w:val="18"/>
                      <w:szCs w:val="18"/>
                    </w:rPr>
                    <w:t>符合</w:t>
                  </w:r>
                </w:p>
              </w:tc>
            </w:tr>
            <w:tr w14:paraId="5EA34F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340" w:hRule="atLeast"/>
                <w:jc w:val="center"/>
              </w:trPr>
              <w:tc>
                <w:tcPr>
                  <w:tcW w:w="590" w:type="pct"/>
                  <w:vMerge w:val="continue"/>
                  <w:vAlign w:val="center"/>
                </w:tcPr>
                <w:p w14:paraId="0D195D22">
                  <w:pPr>
                    <w:adjustRightInd w:val="0"/>
                    <w:snapToGrid w:val="0"/>
                    <w:jc w:val="center"/>
                    <w:rPr>
                      <w:color w:val="auto"/>
                      <w:kern w:val="0"/>
                      <w:sz w:val="18"/>
                      <w:szCs w:val="18"/>
                    </w:rPr>
                  </w:pPr>
                </w:p>
              </w:tc>
              <w:tc>
                <w:tcPr>
                  <w:tcW w:w="2722" w:type="pct"/>
                  <w:vAlign w:val="center"/>
                </w:tcPr>
                <w:p w14:paraId="1A99582B">
                  <w:pPr>
                    <w:adjustRightInd w:val="0"/>
                    <w:snapToGrid w:val="0"/>
                    <w:jc w:val="left"/>
                    <w:rPr>
                      <w:color w:val="auto"/>
                      <w:kern w:val="0"/>
                      <w:sz w:val="18"/>
                      <w:szCs w:val="18"/>
                    </w:rPr>
                  </w:pPr>
                  <w:r>
                    <w:rPr>
                      <w:rFonts w:hint="eastAsia"/>
                      <w:color w:val="auto"/>
                      <w:kern w:val="0"/>
                      <w:sz w:val="18"/>
                      <w:szCs w:val="18"/>
                    </w:rPr>
                    <w:t>在通榆河一级保护区，禁止新建、扩建直接或者间接向水体排放污染物的项目，禁止建设工业固体废物集中贮存利用、处置设施或者场所以及城市生活垃圾填埋场，禁止新建规模化畜禽养殖场。</w:t>
                  </w:r>
                </w:p>
              </w:tc>
              <w:tc>
                <w:tcPr>
                  <w:tcW w:w="1223" w:type="pct"/>
                  <w:vAlign w:val="center"/>
                </w:tcPr>
                <w:p w14:paraId="4894606A">
                  <w:pPr>
                    <w:adjustRightInd w:val="0"/>
                    <w:snapToGrid w:val="0"/>
                    <w:jc w:val="center"/>
                    <w:rPr>
                      <w:color w:val="auto"/>
                      <w:kern w:val="0"/>
                      <w:sz w:val="18"/>
                      <w:szCs w:val="18"/>
                    </w:rPr>
                  </w:pPr>
                  <w:r>
                    <w:rPr>
                      <w:color w:val="auto"/>
                      <w:kern w:val="0"/>
                      <w:sz w:val="18"/>
                      <w:szCs w:val="18"/>
                    </w:rPr>
                    <w:t>本项目位于</w:t>
                  </w:r>
                  <w:r>
                    <w:rPr>
                      <w:rFonts w:hint="eastAsia"/>
                      <w:color w:val="auto"/>
                      <w:kern w:val="0"/>
                      <w:sz w:val="18"/>
                      <w:szCs w:val="18"/>
                    </w:rPr>
                    <w:t>连云港石化产业基地瑞兆科公司现有厂区内</w:t>
                  </w:r>
                  <w:r>
                    <w:rPr>
                      <w:color w:val="auto"/>
                      <w:kern w:val="0"/>
                      <w:sz w:val="18"/>
                      <w:szCs w:val="18"/>
                    </w:rPr>
                    <w:t>，不</w:t>
                  </w:r>
                  <w:r>
                    <w:rPr>
                      <w:rFonts w:hint="eastAsia"/>
                      <w:color w:val="auto"/>
                      <w:kern w:val="0"/>
                      <w:sz w:val="18"/>
                      <w:szCs w:val="18"/>
                    </w:rPr>
                    <w:t>涉及</w:t>
                  </w:r>
                  <w:r>
                    <w:rPr>
                      <w:color w:val="auto"/>
                      <w:kern w:val="0"/>
                      <w:sz w:val="18"/>
                      <w:szCs w:val="18"/>
                    </w:rPr>
                    <w:t>。</w:t>
                  </w:r>
                </w:p>
              </w:tc>
              <w:tc>
                <w:tcPr>
                  <w:tcW w:w="463" w:type="pct"/>
                  <w:vAlign w:val="center"/>
                </w:tcPr>
                <w:p w14:paraId="144E9A3D">
                  <w:pPr>
                    <w:adjustRightInd w:val="0"/>
                    <w:snapToGrid w:val="0"/>
                    <w:jc w:val="center"/>
                    <w:rPr>
                      <w:color w:val="auto"/>
                      <w:kern w:val="0"/>
                      <w:sz w:val="18"/>
                      <w:szCs w:val="18"/>
                    </w:rPr>
                  </w:pPr>
                  <w:r>
                    <w:rPr>
                      <w:color w:val="auto"/>
                      <w:kern w:val="0"/>
                      <w:sz w:val="18"/>
                      <w:szCs w:val="18"/>
                    </w:rPr>
                    <w:t>符合</w:t>
                  </w:r>
                </w:p>
              </w:tc>
            </w:tr>
            <w:tr w14:paraId="24058F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340" w:hRule="atLeast"/>
                <w:jc w:val="center"/>
              </w:trPr>
              <w:tc>
                <w:tcPr>
                  <w:tcW w:w="590" w:type="pct"/>
                  <w:vAlign w:val="center"/>
                </w:tcPr>
                <w:p w14:paraId="7934000A">
                  <w:pPr>
                    <w:adjustRightInd w:val="0"/>
                    <w:snapToGrid w:val="0"/>
                    <w:jc w:val="center"/>
                    <w:rPr>
                      <w:color w:val="auto"/>
                      <w:kern w:val="0"/>
                      <w:sz w:val="18"/>
                      <w:szCs w:val="18"/>
                    </w:rPr>
                  </w:pPr>
                  <w:r>
                    <w:rPr>
                      <w:color w:val="auto"/>
                      <w:kern w:val="0"/>
                      <w:sz w:val="18"/>
                      <w:szCs w:val="18"/>
                    </w:rPr>
                    <w:t>污染物排放管控</w:t>
                  </w:r>
                </w:p>
              </w:tc>
              <w:tc>
                <w:tcPr>
                  <w:tcW w:w="2722" w:type="pct"/>
                  <w:vAlign w:val="center"/>
                </w:tcPr>
                <w:p w14:paraId="4459E277">
                  <w:pPr>
                    <w:adjustRightInd w:val="0"/>
                    <w:snapToGrid w:val="0"/>
                    <w:jc w:val="left"/>
                    <w:rPr>
                      <w:color w:val="auto"/>
                      <w:kern w:val="0"/>
                      <w:sz w:val="18"/>
                      <w:szCs w:val="18"/>
                    </w:rPr>
                  </w:pPr>
                  <w:r>
                    <w:rPr>
                      <w:color w:val="auto"/>
                      <w:kern w:val="0"/>
                      <w:sz w:val="18"/>
                      <w:szCs w:val="18"/>
                    </w:rPr>
                    <w:t>根据《</w:t>
                  </w:r>
                  <w:r>
                    <w:rPr>
                      <w:rFonts w:hint="eastAsia"/>
                      <w:color w:val="auto"/>
                      <w:kern w:val="0"/>
                      <w:sz w:val="18"/>
                      <w:szCs w:val="18"/>
                    </w:rPr>
                    <w:t>淮河流域</w:t>
                  </w:r>
                  <w:r>
                    <w:rPr>
                      <w:color w:val="auto"/>
                      <w:kern w:val="0"/>
                      <w:sz w:val="18"/>
                      <w:szCs w:val="18"/>
                    </w:rPr>
                    <w:t>水污染防治</w:t>
                  </w:r>
                  <w:r>
                    <w:rPr>
                      <w:rFonts w:hint="eastAsia"/>
                      <w:color w:val="auto"/>
                      <w:kern w:val="0"/>
                      <w:sz w:val="18"/>
                      <w:szCs w:val="18"/>
                    </w:rPr>
                    <w:t>暂行</w:t>
                  </w:r>
                  <w:r>
                    <w:rPr>
                      <w:color w:val="auto"/>
                      <w:kern w:val="0"/>
                      <w:sz w:val="18"/>
                      <w:szCs w:val="18"/>
                    </w:rPr>
                    <w:t>条例》实施</w:t>
                  </w:r>
                  <w:r>
                    <w:rPr>
                      <w:rFonts w:hint="eastAsia"/>
                      <w:color w:val="auto"/>
                      <w:kern w:val="0"/>
                      <w:sz w:val="18"/>
                      <w:szCs w:val="18"/>
                    </w:rPr>
                    <w:t>排污</w:t>
                  </w:r>
                  <w:r>
                    <w:rPr>
                      <w:color w:val="auto"/>
                      <w:kern w:val="0"/>
                      <w:sz w:val="18"/>
                      <w:szCs w:val="18"/>
                    </w:rPr>
                    <w:t>总量控制制度。</w:t>
                  </w:r>
                </w:p>
              </w:tc>
              <w:tc>
                <w:tcPr>
                  <w:tcW w:w="1223" w:type="pct"/>
                  <w:vAlign w:val="center"/>
                </w:tcPr>
                <w:p w14:paraId="776A646F">
                  <w:pPr>
                    <w:adjustRightInd w:val="0"/>
                    <w:snapToGrid w:val="0"/>
                    <w:jc w:val="center"/>
                    <w:rPr>
                      <w:color w:val="auto"/>
                      <w:kern w:val="0"/>
                      <w:sz w:val="18"/>
                      <w:szCs w:val="18"/>
                    </w:rPr>
                  </w:pPr>
                  <w:r>
                    <w:rPr>
                      <w:rFonts w:hint="eastAsia"/>
                      <w:color w:val="auto"/>
                      <w:kern w:val="0"/>
                      <w:sz w:val="18"/>
                      <w:szCs w:val="18"/>
                    </w:rPr>
                    <w:t>本项目将按规定取得排污总量。</w:t>
                  </w:r>
                </w:p>
              </w:tc>
              <w:tc>
                <w:tcPr>
                  <w:tcW w:w="463" w:type="pct"/>
                  <w:vAlign w:val="center"/>
                </w:tcPr>
                <w:p w14:paraId="227CE82F">
                  <w:pPr>
                    <w:adjustRightInd w:val="0"/>
                    <w:snapToGrid w:val="0"/>
                    <w:jc w:val="center"/>
                    <w:rPr>
                      <w:color w:val="auto"/>
                      <w:kern w:val="0"/>
                      <w:sz w:val="18"/>
                      <w:szCs w:val="18"/>
                    </w:rPr>
                  </w:pPr>
                  <w:r>
                    <w:rPr>
                      <w:color w:val="auto"/>
                      <w:kern w:val="0"/>
                      <w:sz w:val="18"/>
                      <w:szCs w:val="18"/>
                    </w:rPr>
                    <w:t>符合</w:t>
                  </w:r>
                </w:p>
              </w:tc>
            </w:tr>
            <w:tr w14:paraId="19AB2A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340" w:hRule="atLeast"/>
                <w:jc w:val="center"/>
              </w:trPr>
              <w:tc>
                <w:tcPr>
                  <w:tcW w:w="590" w:type="pct"/>
                  <w:vAlign w:val="center"/>
                </w:tcPr>
                <w:p w14:paraId="51759F43">
                  <w:pPr>
                    <w:adjustRightInd w:val="0"/>
                    <w:snapToGrid w:val="0"/>
                    <w:jc w:val="center"/>
                    <w:rPr>
                      <w:color w:val="auto"/>
                      <w:kern w:val="0"/>
                      <w:sz w:val="18"/>
                      <w:szCs w:val="18"/>
                    </w:rPr>
                  </w:pPr>
                  <w:r>
                    <w:rPr>
                      <w:color w:val="auto"/>
                      <w:kern w:val="0"/>
                      <w:sz w:val="18"/>
                      <w:szCs w:val="18"/>
                    </w:rPr>
                    <w:t>环境风险防控</w:t>
                  </w:r>
                </w:p>
              </w:tc>
              <w:tc>
                <w:tcPr>
                  <w:tcW w:w="2722" w:type="pct"/>
                  <w:vAlign w:val="center"/>
                </w:tcPr>
                <w:p w14:paraId="19A3CF97">
                  <w:pPr>
                    <w:adjustRightInd w:val="0"/>
                    <w:snapToGrid w:val="0"/>
                    <w:jc w:val="left"/>
                    <w:rPr>
                      <w:color w:val="auto"/>
                      <w:kern w:val="0"/>
                      <w:sz w:val="18"/>
                      <w:szCs w:val="18"/>
                    </w:rPr>
                  </w:pPr>
                  <w:r>
                    <w:rPr>
                      <w:rFonts w:hint="eastAsia"/>
                      <w:color w:val="auto"/>
                      <w:kern w:val="0"/>
                      <w:sz w:val="18"/>
                      <w:szCs w:val="18"/>
                    </w:rPr>
                    <w:t>禁止运输剧毒化学品以及国家规定禁止通过内河运输的其他危险化学品的船舶进入通榆河及主要供水河道。</w:t>
                  </w:r>
                </w:p>
              </w:tc>
              <w:tc>
                <w:tcPr>
                  <w:tcW w:w="1223" w:type="pct"/>
                  <w:vAlign w:val="center"/>
                </w:tcPr>
                <w:p w14:paraId="285C8DFC">
                  <w:pPr>
                    <w:adjustRightInd w:val="0"/>
                    <w:snapToGrid w:val="0"/>
                    <w:jc w:val="center"/>
                    <w:rPr>
                      <w:color w:val="auto"/>
                      <w:kern w:val="0"/>
                      <w:sz w:val="18"/>
                      <w:szCs w:val="18"/>
                    </w:rPr>
                  </w:pPr>
                  <w:r>
                    <w:rPr>
                      <w:color w:val="auto"/>
                      <w:sz w:val="18"/>
                      <w:szCs w:val="18"/>
                    </w:rPr>
                    <w:t>本项目不涉及</w:t>
                  </w:r>
                </w:p>
              </w:tc>
              <w:tc>
                <w:tcPr>
                  <w:tcW w:w="463" w:type="pct"/>
                  <w:vAlign w:val="center"/>
                </w:tcPr>
                <w:p w14:paraId="7BF69F2E">
                  <w:pPr>
                    <w:adjustRightInd w:val="0"/>
                    <w:snapToGrid w:val="0"/>
                    <w:jc w:val="center"/>
                    <w:rPr>
                      <w:color w:val="auto"/>
                      <w:kern w:val="0"/>
                      <w:sz w:val="18"/>
                      <w:szCs w:val="18"/>
                    </w:rPr>
                  </w:pPr>
                  <w:r>
                    <w:rPr>
                      <w:color w:val="auto"/>
                      <w:kern w:val="0"/>
                      <w:sz w:val="18"/>
                      <w:szCs w:val="18"/>
                    </w:rPr>
                    <w:t>符合</w:t>
                  </w:r>
                </w:p>
              </w:tc>
            </w:tr>
            <w:tr w14:paraId="0AEB3B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340" w:hRule="atLeast"/>
                <w:jc w:val="center"/>
              </w:trPr>
              <w:tc>
                <w:tcPr>
                  <w:tcW w:w="590" w:type="pct"/>
                  <w:vAlign w:val="center"/>
                </w:tcPr>
                <w:p w14:paraId="7D66D8F9">
                  <w:pPr>
                    <w:adjustRightInd w:val="0"/>
                    <w:snapToGrid w:val="0"/>
                    <w:jc w:val="center"/>
                    <w:rPr>
                      <w:color w:val="auto"/>
                      <w:kern w:val="0"/>
                      <w:sz w:val="18"/>
                      <w:szCs w:val="18"/>
                    </w:rPr>
                  </w:pPr>
                  <w:r>
                    <w:rPr>
                      <w:color w:val="auto"/>
                      <w:kern w:val="0"/>
                      <w:sz w:val="18"/>
                      <w:szCs w:val="18"/>
                    </w:rPr>
                    <w:t>资源利用效率要求</w:t>
                  </w:r>
                </w:p>
              </w:tc>
              <w:tc>
                <w:tcPr>
                  <w:tcW w:w="2722" w:type="pct"/>
                  <w:vAlign w:val="center"/>
                </w:tcPr>
                <w:p w14:paraId="20456927">
                  <w:pPr>
                    <w:adjustRightInd w:val="0"/>
                    <w:snapToGrid w:val="0"/>
                    <w:jc w:val="left"/>
                    <w:rPr>
                      <w:color w:val="auto"/>
                      <w:kern w:val="0"/>
                      <w:sz w:val="18"/>
                      <w:szCs w:val="18"/>
                    </w:rPr>
                  </w:pPr>
                  <w:r>
                    <w:rPr>
                      <w:rFonts w:hint="eastAsia"/>
                      <w:color w:val="auto"/>
                      <w:sz w:val="18"/>
                      <w:szCs w:val="18"/>
                    </w:rPr>
                    <w:t>限制缺水地区发展耗水型产业，调整缺水地区的产业结构，严格控制高耗水、高耗能和重污染的建设项目。</w:t>
                  </w:r>
                </w:p>
              </w:tc>
              <w:tc>
                <w:tcPr>
                  <w:tcW w:w="1223" w:type="pct"/>
                  <w:vAlign w:val="center"/>
                </w:tcPr>
                <w:p w14:paraId="79A1089A">
                  <w:pPr>
                    <w:adjustRightInd w:val="0"/>
                    <w:snapToGrid w:val="0"/>
                    <w:jc w:val="center"/>
                    <w:rPr>
                      <w:color w:val="auto"/>
                      <w:kern w:val="0"/>
                      <w:sz w:val="18"/>
                      <w:szCs w:val="18"/>
                    </w:rPr>
                  </w:pPr>
                  <w:r>
                    <w:rPr>
                      <w:rFonts w:hint="eastAsia"/>
                      <w:color w:val="auto"/>
                      <w:sz w:val="18"/>
                      <w:szCs w:val="18"/>
                    </w:rPr>
                    <w:t>本项目不属于高耗水、高耗能和重污染的建设项目。</w:t>
                  </w:r>
                </w:p>
              </w:tc>
              <w:tc>
                <w:tcPr>
                  <w:tcW w:w="463" w:type="pct"/>
                  <w:vAlign w:val="center"/>
                </w:tcPr>
                <w:p w14:paraId="472A18D4">
                  <w:pPr>
                    <w:adjustRightInd w:val="0"/>
                    <w:snapToGrid w:val="0"/>
                    <w:jc w:val="center"/>
                    <w:rPr>
                      <w:color w:val="auto"/>
                      <w:kern w:val="0"/>
                      <w:sz w:val="18"/>
                      <w:szCs w:val="18"/>
                    </w:rPr>
                  </w:pPr>
                  <w:r>
                    <w:rPr>
                      <w:color w:val="auto"/>
                      <w:kern w:val="0"/>
                      <w:sz w:val="18"/>
                      <w:szCs w:val="18"/>
                    </w:rPr>
                    <w:t>符合</w:t>
                  </w:r>
                </w:p>
              </w:tc>
            </w:tr>
            <w:tr w14:paraId="75DDF9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340" w:hRule="atLeast"/>
                <w:jc w:val="center"/>
              </w:trPr>
              <w:tc>
                <w:tcPr>
                  <w:tcW w:w="5000" w:type="pct"/>
                  <w:gridSpan w:val="4"/>
                  <w:vAlign w:val="center"/>
                </w:tcPr>
                <w:p w14:paraId="164AA3C5">
                  <w:pPr>
                    <w:adjustRightInd w:val="0"/>
                    <w:snapToGrid w:val="0"/>
                    <w:jc w:val="center"/>
                    <w:rPr>
                      <w:b/>
                      <w:color w:val="auto"/>
                      <w:kern w:val="0"/>
                      <w:sz w:val="18"/>
                      <w:szCs w:val="18"/>
                    </w:rPr>
                  </w:pPr>
                  <w:r>
                    <w:rPr>
                      <w:rFonts w:hint="eastAsia"/>
                      <w:b/>
                      <w:color w:val="auto"/>
                      <w:kern w:val="0"/>
                      <w:sz w:val="18"/>
                      <w:szCs w:val="18"/>
                    </w:rPr>
                    <w:t>沿海地区</w:t>
                  </w:r>
                </w:p>
              </w:tc>
            </w:tr>
            <w:tr w14:paraId="04AE72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340" w:hRule="atLeast"/>
                <w:jc w:val="center"/>
              </w:trPr>
              <w:tc>
                <w:tcPr>
                  <w:tcW w:w="590" w:type="pct"/>
                  <w:vMerge w:val="restart"/>
                  <w:vAlign w:val="center"/>
                </w:tcPr>
                <w:p w14:paraId="32FACB11">
                  <w:pPr>
                    <w:adjustRightInd w:val="0"/>
                    <w:snapToGrid w:val="0"/>
                    <w:jc w:val="center"/>
                    <w:rPr>
                      <w:color w:val="auto"/>
                      <w:kern w:val="0"/>
                      <w:sz w:val="18"/>
                      <w:szCs w:val="18"/>
                    </w:rPr>
                  </w:pPr>
                  <w:r>
                    <w:rPr>
                      <w:color w:val="auto"/>
                      <w:kern w:val="0"/>
                      <w:sz w:val="18"/>
                      <w:szCs w:val="18"/>
                    </w:rPr>
                    <w:t>空间布局约束</w:t>
                  </w:r>
                </w:p>
              </w:tc>
              <w:tc>
                <w:tcPr>
                  <w:tcW w:w="2722" w:type="pct"/>
                  <w:vAlign w:val="center"/>
                </w:tcPr>
                <w:p w14:paraId="1FC4B7DE">
                  <w:pPr>
                    <w:adjustRightInd w:val="0"/>
                    <w:snapToGrid w:val="0"/>
                    <w:jc w:val="left"/>
                    <w:rPr>
                      <w:color w:val="auto"/>
                      <w:sz w:val="18"/>
                      <w:szCs w:val="18"/>
                    </w:rPr>
                  </w:pPr>
                  <w:r>
                    <w:rPr>
                      <w:rFonts w:hint="eastAsia"/>
                      <w:color w:val="auto"/>
                      <w:sz w:val="18"/>
                      <w:szCs w:val="18"/>
                    </w:rPr>
                    <w:t>禁止在沿海陆域内新建不具备有效治理措施的化学制浆造纸、化工、印染、制革、电镀、酿造、炼油、岸边冲滩拆船以及其他严重污染海洋环境的工业生产项目。</w:t>
                  </w:r>
                </w:p>
              </w:tc>
              <w:tc>
                <w:tcPr>
                  <w:tcW w:w="1223" w:type="pct"/>
                  <w:vAlign w:val="center"/>
                </w:tcPr>
                <w:p w14:paraId="12A1EA1E">
                  <w:pPr>
                    <w:adjustRightInd w:val="0"/>
                    <w:snapToGrid w:val="0"/>
                    <w:jc w:val="center"/>
                    <w:rPr>
                      <w:color w:val="auto"/>
                      <w:sz w:val="18"/>
                      <w:szCs w:val="18"/>
                    </w:rPr>
                  </w:pPr>
                  <w:r>
                    <w:rPr>
                      <w:color w:val="auto"/>
                      <w:kern w:val="0"/>
                      <w:sz w:val="18"/>
                      <w:szCs w:val="18"/>
                    </w:rPr>
                    <w:t>本项目位于</w:t>
                  </w:r>
                  <w:r>
                    <w:rPr>
                      <w:rFonts w:hint="eastAsia"/>
                      <w:color w:val="auto"/>
                      <w:kern w:val="0"/>
                      <w:sz w:val="18"/>
                      <w:szCs w:val="18"/>
                    </w:rPr>
                    <w:t>连云港石化产业基地瑞兆科公司现有厂区内</w:t>
                  </w:r>
                  <w:r>
                    <w:rPr>
                      <w:color w:val="auto"/>
                      <w:kern w:val="0"/>
                      <w:sz w:val="18"/>
                      <w:szCs w:val="18"/>
                    </w:rPr>
                    <w:t>，</w:t>
                  </w:r>
                  <w:r>
                    <w:rPr>
                      <w:rFonts w:hint="eastAsia"/>
                      <w:color w:val="auto"/>
                      <w:kern w:val="0"/>
                      <w:sz w:val="18"/>
                      <w:szCs w:val="18"/>
                    </w:rPr>
                    <w:t>项目配套污染治理设施，不属于严重污染海洋环境的工业生产项目</w:t>
                  </w:r>
                  <w:r>
                    <w:rPr>
                      <w:color w:val="auto"/>
                      <w:kern w:val="0"/>
                      <w:sz w:val="18"/>
                      <w:szCs w:val="18"/>
                    </w:rPr>
                    <w:t>。</w:t>
                  </w:r>
                </w:p>
              </w:tc>
              <w:tc>
                <w:tcPr>
                  <w:tcW w:w="463" w:type="pct"/>
                  <w:vAlign w:val="center"/>
                </w:tcPr>
                <w:p w14:paraId="17772787">
                  <w:pPr>
                    <w:adjustRightInd w:val="0"/>
                    <w:snapToGrid w:val="0"/>
                    <w:jc w:val="center"/>
                    <w:rPr>
                      <w:color w:val="auto"/>
                      <w:kern w:val="0"/>
                      <w:sz w:val="18"/>
                      <w:szCs w:val="18"/>
                    </w:rPr>
                  </w:pPr>
                  <w:r>
                    <w:rPr>
                      <w:color w:val="auto"/>
                      <w:kern w:val="0"/>
                      <w:sz w:val="18"/>
                      <w:szCs w:val="18"/>
                    </w:rPr>
                    <w:t>符合</w:t>
                  </w:r>
                </w:p>
              </w:tc>
            </w:tr>
            <w:tr w14:paraId="7A2CDB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340" w:hRule="atLeast"/>
                <w:jc w:val="center"/>
              </w:trPr>
              <w:tc>
                <w:tcPr>
                  <w:tcW w:w="590" w:type="pct"/>
                  <w:vMerge w:val="continue"/>
                  <w:vAlign w:val="center"/>
                </w:tcPr>
                <w:p w14:paraId="4BC0A78D">
                  <w:pPr>
                    <w:adjustRightInd w:val="0"/>
                    <w:snapToGrid w:val="0"/>
                    <w:jc w:val="center"/>
                    <w:rPr>
                      <w:color w:val="auto"/>
                      <w:kern w:val="0"/>
                      <w:sz w:val="18"/>
                      <w:szCs w:val="18"/>
                    </w:rPr>
                  </w:pPr>
                </w:p>
              </w:tc>
              <w:tc>
                <w:tcPr>
                  <w:tcW w:w="2722" w:type="pct"/>
                  <w:vAlign w:val="center"/>
                </w:tcPr>
                <w:p w14:paraId="460FA83B">
                  <w:pPr>
                    <w:adjustRightInd w:val="0"/>
                    <w:snapToGrid w:val="0"/>
                    <w:jc w:val="left"/>
                    <w:rPr>
                      <w:color w:val="auto"/>
                      <w:sz w:val="18"/>
                      <w:szCs w:val="18"/>
                    </w:rPr>
                  </w:pPr>
                  <w:r>
                    <w:rPr>
                      <w:rFonts w:hint="eastAsia"/>
                      <w:color w:val="auto"/>
                      <w:sz w:val="18"/>
                      <w:szCs w:val="18"/>
                    </w:rPr>
                    <w:t>沿海地区严格控制新建医药、农药和染料中间体项目。</w:t>
                  </w:r>
                </w:p>
              </w:tc>
              <w:tc>
                <w:tcPr>
                  <w:tcW w:w="1223" w:type="pct"/>
                  <w:vAlign w:val="center"/>
                </w:tcPr>
                <w:p w14:paraId="3675CA7B">
                  <w:pPr>
                    <w:adjustRightInd w:val="0"/>
                    <w:snapToGrid w:val="0"/>
                    <w:jc w:val="center"/>
                    <w:rPr>
                      <w:color w:val="auto"/>
                      <w:sz w:val="18"/>
                      <w:szCs w:val="18"/>
                    </w:rPr>
                  </w:pPr>
                  <w:r>
                    <w:rPr>
                      <w:color w:val="auto"/>
                      <w:sz w:val="18"/>
                      <w:szCs w:val="18"/>
                    </w:rPr>
                    <w:t>本项目</w:t>
                  </w:r>
                  <w:r>
                    <w:rPr>
                      <w:rFonts w:hint="eastAsia"/>
                      <w:color w:val="auto"/>
                      <w:sz w:val="18"/>
                      <w:szCs w:val="18"/>
                    </w:rPr>
                    <w:t>为品控洁净实验室项目，不属于新建医药、农药和染料中间体项目</w:t>
                  </w:r>
                </w:p>
              </w:tc>
              <w:tc>
                <w:tcPr>
                  <w:tcW w:w="463" w:type="pct"/>
                  <w:vAlign w:val="center"/>
                </w:tcPr>
                <w:p w14:paraId="3BDC1E5A">
                  <w:pPr>
                    <w:adjustRightInd w:val="0"/>
                    <w:snapToGrid w:val="0"/>
                    <w:jc w:val="center"/>
                    <w:rPr>
                      <w:color w:val="auto"/>
                      <w:kern w:val="0"/>
                      <w:sz w:val="18"/>
                      <w:szCs w:val="18"/>
                    </w:rPr>
                  </w:pPr>
                  <w:r>
                    <w:rPr>
                      <w:color w:val="auto"/>
                      <w:kern w:val="0"/>
                      <w:sz w:val="18"/>
                      <w:szCs w:val="18"/>
                    </w:rPr>
                    <w:t>符合</w:t>
                  </w:r>
                </w:p>
              </w:tc>
            </w:tr>
            <w:tr w14:paraId="608637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340" w:hRule="atLeast"/>
                <w:jc w:val="center"/>
              </w:trPr>
              <w:tc>
                <w:tcPr>
                  <w:tcW w:w="590" w:type="pct"/>
                  <w:vAlign w:val="center"/>
                </w:tcPr>
                <w:p w14:paraId="1F9CC6E7">
                  <w:pPr>
                    <w:adjustRightInd w:val="0"/>
                    <w:snapToGrid w:val="0"/>
                    <w:jc w:val="center"/>
                    <w:rPr>
                      <w:color w:val="auto"/>
                      <w:kern w:val="0"/>
                      <w:sz w:val="18"/>
                      <w:szCs w:val="18"/>
                    </w:rPr>
                  </w:pPr>
                  <w:r>
                    <w:rPr>
                      <w:color w:val="auto"/>
                      <w:kern w:val="0"/>
                      <w:sz w:val="18"/>
                      <w:szCs w:val="18"/>
                    </w:rPr>
                    <w:t>污染物排放管控</w:t>
                  </w:r>
                </w:p>
              </w:tc>
              <w:tc>
                <w:tcPr>
                  <w:tcW w:w="2722" w:type="pct"/>
                  <w:vAlign w:val="center"/>
                </w:tcPr>
                <w:p w14:paraId="2D83C4C6">
                  <w:pPr>
                    <w:adjustRightInd w:val="0"/>
                    <w:snapToGrid w:val="0"/>
                    <w:jc w:val="left"/>
                    <w:rPr>
                      <w:color w:val="auto"/>
                      <w:sz w:val="18"/>
                      <w:szCs w:val="18"/>
                    </w:rPr>
                  </w:pPr>
                  <w:r>
                    <w:rPr>
                      <w:rFonts w:hint="eastAsia"/>
                      <w:color w:val="auto"/>
                      <w:sz w:val="18"/>
                      <w:szCs w:val="18"/>
                    </w:rPr>
                    <w:t>按照《江苏省海洋环境保护条例》实施重点海域排污总量控制制度。</w:t>
                  </w:r>
                </w:p>
              </w:tc>
              <w:tc>
                <w:tcPr>
                  <w:tcW w:w="1223" w:type="pct"/>
                  <w:vAlign w:val="center"/>
                </w:tcPr>
                <w:p w14:paraId="148AD8E3">
                  <w:pPr>
                    <w:adjustRightInd w:val="0"/>
                    <w:snapToGrid w:val="0"/>
                    <w:jc w:val="center"/>
                    <w:rPr>
                      <w:color w:val="auto"/>
                      <w:sz w:val="18"/>
                      <w:szCs w:val="18"/>
                    </w:rPr>
                  </w:pPr>
                  <w:r>
                    <w:rPr>
                      <w:rFonts w:hint="eastAsia"/>
                      <w:color w:val="auto"/>
                      <w:kern w:val="0"/>
                      <w:sz w:val="18"/>
                      <w:szCs w:val="18"/>
                    </w:rPr>
                    <w:t>本项目将按规定取得排污总量。</w:t>
                  </w:r>
                </w:p>
              </w:tc>
              <w:tc>
                <w:tcPr>
                  <w:tcW w:w="463" w:type="pct"/>
                  <w:vAlign w:val="center"/>
                </w:tcPr>
                <w:p w14:paraId="0CAB0161">
                  <w:pPr>
                    <w:adjustRightInd w:val="0"/>
                    <w:snapToGrid w:val="0"/>
                    <w:jc w:val="center"/>
                    <w:rPr>
                      <w:color w:val="auto"/>
                      <w:kern w:val="0"/>
                      <w:sz w:val="18"/>
                      <w:szCs w:val="18"/>
                    </w:rPr>
                  </w:pPr>
                  <w:r>
                    <w:rPr>
                      <w:color w:val="auto"/>
                      <w:kern w:val="0"/>
                      <w:sz w:val="18"/>
                      <w:szCs w:val="18"/>
                    </w:rPr>
                    <w:t>符合</w:t>
                  </w:r>
                </w:p>
              </w:tc>
            </w:tr>
            <w:tr w14:paraId="5DD622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340" w:hRule="atLeast"/>
                <w:jc w:val="center"/>
              </w:trPr>
              <w:tc>
                <w:tcPr>
                  <w:tcW w:w="590" w:type="pct"/>
                  <w:vMerge w:val="restart"/>
                  <w:vAlign w:val="center"/>
                </w:tcPr>
                <w:p w14:paraId="22889546">
                  <w:pPr>
                    <w:adjustRightInd w:val="0"/>
                    <w:snapToGrid w:val="0"/>
                    <w:jc w:val="center"/>
                    <w:rPr>
                      <w:color w:val="auto"/>
                      <w:kern w:val="0"/>
                      <w:sz w:val="18"/>
                      <w:szCs w:val="18"/>
                    </w:rPr>
                  </w:pPr>
                  <w:r>
                    <w:rPr>
                      <w:color w:val="auto"/>
                      <w:kern w:val="0"/>
                      <w:sz w:val="18"/>
                      <w:szCs w:val="18"/>
                    </w:rPr>
                    <w:t>环境风险防控</w:t>
                  </w:r>
                </w:p>
              </w:tc>
              <w:tc>
                <w:tcPr>
                  <w:tcW w:w="2722" w:type="pct"/>
                  <w:vAlign w:val="center"/>
                </w:tcPr>
                <w:p w14:paraId="6255A8EB">
                  <w:pPr>
                    <w:adjustRightInd w:val="0"/>
                    <w:snapToGrid w:val="0"/>
                    <w:jc w:val="left"/>
                    <w:rPr>
                      <w:color w:val="auto"/>
                      <w:sz w:val="18"/>
                      <w:szCs w:val="18"/>
                    </w:rPr>
                  </w:pPr>
                  <w:r>
                    <w:rPr>
                      <w:rFonts w:hint="eastAsia"/>
                      <w:color w:val="auto"/>
                      <w:sz w:val="18"/>
                      <w:szCs w:val="18"/>
                    </w:rPr>
                    <w:t>禁止向海洋倾倒汞及汞化合物、强放射性物质等国家规定的一类废弃物。</w:t>
                  </w:r>
                </w:p>
              </w:tc>
              <w:tc>
                <w:tcPr>
                  <w:tcW w:w="1223" w:type="pct"/>
                  <w:vAlign w:val="center"/>
                </w:tcPr>
                <w:p w14:paraId="1577D0FC">
                  <w:pPr>
                    <w:adjustRightInd w:val="0"/>
                    <w:snapToGrid w:val="0"/>
                    <w:jc w:val="center"/>
                    <w:rPr>
                      <w:color w:val="auto"/>
                      <w:sz w:val="18"/>
                      <w:szCs w:val="18"/>
                    </w:rPr>
                  </w:pPr>
                  <w:r>
                    <w:rPr>
                      <w:color w:val="auto"/>
                      <w:sz w:val="18"/>
                      <w:szCs w:val="18"/>
                    </w:rPr>
                    <w:t>本项目不涉及</w:t>
                  </w:r>
                </w:p>
              </w:tc>
              <w:tc>
                <w:tcPr>
                  <w:tcW w:w="463" w:type="pct"/>
                  <w:vAlign w:val="center"/>
                </w:tcPr>
                <w:p w14:paraId="55DAFE19">
                  <w:pPr>
                    <w:adjustRightInd w:val="0"/>
                    <w:snapToGrid w:val="0"/>
                    <w:jc w:val="center"/>
                    <w:rPr>
                      <w:color w:val="auto"/>
                      <w:kern w:val="0"/>
                      <w:sz w:val="18"/>
                      <w:szCs w:val="18"/>
                    </w:rPr>
                  </w:pPr>
                  <w:r>
                    <w:rPr>
                      <w:color w:val="auto"/>
                      <w:kern w:val="0"/>
                      <w:sz w:val="18"/>
                      <w:szCs w:val="18"/>
                    </w:rPr>
                    <w:t>符合</w:t>
                  </w:r>
                </w:p>
              </w:tc>
            </w:tr>
            <w:tr w14:paraId="244339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340" w:hRule="atLeast"/>
                <w:jc w:val="center"/>
              </w:trPr>
              <w:tc>
                <w:tcPr>
                  <w:tcW w:w="590" w:type="pct"/>
                  <w:vMerge w:val="continue"/>
                  <w:vAlign w:val="center"/>
                </w:tcPr>
                <w:p w14:paraId="0A4D5ABE">
                  <w:pPr>
                    <w:adjustRightInd w:val="0"/>
                    <w:snapToGrid w:val="0"/>
                    <w:jc w:val="center"/>
                    <w:rPr>
                      <w:color w:val="auto"/>
                      <w:kern w:val="0"/>
                      <w:sz w:val="18"/>
                      <w:szCs w:val="18"/>
                    </w:rPr>
                  </w:pPr>
                </w:p>
              </w:tc>
              <w:tc>
                <w:tcPr>
                  <w:tcW w:w="2722" w:type="pct"/>
                  <w:vAlign w:val="center"/>
                </w:tcPr>
                <w:p w14:paraId="2B61EE9B">
                  <w:pPr>
                    <w:adjustRightInd w:val="0"/>
                    <w:snapToGrid w:val="0"/>
                    <w:jc w:val="left"/>
                    <w:rPr>
                      <w:color w:val="auto"/>
                      <w:sz w:val="18"/>
                      <w:szCs w:val="18"/>
                    </w:rPr>
                  </w:pPr>
                  <w:r>
                    <w:rPr>
                      <w:rFonts w:hint="eastAsia"/>
                      <w:color w:val="auto"/>
                      <w:sz w:val="18"/>
                      <w:szCs w:val="18"/>
                    </w:rPr>
                    <w:t>加强对赤潮、浒苔绿潮、溢油、危险化学品泄漏及海洋核辐射等海上突发性海洋灾害事故的应急监视，防治突发性海洋环境灾害。</w:t>
                  </w:r>
                </w:p>
              </w:tc>
              <w:tc>
                <w:tcPr>
                  <w:tcW w:w="1223" w:type="pct"/>
                  <w:vAlign w:val="center"/>
                </w:tcPr>
                <w:p w14:paraId="4ABF097A">
                  <w:pPr>
                    <w:adjustRightInd w:val="0"/>
                    <w:snapToGrid w:val="0"/>
                    <w:jc w:val="center"/>
                    <w:rPr>
                      <w:color w:val="auto"/>
                      <w:sz w:val="18"/>
                      <w:szCs w:val="18"/>
                    </w:rPr>
                  </w:pPr>
                  <w:r>
                    <w:rPr>
                      <w:color w:val="auto"/>
                      <w:sz w:val="18"/>
                      <w:szCs w:val="18"/>
                    </w:rPr>
                    <w:t>本项目不涉及</w:t>
                  </w:r>
                </w:p>
              </w:tc>
              <w:tc>
                <w:tcPr>
                  <w:tcW w:w="463" w:type="pct"/>
                  <w:vAlign w:val="center"/>
                </w:tcPr>
                <w:p w14:paraId="51231DA4">
                  <w:pPr>
                    <w:adjustRightInd w:val="0"/>
                    <w:snapToGrid w:val="0"/>
                    <w:jc w:val="center"/>
                    <w:rPr>
                      <w:color w:val="auto"/>
                      <w:kern w:val="0"/>
                      <w:sz w:val="18"/>
                      <w:szCs w:val="18"/>
                    </w:rPr>
                  </w:pPr>
                  <w:r>
                    <w:rPr>
                      <w:color w:val="auto"/>
                      <w:kern w:val="0"/>
                      <w:sz w:val="18"/>
                      <w:szCs w:val="18"/>
                    </w:rPr>
                    <w:t>符合</w:t>
                  </w:r>
                </w:p>
              </w:tc>
            </w:tr>
            <w:tr w14:paraId="03B4F1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340" w:hRule="atLeast"/>
                <w:jc w:val="center"/>
              </w:trPr>
              <w:tc>
                <w:tcPr>
                  <w:tcW w:w="590" w:type="pct"/>
                  <w:vMerge w:val="continue"/>
                  <w:vAlign w:val="center"/>
                </w:tcPr>
                <w:p w14:paraId="7F9CC986">
                  <w:pPr>
                    <w:adjustRightInd w:val="0"/>
                    <w:snapToGrid w:val="0"/>
                    <w:jc w:val="center"/>
                    <w:rPr>
                      <w:color w:val="auto"/>
                      <w:kern w:val="0"/>
                      <w:sz w:val="18"/>
                      <w:szCs w:val="18"/>
                    </w:rPr>
                  </w:pPr>
                </w:p>
              </w:tc>
              <w:tc>
                <w:tcPr>
                  <w:tcW w:w="2722" w:type="pct"/>
                  <w:vAlign w:val="center"/>
                </w:tcPr>
                <w:p w14:paraId="6E5E8214">
                  <w:pPr>
                    <w:adjustRightInd w:val="0"/>
                    <w:snapToGrid w:val="0"/>
                    <w:jc w:val="left"/>
                    <w:rPr>
                      <w:color w:val="auto"/>
                      <w:sz w:val="18"/>
                      <w:szCs w:val="18"/>
                    </w:rPr>
                  </w:pPr>
                  <w:r>
                    <w:rPr>
                      <w:rFonts w:hint="eastAsia"/>
                      <w:color w:val="auto"/>
                      <w:sz w:val="18"/>
                      <w:szCs w:val="18"/>
                    </w:rPr>
                    <w:t>沿海地区应加强危险货物运输风险、船舶污染事故风险应急管控。</w:t>
                  </w:r>
                </w:p>
              </w:tc>
              <w:tc>
                <w:tcPr>
                  <w:tcW w:w="1223" w:type="pct"/>
                  <w:vAlign w:val="center"/>
                </w:tcPr>
                <w:p w14:paraId="0DF479D9">
                  <w:pPr>
                    <w:adjustRightInd w:val="0"/>
                    <w:snapToGrid w:val="0"/>
                    <w:jc w:val="center"/>
                    <w:rPr>
                      <w:color w:val="auto"/>
                      <w:sz w:val="18"/>
                      <w:szCs w:val="18"/>
                    </w:rPr>
                  </w:pPr>
                  <w:r>
                    <w:rPr>
                      <w:color w:val="auto"/>
                      <w:sz w:val="18"/>
                      <w:szCs w:val="18"/>
                    </w:rPr>
                    <w:t>本项目不涉及</w:t>
                  </w:r>
                </w:p>
              </w:tc>
              <w:tc>
                <w:tcPr>
                  <w:tcW w:w="463" w:type="pct"/>
                  <w:vAlign w:val="center"/>
                </w:tcPr>
                <w:p w14:paraId="67FE976C">
                  <w:pPr>
                    <w:adjustRightInd w:val="0"/>
                    <w:snapToGrid w:val="0"/>
                    <w:jc w:val="center"/>
                    <w:rPr>
                      <w:color w:val="auto"/>
                      <w:kern w:val="0"/>
                      <w:sz w:val="18"/>
                      <w:szCs w:val="18"/>
                    </w:rPr>
                  </w:pPr>
                  <w:r>
                    <w:rPr>
                      <w:color w:val="auto"/>
                      <w:kern w:val="0"/>
                      <w:sz w:val="18"/>
                      <w:szCs w:val="18"/>
                    </w:rPr>
                    <w:t>符合</w:t>
                  </w:r>
                </w:p>
              </w:tc>
            </w:tr>
            <w:tr w14:paraId="597792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340" w:hRule="atLeast"/>
                <w:jc w:val="center"/>
              </w:trPr>
              <w:tc>
                <w:tcPr>
                  <w:tcW w:w="590" w:type="pct"/>
                  <w:vAlign w:val="center"/>
                </w:tcPr>
                <w:p w14:paraId="47D765AB">
                  <w:pPr>
                    <w:adjustRightInd w:val="0"/>
                    <w:snapToGrid w:val="0"/>
                    <w:jc w:val="center"/>
                    <w:rPr>
                      <w:color w:val="auto"/>
                      <w:kern w:val="0"/>
                      <w:sz w:val="18"/>
                      <w:szCs w:val="18"/>
                    </w:rPr>
                  </w:pPr>
                  <w:r>
                    <w:rPr>
                      <w:color w:val="auto"/>
                      <w:kern w:val="0"/>
                      <w:sz w:val="18"/>
                      <w:szCs w:val="18"/>
                    </w:rPr>
                    <w:t>资源利用效率要求</w:t>
                  </w:r>
                </w:p>
              </w:tc>
              <w:tc>
                <w:tcPr>
                  <w:tcW w:w="2722" w:type="pct"/>
                  <w:vAlign w:val="center"/>
                </w:tcPr>
                <w:p w14:paraId="320299C0">
                  <w:pPr>
                    <w:adjustRightInd w:val="0"/>
                    <w:snapToGrid w:val="0"/>
                    <w:jc w:val="left"/>
                    <w:rPr>
                      <w:color w:val="auto"/>
                      <w:sz w:val="18"/>
                      <w:szCs w:val="18"/>
                    </w:rPr>
                  </w:pPr>
                  <w:r>
                    <w:rPr>
                      <w:rFonts w:hint="eastAsia"/>
                      <w:color w:val="auto"/>
                      <w:sz w:val="18"/>
                      <w:szCs w:val="18"/>
                    </w:rPr>
                    <w:t>至2025年，大陆自然岸线保有率不低于36.1%。</w:t>
                  </w:r>
                </w:p>
              </w:tc>
              <w:tc>
                <w:tcPr>
                  <w:tcW w:w="1223" w:type="pct"/>
                  <w:vAlign w:val="center"/>
                </w:tcPr>
                <w:p w14:paraId="19C92D60">
                  <w:pPr>
                    <w:adjustRightInd w:val="0"/>
                    <w:snapToGrid w:val="0"/>
                    <w:jc w:val="center"/>
                    <w:rPr>
                      <w:color w:val="auto"/>
                      <w:sz w:val="18"/>
                      <w:szCs w:val="18"/>
                    </w:rPr>
                  </w:pPr>
                  <w:r>
                    <w:rPr>
                      <w:color w:val="auto"/>
                      <w:sz w:val="18"/>
                      <w:szCs w:val="18"/>
                    </w:rPr>
                    <w:t>本项目不涉及</w:t>
                  </w:r>
                </w:p>
              </w:tc>
              <w:tc>
                <w:tcPr>
                  <w:tcW w:w="463" w:type="pct"/>
                  <w:vAlign w:val="center"/>
                </w:tcPr>
                <w:p w14:paraId="531E194C">
                  <w:pPr>
                    <w:adjustRightInd w:val="0"/>
                    <w:snapToGrid w:val="0"/>
                    <w:jc w:val="center"/>
                    <w:rPr>
                      <w:color w:val="auto"/>
                      <w:kern w:val="0"/>
                      <w:sz w:val="18"/>
                      <w:szCs w:val="18"/>
                    </w:rPr>
                  </w:pPr>
                  <w:r>
                    <w:rPr>
                      <w:color w:val="auto"/>
                      <w:kern w:val="0"/>
                      <w:sz w:val="18"/>
                      <w:szCs w:val="18"/>
                    </w:rPr>
                    <w:t>符合</w:t>
                  </w:r>
                </w:p>
              </w:tc>
            </w:tr>
          </w:tbl>
          <w:p w14:paraId="102D03E2">
            <w:pPr>
              <w:snapToGrid w:val="0"/>
              <w:spacing w:line="500" w:lineRule="exact"/>
              <w:jc w:val="center"/>
              <w:rPr>
                <w:b/>
                <w:color w:val="auto"/>
                <w:szCs w:val="21"/>
              </w:rPr>
            </w:pPr>
            <w:r>
              <w:rPr>
                <w:rFonts w:hint="eastAsia"/>
                <w:b/>
                <w:color w:val="auto"/>
                <w:szCs w:val="21"/>
              </w:rPr>
              <w:t>表1-3  与连云港市202</w:t>
            </w:r>
            <w:r>
              <w:rPr>
                <w:rFonts w:hint="eastAsia"/>
                <w:b/>
                <w:color w:val="auto"/>
                <w:szCs w:val="21"/>
                <w:lang w:val="en-US" w:eastAsia="zh-CN"/>
              </w:rPr>
              <w:t>6</w:t>
            </w:r>
            <w:r>
              <w:rPr>
                <w:rFonts w:hint="eastAsia"/>
                <w:b/>
                <w:color w:val="auto"/>
                <w:szCs w:val="21"/>
              </w:rPr>
              <w:t>年度生态环境分区管控动态更新成果相符性分析表</w:t>
            </w:r>
          </w:p>
          <w:tbl>
            <w:tblPr>
              <w:tblStyle w:val="21"/>
              <w:tblW w:w="5000"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57" w:type="dxa"/>
                <w:left w:w="108" w:type="dxa"/>
                <w:bottom w:w="57" w:type="dxa"/>
                <w:right w:w="108" w:type="dxa"/>
              </w:tblCellMar>
            </w:tblPr>
            <w:tblGrid>
              <w:gridCol w:w="290"/>
              <w:gridCol w:w="495"/>
              <w:gridCol w:w="3882"/>
              <w:gridCol w:w="2225"/>
              <w:gridCol w:w="614"/>
            </w:tblGrid>
            <w:tr w14:paraId="21B0403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523" w:type="pct"/>
                  <w:gridSpan w:val="2"/>
                  <w:vAlign w:val="center"/>
                </w:tcPr>
                <w:p w14:paraId="4F1B9A4B">
                  <w:pPr>
                    <w:adjustRightInd w:val="0"/>
                    <w:snapToGrid w:val="0"/>
                    <w:jc w:val="center"/>
                    <w:rPr>
                      <w:b/>
                      <w:color w:val="auto"/>
                      <w:sz w:val="18"/>
                      <w:szCs w:val="21"/>
                    </w:rPr>
                  </w:pPr>
                  <w:r>
                    <w:rPr>
                      <w:b/>
                      <w:color w:val="auto"/>
                      <w:sz w:val="18"/>
                      <w:szCs w:val="21"/>
                    </w:rPr>
                    <w:t>类别</w:t>
                  </w:r>
                </w:p>
              </w:tc>
              <w:tc>
                <w:tcPr>
                  <w:tcW w:w="2586" w:type="pct"/>
                  <w:vAlign w:val="center"/>
                </w:tcPr>
                <w:p w14:paraId="1D7B8727">
                  <w:pPr>
                    <w:adjustRightInd w:val="0"/>
                    <w:snapToGrid w:val="0"/>
                    <w:jc w:val="center"/>
                    <w:rPr>
                      <w:b/>
                      <w:color w:val="auto"/>
                      <w:sz w:val="18"/>
                      <w:szCs w:val="21"/>
                    </w:rPr>
                  </w:pPr>
                  <w:r>
                    <w:rPr>
                      <w:b/>
                      <w:color w:val="auto"/>
                      <w:sz w:val="18"/>
                      <w:szCs w:val="21"/>
                    </w:rPr>
                    <w:t>管控要求</w:t>
                  </w:r>
                </w:p>
              </w:tc>
              <w:tc>
                <w:tcPr>
                  <w:tcW w:w="1482" w:type="pct"/>
                  <w:vAlign w:val="center"/>
                </w:tcPr>
                <w:p w14:paraId="141CE4B6">
                  <w:pPr>
                    <w:adjustRightInd w:val="0"/>
                    <w:snapToGrid w:val="0"/>
                    <w:jc w:val="center"/>
                    <w:rPr>
                      <w:b/>
                      <w:color w:val="auto"/>
                      <w:sz w:val="18"/>
                      <w:szCs w:val="21"/>
                    </w:rPr>
                  </w:pPr>
                  <w:r>
                    <w:rPr>
                      <w:b/>
                      <w:color w:val="auto"/>
                      <w:sz w:val="18"/>
                      <w:szCs w:val="21"/>
                    </w:rPr>
                    <w:t>相符性分析</w:t>
                  </w:r>
                </w:p>
              </w:tc>
              <w:tc>
                <w:tcPr>
                  <w:tcW w:w="409" w:type="pct"/>
                  <w:tcMar>
                    <w:left w:w="28" w:type="dxa"/>
                    <w:right w:w="28" w:type="dxa"/>
                  </w:tcMar>
                  <w:vAlign w:val="center"/>
                </w:tcPr>
                <w:p w14:paraId="090985ED">
                  <w:pPr>
                    <w:adjustRightInd w:val="0"/>
                    <w:snapToGrid w:val="0"/>
                    <w:jc w:val="center"/>
                    <w:rPr>
                      <w:b/>
                      <w:color w:val="auto"/>
                      <w:sz w:val="18"/>
                      <w:szCs w:val="21"/>
                    </w:rPr>
                  </w:pPr>
                  <w:r>
                    <w:rPr>
                      <w:b/>
                      <w:color w:val="auto"/>
                      <w:sz w:val="18"/>
                      <w:szCs w:val="21"/>
                    </w:rPr>
                    <w:t>符合性</w:t>
                  </w:r>
                </w:p>
              </w:tc>
            </w:tr>
            <w:tr w14:paraId="50648C1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101" w:hRule="atLeast"/>
              </w:trPr>
              <w:tc>
                <w:tcPr>
                  <w:tcW w:w="193" w:type="pct"/>
                  <w:vMerge w:val="restart"/>
                  <w:vAlign w:val="center"/>
                </w:tcPr>
                <w:p w14:paraId="5646FBC2">
                  <w:pPr>
                    <w:adjustRightInd w:val="0"/>
                    <w:snapToGrid w:val="0"/>
                    <w:jc w:val="center"/>
                    <w:rPr>
                      <w:bCs/>
                      <w:color w:val="auto"/>
                      <w:sz w:val="18"/>
                      <w:szCs w:val="21"/>
                    </w:rPr>
                  </w:pPr>
                  <w:r>
                    <w:rPr>
                      <w:bCs/>
                      <w:color w:val="auto"/>
                      <w:sz w:val="18"/>
                      <w:szCs w:val="21"/>
                    </w:rPr>
                    <w:t>1</w:t>
                  </w:r>
                </w:p>
              </w:tc>
              <w:tc>
                <w:tcPr>
                  <w:tcW w:w="330" w:type="pct"/>
                  <w:vMerge w:val="restart"/>
                  <w:vAlign w:val="center"/>
                </w:tcPr>
                <w:p w14:paraId="3D6228E3">
                  <w:pPr>
                    <w:adjustRightInd w:val="0"/>
                    <w:snapToGrid w:val="0"/>
                    <w:jc w:val="center"/>
                    <w:rPr>
                      <w:bCs/>
                      <w:color w:val="auto"/>
                      <w:sz w:val="18"/>
                      <w:szCs w:val="21"/>
                    </w:rPr>
                  </w:pPr>
                  <w:r>
                    <w:rPr>
                      <w:bCs/>
                      <w:color w:val="auto"/>
                      <w:sz w:val="18"/>
                      <w:szCs w:val="21"/>
                    </w:rPr>
                    <w:t>空间布局约束</w:t>
                  </w:r>
                </w:p>
              </w:tc>
              <w:tc>
                <w:tcPr>
                  <w:tcW w:w="2586" w:type="pct"/>
                  <w:vAlign w:val="center"/>
                </w:tcPr>
                <w:p w14:paraId="42398882">
                  <w:pPr>
                    <w:adjustRightInd w:val="0"/>
                    <w:snapToGrid w:val="0"/>
                    <w:rPr>
                      <w:bCs/>
                      <w:color w:val="auto"/>
                      <w:sz w:val="18"/>
                      <w:szCs w:val="21"/>
                    </w:rPr>
                  </w:pPr>
                  <w:r>
                    <w:rPr>
                      <w:rFonts w:hint="eastAsia"/>
                      <w:bCs/>
                      <w:color w:val="auto"/>
                      <w:sz w:val="18"/>
                      <w:szCs w:val="21"/>
                    </w:rPr>
                    <w:t>（1）重点发展炼化一体化和多元化原料加工产业、化工新材料和精细化工高端产业。</w:t>
                  </w:r>
                </w:p>
                <w:p w14:paraId="1C6A86E0">
                  <w:pPr>
                    <w:adjustRightInd w:val="0"/>
                    <w:snapToGrid w:val="0"/>
                    <w:rPr>
                      <w:bCs/>
                      <w:color w:val="auto"/>
                      <w:sz w:val="18"/>
                      <w:szCs w:val="21"/>
                    </w:rPr>
                  </w:pPr>
                  <w:r>
                    <w:rPr>
                      <w:rFonts w:hint="eastAsia"/>
                      <w:bCs/>
                      <w:color w:val="auto"/>
                      <w:sz w:val="18"/>
                      <w:szCs w:val="21"/>
                    </w:rPr>
                    <w:t>（2）禁止：新建农药及中间体项目，新建医药中间体、染料中间体项目；《产业转移指导目录》《产业结构调整指导目录》以及江苏省产业政策中明确列入淘汰或限制的项目；不符合国家、江苏省有关法律法规规定，严重浪费资源、污染环境、不具备安全生产条件，需要淘汰的落后工艺技术、装备及产品</w:t>
                  </w:r>
                  <w:r>
                    <w:rPr>
                      <w:bCs/>
                      <w:color w:val="auto"/>
                      <w:sz w:val="18"/>
                      <w:szCs w:val="21"/>
                    </w:rPr>
                    <w:t>。</w:t>
                  </w:r>
                </w:p>
              </w:tc>
              <w:tc>
                <w:tcPr>
                  <w:tcW w:w="1482" w:type="pct"/>
                  <w:vAlign w:val="center"/>
                </w:tcPr>
                <w:p w14:paraId="1B15A179">
                  <w:pPr>
                    <w:adjustRightInd w:val="0"/>
                    <w:snapToGrid w:val="0"/>
                    <w:jc w:val="left"/>
                    <w:rPr>
                      <w:bCs/>
                      <w:color w:val="auto"/>
                      <w:sz w:val="18"/>
                      <w:szCs w:val="21"/>
                    </w:rPr>
                  </w:pPr>
                  <w:r>
                    <w:rPr>
                      <w:rFonts w:hint="eastAsia"/>
                      <w:bCs/>
                      <w:color w:val="auto"/>
                      <w:sz w:val="18"/>
                      <w:szCs w:val="21"/>
                    </w:rPr>
                    <w:t>本项目位于连云港石化产业基地瑞兆科公司现有厂区内</w:t>
                  </w:r>
                  <w:r>
                    <w:rPr>
                      <w:bCs/>
                      <w:color w:val="auto"/>
                      <w:sz w:val="18"/>
                      <w:szCs w:val="21"/>
                    </w:rPr>
                    <w:t>，</w:t>
                  </w:r>
                  <w:r>
                    <w:rPr>
                      <w:rFonts w:hint="eastAsia"/>
                      <w:bCs/>
                      <w:color w:val="auto"/>
                      <w:sz w:val="18"/>
                      <w:szCs w:val="21"/>
                    </w:rPr>
                    <w:t>符合国家和地方产业政策</w:t>
                  </w:r>
                  <w:r>
                    <w:rPr>
                      <w:bCs/>
                      <w:color w:val="auto"/>
                      <w:sz w:val="18"/>
                      <w:szCs w:val="21"/>
                    </w:rPr>
                    <w:t>。</w:t>
                  </w:r>
                </w:p>
              </w:tc>
              <w:tc>
                <w:tcPr>
                  <w:tcW w:w="409" w:type="pct"/>
                  <w:vAlign w:val="center"/>
                </w:tcPr>
                <w:p w14:paraId="7AED3B8C">
                  <w:pPr>
                    <w:adjustRightInd w:val="0"/>
                    <w:snapToGrid w:val="0"/>
                    <w:jc w:val="center"/>
                    <w:rPr>
                      <w:bCs/>
                      <w:color w:val="auto"/>
                      <w:sz w:val="18"/>
                      <w:szCs w:val="21"/>
                    </w:rPr>
                  </w:pPr>
                  <w:r>
                    <w:rPr>
                      <w:bCs/>
                      <w:color w:val="auto"/>
                      <w:sz w:val="18"/>
                      <w:szCs w:val="21"/>
                    </w:rPr>
                    <w:t>符合</w:t>
                  </w:r>
                </w:p>
              </w:tc>
            </w:tr>
            <w:tr w14:paraId="5D9AAC3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93" w:type="pct"/>
                  <w:vMerge w:val="continue"/>
                  <w:vAlign w:val="center"/>
                </w:tcPr>
                <w:p w14:paraId="6986B132">
                  <w:pPr>
                    <w:adjustRightInd w:val="0"/>
                    <w:snapToGrid w:val="0"/>
                    <w:jc w:val="center"/>
                    <w:rPr>
                      <w:bCs/>
                      <w:color w:val="auto"/>
                      <w:sz w:val="18"/>
                      <w:szCs w:val="21"/>
                    </w:rPr>
                  </w:pPr>
                </w:p>
              </w:tc>
              <w:tc>
                <w:tcPr>
                  <w:tcW w:w="330" w:type="pct"/>
                  <w:vMerge w:val="continue"/>
                  <w:vAlign w:val="center"/>
                </w:tcPr>
                <w:p w14:paraId="158528F7">
                  <w:pPr>
                    <w:adjustRightInd w:val="0"/>
                    <w:snapToGrid w:val="0"/>
                    <w:jc w:val="center"/>
                    <w:rPr>
                      <w:bCs/>
                      <w:color w:val="auto"/>
                      <w:sz w:val="18"/>
                      <w:szCs w:val="21"/>
                    </w:rPr>
                  </w:pPr>
                </w:p>
              </w:tc>
              <w:tc>
                <w:tcPr>
                  <w:tcW w:w="2586" w:type="pct"/>
                  <w:vAlign w:val="center"/>
                </w:tcPr>
                <w:p w14:paraId="0B574F14">
                  <w:pPr>
                    <w:adjustRightInd w:val="0"/>
                    <w:snapToGrid w:val="0"/>
                    <w:rPr>
                      <w:bCs/>
                      <w:color w:val="auto"/>
                      <w:sz w:val="18"/>
                      <w:szCs w:val="21"/>
                    </w:rPr>
                  </w:pPr>
                  <w:r>
                    <w:rPr>
                      <w:rFonts w:hint="eastAsia"/>
                      <w:bCs/>
                      <w:color w:val="auto"/>
                      <w:sz w:val="18"/>
                      <w:szCs w:val="21"/>
                    </w:rPr>
                    <w:t>（3）石化产业区周边与居住区之间设置1公里的环境防护距离，并设置绿化带隔离带，环境防护距离内不得规划建设学校、医院、居民住宅等环境敏感目标。</w:t>
                  </w:r>
                </w:p>
              </w:tc>
              <w:tc>
                <w:tcPr>
                  <w:tcW w:w="1482" w:type="pct"/>
                  <w:vAlign w:val="center"/>
                </w:tcPr>
                <w:p w14:paraId="69D4C886">
                  <w:pPr>
                    <w:adjustRightInd w:val="0"/>
                    <w:snapToGrid w:val="0"/>
                    <w:jc w:val="left"/>
                    <w:rPr>
                      <w:bCs/>
                      <w:color w:val="auto"/>
                      <w:sz w:val="18"/>
                      <w:szCs w:val="21"/>
                    </w:rPr>
                  </w:pPr>
                  <w:r>
                    <w:rPr>
                      <w:rFonts w:hint="eastAsia"/>
                      <w:bCs/>
                      <w:color w:val="auto"/>
                      <w:sz w:val="18"/>
                      <w:szCs w:val="21"/>
                    </w:rPr>
                    <w:t>本项目所在连云港石化产业基地于2020年12月份被省人民政府认定为化工园区，总体发展规划修编环评于2020年12月获得江苏省生态环境厅审查意见（苏环审〔2020〕52号），基本满足已形成清晰完整产业链或特色产品集聚，边界防护距离、园区污水处理和危废处置满足要求，具备区域规划环评或跟踪评价，实施封闭化管理和建成城市消防站等要求。</w:t>
                  </w:r>
                </w:p>
              </w:tc>
              <w:tc>
                <w:tcPr>
                  <w:tcW w:w="409" w:type="pct"/>
                  <w:vAlign w:val="center"/>
                </w:tcPr>
                <w:p w14:paraId="626461D9">
                  <w:pPr>
                    <w:adjustRightInd w:val="0"/>
                    <w:snapToGrid w:val="0"/>
                    <w:jc w:val="center"/>
                    <w:rPr>
                      <w:bCs/>
                      <w:color w:val="auto"/>
                      <w:sz w:val="18"/>
                      <w:szCs w:val="21"/>
                    </w:rPr>
                  </w:pPr>
                  <w:r>
                    <w:rPr>
                      <w:bCs/>
                      <w:color w:val="auto"/>
                      <w:sz w:val="18"/>
                      <w:szCs w:val="21"/>
                    </w:rPr>
                    <w:t>符合</w:t>
                  </w:r>
                </w:p>
              </w:tc>
            </w:tr>
            <w:tr w14:paraId="086DDC7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93" w:type="pct"/>
                  <w:vMerge w:val="continue"/>
                  <w:vAlign w:val="center"/>
                </w:tcPr>
                <w:p w14:paraId="2F96082D">
                  <w:pPr>
                    <w:adjustRightInd w:val="0"/>
                    <w:snapToGrid w:val="0"/>
                    <w:jc w:val="center"/>
                    <w:rPr>
                      <w:bCs/>
                      <w:color w:val="auto"/>
                      <w:sz w:val="18"/>
                      <w:szCs w:val="21"/>
                    </w:rPr>
                  </w:pPr>
                </w:p>
              </w:tc>
              <w:tc>
                <w:tcPr>
                  <w:tcW w:w="330" w:type="pct"/>
                  <w:vMerge w:val="continue"/>
                  <w:vAlign w:val="center"/>
                </w:tcPr>
                <w:p w14:paraId="0168BAA5">
                  <w:pPr>
                    <w:adjustRightInd w:val="0"/>
                    <w:snapToGrid w:val="0"/>
                    <w:jc w:val="center"/>
                    <w:rPr>
                      <w:bCs/>
                      <w:color w:val="auto"/>
                      <w:sz w:val="18"/>
                      <w:szCs w:val="21"/>
                    </w:rPr>
                  </w:pPr>
                </w:p>
              </w:tc>
              <w:tc>
                <w:tcPr>
                  <w:tcW w:w="2586" w:type="pct"/>
                  <w:vAlign w:val="center"/>
                </w:tcPr>
                <w:p w14:paraId="4A77BFD9">
                  <w:pPr>
                    <w:adjustRightInd w:val="0"/>
                    <w:snapToGrid w:val="0"/>
                    <w:rPr>
                      <w:bCs/>
                      <w:color w:val="auto"/>
                      <w:sz w:val="18"/>
                      <w:szCs w:val="21"/>
                    </w:rPr>
                  </w:pPr>
                  <w:r>
                    <w:rPr>
                      <w:rFonts w:hint="eastAsia"/>
                      <w:bCs/>
                      <w:color w:val="auto"/>
                      <w:sz w:val="18"/>
                      <w:szCs w:val="21"/>
                    </w:rPr>
                    <w:t>（4）陬山湖周边公共绿地限制开发，道路两侧的防护绿地可以架空高压线路、用作工业管廊和工程管线通道以及设置某些小型的辅助设施如变压器、指标牌和灯柱，同时控制严禁建设任何建筑。</w:t>
                  </w:r>
                </w:p>
              </w:tc>
              <w:tc>
                <w:tcPr>
                  <w:tcW w:w="1482" w:type="pct"/>
                  <w:vMerge w:val="restart"/>
                  <w:vAlign w:val="center"/>
                </w:tcPr>
                <w:p w14:paraId="13928677">
                  <w:pPr>
                    <w:adjustRightInd w:val="0"/>
                    <w:snapToGrid w:val="0"/>
                    <w:jc w:val="left"/>
                    <w:rPr>
                      <w:bCs/>
                      <w:color w:val="auto"/>
                      <w:sz w:val="18"/>
                      <w:szCs w:val="21"/>
                    </w:rPr>
                  </w:pPr>
                  <w:r>
                    <w:rPr>
                      <w:bCs/>
                      <w:color w:val="auto"/>
                      <w:sz w:val="18"/>
                      <w:szCs w:val="21"/>
                    </w:rPr>
                    <w:t>本项目不涉及</w:t>
                  </w:r>
                  <w:r>
                    <w:rPr>
                      <w:rFonts w:hint="eastAsia"/>
                      <w:bCs/>
                      <w:color w:val="auto"/>
                      <w:sz w:val="18"/>
                      <w:szCs w:val="21"/>
                    </w:rPr>
                    <w:t>。</w:t>
                  </w:r>
                </w:p>
              </w:tc>
              <w:tc>
                <w:tcPr>
                  <w:tcW w:w="409" w:type="pct"/>
                  <w:vMerge w:val="restart"/>
                  <w:vAlign w:val="center"/>
                </w:tcPr>
                <w:p w14:paraId="1E20A82A">
                  <w:pPr>
                    <w:adjustRightInd w:val="0"/>
                    <w:snapToGrid w:val="0"/>
                    <w:jc w:val="center"/>
                    <w:rPr>
                      <w:bCs/>
                      <w:color w:val="auto"/>
                      <w:sz w:val="18"/>
                      <w:szCs w:val="21"/>
                    </w:rPr>
                  </w:pPr>
                  <w:r>
                    <w:rPr>
                      <w:bCs/>
                      <w:color w:val="auto"/>
                      <w:sz w:val="18"/>
                      <w:szCs w:val="21"/>
                    </w:rPr>
                    <w:t>符合</w:t>
                  </w:r>
                </w:p>
              </w:tc>
            </w:tr>
            <w:tr w14:paraId="7D002EE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93" w:type="pct"/>
                  <w:vMerge w:val="continue"/>
                  <w:vAlign w:val="center"/>
                </w:tcPr>
                <w:p w14:paraId="38FCBFEA">
                  <w:pPr>
                    <w:adjustRightInd w:val="0"/>
                    <w:snapToGrid w:val="0"/>
                    <w:jc w:val="center"/>
                    <w:rPr>
                      <w:bCs/>
                      <w:color w:val="auto"/>
                      <w:sz w:val="18"/>
                      <w:szCs w:val="21"/>
                    </w:rPr>
                  </w:pPr>
                </w:p>
              </w:tc>
              <w:tc>
                <w:tcPr>
                  <w:tcW w:w="330" w:type="pct"/>
                  <w:vMerge w:val="continue"/>
                  <w:vAlign w:val="center"/>
                </w:tcPr>
                <w:p w14:paraId="46D099DC">
                  <w:pPr>
                    <w:adjustRightInd w:val="0"/>
                    <w:snapToGrid w:val="0"/>
                    <w:jc w:val="center"/>
                    <w:rPr>
                      <w:bCs/>
                      <w:color w:val="auto"/>
                      <w:sz w:val="18"/>
                      <w:szCs w:val="21"/>
                    </w:rPr>
                  </w:pPr>
                </w:p>
              </w:tc>
              <w:tc>
                <w:tcPr>
                  <w:tcW w:w="2586" w:type="pct"/>
                  <w:vAlign w:val="center"/>
                </w:tcPr>
                <w:p w14:paraId="015A2194">
                  <w:pPr>
                    <w:adjustRightInd w:val="0"/>
                    <w:snapToGrid w:val="0"/>
                    <w:rPr>
                      <w:bCs/>
                      <w:color w:val="auto"/>
                      <w:sz w:val="18"/>
                      <w:szCs w:val="21"/>
                    </w:rPr>
                  </w:pPr>
                  <w:r>
                    <w:rPr>
                      <w:rFonts w:hint="eastAsia"/>
                      <w:bCs/>
                      <w:color w:val="auto"/>
                      <w:sz w:val="18"/>
                      <w:szCs w:val="21"/>
                    </w:rPr>
                    <w:t>（5）鼓励电加热技术制烯烃等采纳清洁能源的新型工艺，改善能源结构。</w:t>
                  </w:r>
                </w:p>
              </w:tc>
              <w:tc>
                <w:tcPr>
                  <w:tcW w:w="1482" w:type="pct"/>
                  <w:vMerge w:val="continue"/>
                  <w:vAlign w:val="center"/>
                </w:tcPr>
                <w:p w14:paraId="2F4FE03F">
                  <w:pPr>
                    <w:adjustRightInd w:val="0"/>
                    <w:snapToGrid w:val="0"/>
                    <w:jc w:val="left"/>
                    <w:rPr>
                      <w:bCs/>
                      <w:color w:val="auto"/>
                      <w:sz w:val="18"/>
                      <w:szCs w:val="21"/>
                    </w:rPr>
                  </w:pPr>
                </w:p>
              </w:tc>
              <w:tc>
                <w:tcPr>
                  <w:tcW w:w="409" w:type="pct"/>
                  <w:vMerge w:val="continue"/>
                  <w:vAlign w:val="center"/>
                </w:tcPr>
                <w:p w14:paraId="52270CB3">
                  <w:pPr>
                    <w:adjustRightInd w:val="0"/>
                    <w:snapToGrid w:val="0"/>
                    <w:jc w:val="center"/>
                    <w:rPr>
                      <w:bCs/>
                      <w:color w:val="auto"/>
                      <w:sz w:val="18"/>
                      <w:szCs w:val="21"/>
                    </w:rPr>
                  </w:pPr>
                </w:p>
              </w:tc>
            </w:tr>
            <w:tr w14:paraId="4A284A3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93" w:type="pct"/>
                  <w:vMerge w:val="continue"/>
                  <w:vAlign w:val="center"/>
                </w:tcPr>
                <w:p w14:paraId="14B2A209">
                  <w:pPr>
                    <w:adjustRightInd w:val="0"/>
                    <w:snapToGrid w:val="0"/>
                    <w:jc w:val="center"/>
                    <w:rPr>
                      <w:bCs/>
                      <w:color w:val="auto"/>
                      <w:sz w:val="18"/>
                      <w:szCs w:val="21"/>
                    </w:rPr>
                  </w:pPr>
                </w:p>
              </w:tc>
              <w:tc>
                <w:tcPr>
                  <w:tcW w:w="330" w:type="pct"/>
                  <w:vMerge w:val="continue"/>
                  <w:vAlign w:val="center"/>
                </w:tcPr>
                <w:p w14:paraId="4F3541D7">
                  <w:pPr>
                    <w:adjustRightInd w:val="0"/>
                    <w:snapToGrid w:val="0"/>
                    <w:jc w:val="center"/>
                    <w:rPr>
                      <w:bCs/>
                      <w:color w:val="auto"/>
                      <w:sz w:val="18"/>
                      <w:szCs w:val="21"/>
                    </w:rPr>
                  </w:pPr>
                </w:p>
              </w:tc>
              <w:tc>
                <w:tcPr>
                  <w:tcW w:w="2586" w:type="pct"/>
                  <w:vAlign w:val="center"/>
                </w:tcPr>
                <w:p w14:paraId="29F6C388">
                  <w:pPr>
                    <w:adjustRightInd w:val="0"/>
                    <w:snapToGrid w:val="0"/>
                    <w:rPr>
                      <w:bCs/>
                      <w:color w:val="auto"/>
                      <w:sz w:val="18"/>
                      <w:szCs w:val="21"/>
                    </w:rPr>
                  </w:pPr>
                  <w:r>
                    <w:rPr>
                      <w:rFonts w:hint="eastAsia"/>
                      <w:bCs/>
                      <w:color w:val="auto"/>
                      <w:sz w:val="18"/>
                      <w:szCs w:val="21"/>
                    </w:rPr>
                    <w:t>（6）打造绿色石化产业基地，提高新建项目准入门槛，审慎引入高耗能大项目，已立项项目严格按照最先进的能效标准建设，强化后续节能技改。电加热技术制烯烃推行绿色生产模式，加大对绿色低碳生产工艺、技术和装备的研发、示范和推广力度，加快园区、企业绿色化改造步伐，提升余能深度综合利用和梯级利用水平，探索创建石化化工企业分布式能源中心。加强产业链上中下游协同合作，加强协同耦合，坚持错位发展，促进资源共享，高质量推进建链、延链、补链、强链。同时强化全过程氧化亚氮、氢氟碳化物、全氟化碳、六氟化硫等非碳温室气体排放控制。根据国家《减污降碳协同增效实施方案》，加快推动石化行业减油增化，缩减成品油的产出比例，增加化工产品比例。</w:t>
                  </w:r>
                </w:p>
              </w:tc>
              <w:tc>
                <w:tcPr>
                  <w:tcW w:w="1482" w:type="pct"/>
                  <w:vAlign w:val="center"/>
                </w:tcPr>
                <w:p w14:paraId="67263735">
                  <w:pPr>
                    <w:adjustRightInd w:val="0"/>
                    <w:snapToGrid w:val="0"/>
                    <w:jc w:val="left"/>
                    <w:rPr>
                      <w:bCs/>
                      <w:color w:val="auto"/>
                      <w:sz w:val="18"/>
                      <w:szCs w:val="21"/>
                    </w:rPr>
                  </w:pPr>
                  <w:r>
                    <w:rPr>
                      <w:rFonts w:hint="eastAsia"/>
                      <w:bCs/>
                      <w:color w:val="auto"/>
                      <w:sz w:val="18"/>
                      <w:szCs w:val="21"/>
                    </w:rPr>
                    <w:t>本项目位于连云港石化产业基地内，项目为建设瑞兆科厂区内部配套品控洁净实验室，主要服务瑞兆科电子级化学品产品质量管控。电子级化学品属于石化基地烯类、芳烃产业链下游高端精细配套产品，本项目为其生产运营提供必要质检支撑，属于产业链配套辅助设施，与石化基地重点产品链协同发展方向相符</w:t>
                  </w:r>
                  <w:r>
                    <w:rPr>
                      <w:bCs/>
                      <w:color w:val="auto"/>
                      <w:sz w:val="18"/>
                      <w:szCs w:val="21"/>
                    </w:rPr>
                    <w:t>。</w:t>
                  </w:r>
                </w:p>
              </w:tc>
              <w:tc>
                <w:tcPr>
                  <w:tcW w:w="409" w:type="pct"/>
                  <w:vAlign w:val="center"/>
                </w:tcPr>
                <w:p w14:paraId="3200F571">
                  <w:pPr>
                    <w:adjustRightInd w:val="0"/>
                    <w:snapToGrid w:val="0"/>
                    <w:jc w:val="center"/>
                    <w:rPr>
                      <w:bCs/>
                      <w:color w:val="auto"/>
                      <w:sz w:val="18"/>
                      <w:szCs w:val="21"/>
                    </w:rPr>
                  </w:pPr>
                  <w:r>
                    <w:rPr>
                      <w:bCs/>
                      <w:color w:val="auto"/>
                      <w:sz w:val="18"/>
                      <w:szCs w:val="21"/>
                    </w:rPr>
                    <w:t>符合</w:t>
                  </w:r>
                </w:p>
              </w:tc>
            </w:tr>
            <w:tr w14:paraId="2421511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1555" w:hRule="atLeast"/>
              </w:trPr>
              <w:tc>
                <w:tcPr>
                  <w:tcW w:w="193" w:type="pct"/>
                  <w:vMerge w:val="restart"/>
                  <w:vAlign w:val="center"/>
                </w:tcPr>
                <w:p w14:paraId="6184D78F">
                  <w:pPr>
                    <w:adjustRightInd w:val="0"/>
                    <w:snapToGrid w:val="0"/>
                    <w:jc w:val="center"/>
                    <w:rPr>
                      <w:bCs/>
                      <w:color w:val="auto"/>
                      <w:sz w:val="18"/>
                      <w:szCs w:val="21"/>
                    </w:rPr>
                  </w:pPr>
                  <w:r>
                    <w:rPr>
                      <w:rFonts w:hint="eastAsia"/>
                      <w:bCs/>
                      <w:color w:val="auto"/>
                      <w:sz w:val="18"/>
                      <w:szCs w:val="21"/>
                    </w:rPr>
                    <w:t>2</w:t>
                  </w:r>
                </w:p>
              </w:tc>
              <w:tc>
                <w:tcPr>
                  <w:tcW w:w="330" w:type="pct"/>
                  <w:vMerge w:val="restart"/>
                  <w:vAlign w:val="center"/>
                </w:tcPr>
                <w:p w14:paraId="5A3B3FF9">
                  <w:pPr>
                    <w:adjustRightInd w:val="0"/>
                    <w:snapToGrid w:val="0"/>
                    <w:jc w:val="center"/>
                    <w:rPr>
                      <w:bCs/>
                      <w:color w:val="auto"/>
                      <w:sz w:val="18"/>
                      <w:szCs w:val="21"/>
                    </w:rPr>
                  </w:pPr>
                  <w:r>
                    <w:rPr>
                      <w:bCs/>
                      <w:color w:val="auto"/>
                      <w:sz w:val="18"/>
                      <w:szCs w:val="21"/>
                    </w:rPr>
                    <w:t>污染物排放管控</w:t>
                  </w:r>
                </w:p>
              </w:tc>
              <w:tc>
                <w:tcPr>
                  <w:tcW w:w="2586" w:type="pct"/>
                  <w:vAlign w:val="center"/>
                </w:tcPr>
                <w:p w14:paraId="06AF6A12">
                  <w:pPr>
                    <w:adjustRightInd w:val="0"/>
                    <w:snapToGrid w:val="0"/>
                    <w:rPr>
                      <w:bCs/>
                      <w:color w:val="auto"/>
                      <w:sz w:val="18"/>
                      <w:szCs w:val="21"/>
                    </w:rPr>
                  </w:pPr>
                  <w:r>
                    <w:rPr>
                      <w:rFonts w:hint="eastAsia"/>
                      <w:bCs/>
                      <w:color w:val="auto"/>
                      <w:sz w:val="18"/>
                      <w:szCs w:val="21"/>
                    </w:rPr>
                    <w:t>（1）工业项目排放污染物必须达到国家和地方规定的污染物排放标准；新建、改建、扩建项目生产技术和工艺、水耗能耗物耗、产排污情况及环境管理等方面应达到国际先进水平。</w:t>
                  </w:r>
                </w:p>
              </w:tc>
              <w:tc>
                <w:tcPr>
                  <w:tcW w:w="1482" w:type="pct"/>
                  <w:vAlign w:val="center"/>
                </w:tcPr>
                <w:p w14:paraId="5A76F9F8">
                  <w:pPr>
                    <w:adjustRightInd w:val="0"/>
                    <w:snapToGrid w:val="0"/>
                    <w:jc w:val="left"/>
                    <w:rPr>
                      <w:bCs/>
                      <w:color w:val="auto"/>
                      <w:sz w:val="18"/>
                      <w:szCs w:val="21"/>
                    </w:rPr>
                  </w:pPr>
                  <w:r>
                    <w:rPr>
                      <w:rFonts w:hint="eastAsia"/>
                      <w:bCs/>
                      <w:color w:val="auto"/>
                      <w:sz w:val="18"/>
                      <w:szCs w:val="21"/>
                    </w:rPr>
                    <w:t>本项目不涉及生产工艺，采用国际先进实验装备，相关物耗、能耗、水耗和污染物产生等清洁生产指标能够满足国际先进水平。</w:t>
                  </w:r>
                </w:p>
              </w:tc>
              <w:tc>
                <w:tcPr>
                  <w:tcW w:w="409" w:type="pct"/>
                  <w:vAlign w:val="center"/>
                </w:tcPr>
                <w:p w14:paraId="4AB5E692">
                  <w:pPr>
                    <w:adjustRightInd w:val="0"/>
                    <w:snapToGrid w:val="0"/>
                    <w:jc w:val="center"/>
                    <w:rPr>
                      <w:bCs/>
                      <w:color w:val="auto"/>
                      <w:sz w:val="18"/>
                      <w:szCs w:val="21"/>
                    </w:rPr>
                  </w:pPr>
                  <w:r>
                    <w:rPr>
                      <w:bCs/>
                      <w:color w:val="auto"/>
                      <w:sz w:val="18"/>
                      <w:szCs w:val="21"/>
                    </w:rPr>
                    <w:t>符合</w:t>
                  </w:r>
                </w:p>
              </w:tc>
            </w:tr>
            <w:tr w14:paraId="2659C5E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1555" w:hRule="atLeast"/>
              </w:trPr>
              <w:tc>
                <w:tcPr>
                  <w:tcW w:w="193" w:type="pct"/>
                  <w:vMerge w:val="continue"/>
                  <w:vAlign w:val="center"/>
                </w:tcPr>
                <w:p w14:paraId="3003AAC9">
                  <w:pPr>
                    <w:adjustRightInd w:val="0"/>
                    <w:snapToGrid w:val="0"/>
                    <w:jc w:val="center"/>
                    <w:rPr>
                      <w:bCs/>
                      <w:color w:val="auto"/>
                      <w:sz w:val="18"/>
                      <w:szCs w:val="21"/>
                    </w:rPr>
                  </w:pPr>
                </w:p>
              </w:tc>
              <w:tc>
                <w:tcPr>
                  <w:tcW w:w="330" w:type="pct"/>
                  <w:vMerge w:val="continue"/>
                  <w:vAlign w:val="center"/>
                </w:tcPr>
                <w:p w14:paraId="6EA30F3F">
                  <w:pPr>
                    <w:adjustRightInd w:val="0"/>
                    <w:snapToGrid w:val="0"/>
                    <w:jc w:val="center"/>
                    <w:rPr>
                      <w:bCs/>
                      <w:color w:val="auto"/>
                      <w:sz w:val="18"/>
                      <w:szCs w:val="21"/>
                    </w:rPr>
                  </w:pPr>
                </w:p>
              </w:tc>
              <w:tc>
                <w:tcPr>
                  <w:tcW w:w="2586" w:type="pct"/>
                  <w:vAlign w:val="center"/>
                </w:tcPr>
                <w:p w14:paraId="60A1D936">
                  <w:pPr>
                    <w:adjustRightInd w:val="0"/>
                    <w:snapToGrid w:val="0"/>
                    <w:rPr>
                      <w:bCs/>
                      <w:color w:val="auto"/>
                      <w:sz w:val="18"/>
                      <w:szCs w:val="21"/>
                    </w:rPr>
                  </w:pPr>
                  <w:r>
                    <w:rPr>
                      <w:rFonts w:hint="eastAsia"/>
                      <w:bCs/>
                      <w:color w:val="auto"/>
                      <w:sz w:val="18"/>
                      <w:szCs w:val="21"/>
                    </w:rPr>
                    <w:t>（2）污染物排放总量：COD≤1441</w:t>
                  </w:r>
                  <w:r>
                    <w:rPr>
                      <w:rFonts w:hint="eastAsia"/>
                      <w:bCs/>
                      <w:color w:val="auto"/>
                      <w:sz w:val="18"/>
                      <w:szCs w:val="21"/>
                      <w:lang w:eastAsia="zh-CN"/>
                    </w:rPr>
                    <w:t>（</w:t>
                  </w:r>
                  <w:r>
                    <w:rPr>
                      <w:rFonts w:hint="eastAsia"/>
                      <w:bCs/>
                      <w:color w:val="auto"/>
                      <w:sz w:val="18"/>
                      <w:szCs w:val="21"/>
                    </w:rPr>
                    <w:t>吨/年</w:t>
                  </w:r>
                  <w:r>
                    <w:rPr>
                      <w:rFonts w:hint="eastAsia"/>
                      <w:bCs/>
                      <w:color w:val="auto"/>
                      <w:sz w:val="18"/>
                      <w:szCs w:val="21"/>
                      <w:lang w:eastAsia="zh-CN"/>
                    </w:rPr>
                    <w:t>）</w:t>
                  </w:r>
                  <w:r>
                    <w:rPr>
                      <w:rFonts w:hint="eastAsia"/>
                      <w:bCs/>
                      <w:color w:val="auto"/>
                      <w:sz w:val="18"/>
                      <w:szCs w:val="21"/>
                    </w:rPr>
                    <w:t>、氨氮≤105</w:t>
                  </w:r>
                  <w:r>
                    <w:rPr>
                      <w:rFonts w:hint="eastAsia"/>
                      <w:bCs/>
                      <w:color w:val="auto"/>
                      <w:sz w:val="18"/>
                      <w:szCs w:val="21"/>
                      <w:lang w:eastAsia="zh-CN"/>
                    </w:rPr>
                    <w:t>（</w:t>
                  </w:r>
                  <w:r>
                    <w:rPr>
                      <w:rFonts w:hint="eastAsia"/>
                      <w:bCs/>
                      <w:color w:val="auto"/>
                      <w:sz w:val="18"/>
                      <w:szCs w:val="21"/>
                    </w:rPr>
                    <w:t>吨/年</w:t>
                  </w:r>
                  <w:r>
                    <w:rPr>
                      <w:rFonts w:hint="eastAsia"/>
                      <w:bCs/>
                      <w:color w:val="auto"/>
                      <w:sz w:val="18"/>
                      <w:szCs w:val="21"/>
                      <w:lang w:eastAsia="zh-CN"/>
                    </w:rPr>
                    <w:t>）</w:t>
                  </w:r>
                  <w:r>
                    <w:rPr>
                      <w:rFonts w:hint="eastAsia"/>
                      <w:bCs/>
                      <w:color w:val="auto"/>
                      <w:sz w:val="18"/>
                      <w:szCs w:val="21"/>
                    </w:rPr>
                    <w:t>、总氮≤315</w:t>
                  </w:r>
                  <w:r>
                    <w:rPr>
                      <w:rFonts w:hint="eastAsia"/>
                      <w:bCs/>
                      <w:color w:val="auto"/>
                      <w:sz w:val="18"/>
                      <w:szCs w:val="21"/>
                      <w:lang w:eastAsia="zh-CN"/>
                    </w:rPr>
                    <w:t>（</w:t>
                  </w:r>
                  <w:r>
                    <w:rPr>
                      <w:rFonts w:hint="eastAsia"/>
                      <w:bCs/>
                      <w:color w:val="auto"/>
                      <w:sz w:val="18"/>
                      <w:szCs w:val="21"/>
                    </w:rPr>
                    <w:t>吨/年</w:t>
                  </w:r>
                  <w:r>
                    <w:rPr>
                      <w:rFonts w:hint="eastAsia"/>
                      <w:bCs/>
                      <w:color w:val="auto"/>
                      <w:sz w:val="18"/>
                      <w:szCs w:val="21"/>
                      <w:lang w:eastAsia="zh-CN"/>
                    </w:rPr>
                    <w:t>）</w:t>
                  </w:r>
                  <w:r>
                    <w:rPr>
                      <w:rFonts w:hint="eastAsia"/>
                      <w:bCs/>
                      <w:color w:val="auto"/>
                      <w:sz w:val="18"/>
                      <w:szCs w:val="21"/>
                    </w:rPr>
                    <w:t>、总磷≤10.5</w:t>
                  </w:r>
                  <w:r>
                    <w:rPr>
                      <w:rFonts w:hint="eastAsia"/>
                      <w:bCs/>
                      <w:color w:val="auto"/>
                      <w:sz w:val="18"/>
                      <w:szCs w:val="21"/>
                      <w:lang w:eastAsia="zh-CN"/>
                    </w:rPr>
                    <w:t>（</w:t>
                  </w:r>
                  <w:r>
                    <w:rPr>
                      <w:rFonts w:hint="eastAsia"/>
                      <w:bCs/>
                      <w:color w:val="auto"/>
                      <w:sz w:val="18"/>
                      <w:szCs w:val="21"/>
                    </w:rPr>
                    <w:t>吨/年</w:t>
                  </w:r>
                  <w:r>
                    <w:rPr>
                      <w:rFonts w:hint="eastAsia"/>
                      <w:bCs/>
                      <w:color w:val="auto"/>
                      <w:sz w:val="18"/>
                      <w:szCs w:val="21"/>
                      <w:lang w:eastAsia="zh-CN"/>
                    </w:rPr>
                    <w:t>）</w:t>
                  </w:r>
                  <w:r>
                    <w:rPr>
                      <w:rFonts w:hint="eastAsia"/>
                      <w:bCs/>
                      <w:color w:val="auto"/>
                      <w:sz w:val="18"/>
                      <w:szCs w:val="21"/>
                    </w:rPr>
                    <w:t>、二氧化硫≤3196</w:t>
                  </w:r>
                  <w:r>
                    <w:rPr>
                      <w:rFonts w:hint="eastAsia"/>
                      <w:bCs/>
                      <w:color w:val="auto"/>
                      <w:sz w:val="18"/>
                      <w:szCs w:val="21"/>
                      <w:lang w:eastAsia="zh-CN"/>
                    </w:rPr>
                    <w:t>（</w:t>
                  </w:r>
                  <w:r>
                    <w:rPr>
                      <w:rFonts w:hint="eastAsia"/>
                      <w:bCs/>
                      <w:color w:val="auto"/>
                      <w:sz w:val="18"/>
                      <w:szCs w:val="21"/>
                    </w:rPr>
                    <w:t>吨/年</w:t>
                  </w:r>
                  <w:r>
                    <w:rPr>
                      <w:rFonts w:hint="eastAsia"/>
                      <w:bCs/>
                      <w:color w:val="auto"/>
                      <w:sz w:val="18"/>
                      <w:szCs w:val="21"/>
                      <w:lang w:eastAsia="zh-CN"/>
                    </w:rPr>
                    <w:t>）</w:t>
                  </w:r>
                  <w:r>
                    <w:rPr>
                      <w:rFonts w:hint="eastAsia"/>
                      <w:bCs/>
                      <w:color w:val="auto"/>
                      <w:sz w:val="18"/>
                      <w:szCs w:val="21"/>
                    </w:rPr>
                    <w:t>、氮氧化物≤10995</w:t>
                  </w:r>
                  <w:r>
                    <w:rPr>
                      <w:rFonts w:hint="eastAsia"/>
                      <w:bCs/>
                      <w:color w:val="auto"/>
                      <w:sz w:val="18"/>
                      <w:szCs w:val="21"/>
                      <w:lang w:eastAsia="zh-CN"/>
                    </w:rPr>
                    <w:t>（</w:t>
                  </w:r>
                  <w:r>
                    <w:rPr>
                      <w:rFonts w:hint="eastAsia"/>
                      <w:bCs/>
                      <w:color w:val="auto"/>
                      <w:sz w:val="18"/>
                      <w:szCs w:val="21"/>
                    </w:rPr>
                    <w:t>吨/年</w:t>
                  </w:r>
                  <w:r>
                    <w:rPr>
                      <w:rFonts w:hint="eastAsia"/>
                      <w:bCs/>
                      <w:color w:val="auto"/>
                      <w:sz w:val="18"/>
                      <w:szCs w:val="21"/>
                      <w:lang w:eastAsia="zh-CN"/>
                    </w:rPr>
                    <w:t>）</w:t>
                  </w:r>
                  <w:r>
                    <w:rPr>
                      <w:rFonts w:hint="eastAsia"/>
                      <w:bCs/>
                      <w:color w:val="auto"/>
                      <w:sz w:val="18"/>
                      <w:szCs w:val="21"/>
                    </w:rPr>
                    <w:t>、烟粉尘≤2631</w:t>
                  </w:r>
                  <w:r>
                    <w:rPr>
                      <w:rFonts w:hint="eastAsia"/>
                      <w:bCs/>
                      <w:color w:val="auto"/>
                      <w:sz w:val="18"/>
                      <w:szCs w:val="21"/>
                      <w:lang w:eastAsia="zh-CN"/>
                    </w:rPr>
                    <w:t>（</w:t>
                  </w:r>
                  <w:r>
                    <w:rPr>
                      <w:rFonts w:hint="eastAsia"/>
                      <w:bCs/>
                      <w:color w:val="auto"/>
                      <w:sz w:val="18"/>
                      <w:szCs w:val="21"/>
                    </w:rPr>
                    <w:t>吨/年</w:t>
                  </w:r>
                  <w:r>
                    <w:rPr>
                      <w:rFonts w:hint="eastAsia"/>
                      <w:bCs/>
                      <w:color w:val="auto"/>
                      <w:sz w:val="18"/>
                      <w:szCs w:val="21"/>
                      <w:lang w:eastAsia="zh-CN"/>
                    </w:rPr>
                    <w:t>）</w:t>
                  </w:r>
                  <w:r>
                    <w:rPr>
                      <w:rFonts w:hint="eastAsia"/>
                      <w:bCs/>
                      <w:color w:val="auto"/>
                      <w:sz w:val="18"/>
                      <w:szCs w:val="21"/>
                    </w:rPr>
                    <w:t>、VOCs≤10588</w:t>
                  </w:r>
                  <w:r>
                    <w:rPr>
                      <w:rFonts w:hint="eastAsia"/>
                      <w:bCs/>
                      <w:color w:val="auto"/>
                      <w:sz w:val="18"/>
                      <w:szCs w:val="21"/>
                      <w:lang w:eastAsia="zh-CN"/>
                    </w:rPr>
                    <w:t>（</w:t>
                  </w:r>
                  <w:r>
                    <w:rPr>
                      <w:rFonts w:hint="eastAsia"/>
                      <w:bCs/>
                      <w:color w:val="auto"/>
                      <w:sz w:val="18"/>
                      <w:szCs w:val="21"/>
                    </w:rPr>
                    <w:t>吨/年</w:t>
                  </w:r>
                  <w:r>
                    <w:rPr>
                      <w:rFonts w:hint="eastAsia"/>
                      <w:bCs/>
                      <w:color w:val="auto"/>
                      <w:sz w:val="18"/>
                      <w:szCs w:val="21"/>
                      <w:lang w:eastAsia="zh-CN"/>
                    </w:rPr>
                    <w:t>）</w:t>
                  </w:r>
                  <w:r>
                    <w:rPr>
                      <w:rFonts w:hint="eastAsia"/>
                      <w:bCs/>
                      <w:color w:val="auto"/>
                      <w:sz w:val="18"/>
                      <w:szCs w:val="21"/>
                    </w:rPr>
                    <w:t>。</w:t>
                  </w:r>
                </w:p>
              </w:tc>
              <w:tc>
                <w:tcPr>
                  <w:tcW w:w="1482" w:type="pct"/>
                  <w:vAlign w:val="center"/>
                </w:tcPr>
                <w:p w14:paraId="68BA0AA1">
                  <w:pPr>
                    <w:adjustRightInd w:val="0"/>
                    <w:snapToGrid w:val="0"/>
                    <w:jc w:val="left"/>
                    <w:rPr>
                      <w:bCs/>
                      <w:color w:val="auto"/>
                      <w:sz w:val="18"/>
                      <w:szCs w:val="21"/>
                    </w:rPr>
                  </w:pPr>
                  <w:r>
                    <w:rPr>
                      <w:rFonts w:hint="eastAsia"/>
                      <w:bCs/>
                      <w:color w:val="auto"/>
                      <w:sz w:val="18"/>
                      <w:szCs w:val="21"/>
                    </w:rPr>
                    <w:t>本项目新增少量污染物排放量在区域内平衡</w:t>
                  </w:r>
                  <w:r>
                    <w:rPr>
                      <w:bCs/>
                      <w:color w:val="auto"/>
                      <w:sz w:val="18"/>
                      <w:szCs w:val="21"/>
                    </w:rPr>
                    <w:t>。</w:t>
                  </w:r>
                </w:p>
              </w:tc>
              <w:tc>
                <w:tcPr>
                  <w:tcW w:w="409" w:type="pct"/>
                  <w:vAlign w:val="center"/>
                </w:tcPr>
                <w:p w14:paraId="43D969A5">
                  <w:pPr>
                    <w:adjustRightInd w:val="0"/>
                    <w:snapToGrid w:val="0"/>
                    <w:jc w:val="center"/>
                    <w:rPr>
                      <w:bCs/>
                      <w:color w:val="auto"/>
                      <w:sz w:val="18"/>
                      <w:szCs w:val="21"/>
                    </w:rPr>
                  </w:pPr>
                  <w:r>
                    <w:rPr>
                      <w:bCs/>
                      <w:color w:val="auto"/>
                      <w:sz w:val="18"/>
                      <w:szCs w:val="21"/>
                    </w:rPr>
                    <w:t>符合</w:t>
                  </w:r>
                  <w:r>
                    <w:rPr>
                      <w:rFonts w:hint="eastAsia"/>
                      <w:bCs/>
                      <w:color w:val="auto"/>
                      <w:sz w:val="18"/>
                      <w:szCs w:val="21"/>
                    </w:rPr>
                    <w:t xml:space="preserve"> </w:t>
                  </w:r>
                </w:p>
              </w:tc>
            </w:tr>
            <w:tr w14:paraId="71EDCB8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1555" w:hRule="atLeast"/>
              </w:trPr>
              <w:tc>
                <w:tcPr>
                  <w:tcW w:w="193" w:type="pct"/>
                  <w:vMerge w:val="continue"/>
                  <w:vAlign w:val="center"/>
                </w:tcPr>
                <w:p w14:paraId="134EBCB4">
                  <w:pPr>
                    <w:adjustRightInd w:val="0"/>
                    <w:snapToGrid w:val="0"/>
                    <w:jc w:val="center"/>
                    <w:rPr>
                      <w:bCs/>
                      <w:color w:val="auto"/>
                      <w:sz w:val="18"/>
                      <w:szCs w:val="21"/>
                    </w:rPr>
                  </w:pPr>
                </w:p>
              </w:tc>
              <w:tc>
                <w:tcPr>
                  <w:tcW w:w="330" w:type="pct"/>
                  <w:vMerge w:val="continue"/>
                  <w:vAlign w:val="center"/>
                </w:tcPr>
                <w:p w14:paraId="615555AA">
                  <w:pPr>
                    <w:adjustRightInd w:val="0"/>
                    <w:snapToGrid w:val="0"/>
                    <w:jc w:val="center"/>
                    <w:rPr>
                      <w:bCs/>
                      <w:color w:val="auto"/>
                      <w:sz w:val="18"/>
                      <w:szCs w:val="21"/>
                    </w:rPr>
                  </w:pPr>
                </w:p>
              </w:tc>
              <w:tc>
                <w:tcPr>
                  <w:tcW w:w="2586" w:type="pct"/>
                  <w:vAlign w:val="center"/>
                </w:tcPr>
                <w:p w14:paraId="56FADF1A">
                  <w:pPr>
                    <w:adjustRightInd w:val="0"/>
                    <w:snapToGrid w:val="0"/>
                    <w:rPr>
                      <w:bCs/>
                      <w:color w:val="auto"/>
                      <w:sz w:val="18"/>
                      <w:szCs w:val="21"/>
                    </w:rPr>
                  </w:pPr>
                  <w:r>
                    <w:rPr>
                      <w:rFonts w:hint="eastAsia"/>
                      <w:bCs/>
                      <w:color w:val="auto"/>
                      <w:sz w:val="18"/>
                      <w:szCs w:val="21"/>
                    </w:rPr>
                    <w:t>（3）石化行业：工艺加热炉二氧化硫≤50mg/m</w:t>
                  </w:r>
                  <w:r>
                    <w:rPr>
                      <w:rFonts w:hint="eastAsia"/>
                      <w:bCs/>
                      <w:color w:val="auto"/>
                      <w:sz w:val="18"/>
                      <w:szCs w:val="21"/>
                      <w:vertAlign w:val="superscript"/>
                    </w:rPr>
                    <w:t>3</w:t>
                  </w:r>
                  <w:r>
                    <w:rPr>
                      <w:rFonts w:hint="eastAsia"/>
                      <w:bCs/>
                      <w:color w:val="auto"/>
                      <w:sz w:val="18"/>
                      <w:szCs w:val="21"/>
                    </w:rPr>
                    <w:t>、氮氧化物≤100mg/m</w:t>
                  </w:r>
                  <w:r>
                    <w:rPr>
                      <w:rFonts w:hint="eastAsia"/>
                      <w:bCs/>
                      <w:color w:val="auto"/>
                      <w:sz w:val="18"/>
                      <w:szCs w:val="21"/>
                      <w:vertAlign w:val="superscript"/>
                    </w:rPr>
                    <w:t>3</w:t>
                  </w:r>
                  <w:r>
                    <w:rPr>
                      <w:rFonts w:hint="eastAsia"/>
                      <w:bCs/>
                      <w:color w:val="auto"/>
                      <w:sz w:val="18"/>
                      <w:szCs w:val="21"/>
                    </w:rPr>
                    <w:t>、烟尘≤20mg/m</w:t>
                  </w:r>
                  <w:r>
                    <w:rPr>
                      <w:rFonts w:hint="eastAsia"/>
                      <w:bCs/>
                      <w:color w:val="auto"/>
                      <w:sz w:val="18"/>
                      <w:szCs w:val="21"/>
                      <w:vertAlign w:val="superscript"/>
                    </w:rPr>
                    <w:t>3</w:t>
                  </w:r>
                  <w:r>
                    <w:rPr>
                      <w:rFonts w:hint="eastAsia"/>
                      <w:bCs/>
                      <w:color w:val="auto"/>
                      <w:sz w:val="18"/>
                      <w:szCs w:val="21"/>
                    </w:rPr>
                    <w:t>。厂区内非甲烷总烃监控点处1h平均浓度值≤6mg/m</w:t>
                  </w:r>
                  <w:r>
                    <w:rPr>
                      <w:rFonts w:hint="eastAsia"/>
                      <w:bCs/>
                      <w:color w:val="auto"/>
                      <w:sz w:val="18"/>
                      <w:szCs w:val="21"/>
                      <w:vertAlign w:val="superscript"/>
                    </w:rPr>
                    <w:t>3</w:t>
                  </w:r>
                  <w:r>
                    <w:rPr>
                      <w:rFonts w:hint="eastAsia"/>
                      <w:bCs/>
                      <w:color w:val="auto"/>
                      <w:sz w:val="18"/>
                      <w:szCs w:val="21"/>
                    </w:rPr>
                    <w:t>，非甲烷总烃监控点处任意一次浓度值≤20mg/m</w:t>
                  </w:r>
                  <w:r>
                    <w:rPr>
                      <w:rFonts w:hint="eastAsia"/>
                      <w:bCs/>
                      <w:color w:val="auto"/>
                      <w:sz w:val="18"/>
                      <w:szCs w:val="21"/>
                      <w:vertAlign w:val="superscript"/>
                    </w:rPr>
                    <w:t>3</w:t>
                  </w:r>
                  <w:r>
                    <w:rPr>
                      <w:rFonts w:hint="eastAsia"/>
                      <w:bCs/>
                      <w:color w:val="auto"/>
                      <w:sz w:val="18"/>
                      <w:szCs w:val="21"/>
                    </w:rPr>
                    <w:t>。非甲烷总烃去除率≥97%。COD≤50mg/L、氨氮≤5mg/L。循环冷却水系统采用无氮无磷阻垢缓蚀剂。</w:t>
                  </w:r>
                </w:p>
              </w:tc>
              <w:tc>
                <w:tcPr>
                  <w:tcW w:w="1482" w:type="pct"/>
                  <w:vAlign w:val="center"/>
                </w:tcPr>
                <w:p w14:paraId="42C94515">
                  <w:pPr>
                    <w:adjustRightInd w:val="0"/>
                    <w:snapToGrid w:val="0"/>
                    <w:jc w:val="left"/>
                    <w:rPr>
                      <w:bCs/>
                      <w:color w:val="auto"/>
                      <w:sz w:val="18"/>
                      <w:szCs w:val="21"/>
                    </w:rPr>
                  </w:pPr>
                  <w:r>
                    <w:rPr>
                      <w:rFonts w:hint="eastAsia"/>
                      <w:bCs/>
                      <w:color w:val="auto"/>
                      <w:sz w:val="18"/>
                      <w:szCs w:val="21"/>
                    </w:rPr>
                    <w:t>本项目不涉及工艺加热炉；厂区内执行NMHC无组织排放监控标准</w:t>
                  </w:r>
                  <w:r>
                    <w:rPr>
                      <w:bCs/>
                      <w:color w:val="auto"/>
                      <w:sz w:val="18"/>
                      <w:szCs w:val="21"/>
                    </w:rPr>
                    <w:t>。</w:t>
                  </w:r>
                  <w:r>
                    <w:rPr>
                      <w:rFonts w:hint="eastAsia"/>
                      <w:bCs/>
                      <w:color w:val="auto"/>
                      <w:sz w:val="18"/>
                      <w:szCs w:val="21"/>
                    </w:rPr>
                    <w:t>现有废水接管标准满足</w:t>
                  </w:r>
                  <w:r>
                    <w:rPr>
                      <w:rFonts w:hint="eastAsia"/>
                      <w:bCs/>
                      <w:color w:val="auto"/>
                      <w:sz w:val="18"/>
                      <w:szCs w:val="21"/>
                      <w:lang w:val="en-US" w:eastAsia="zh-CN"/>
                    </w:rPr>
                    <w:t>限值</w:t>
                  </w:r>
                  <w:r>
                    <w:rPr>
                      <w:rFonts w:hint="eastAsia"/>
                      <w:bCs/>
                      <w:color w:val="auto"/>
                      <w:sz w:val="18"/>
                      <w:szCs w:val="21"/>
                    </w:rPr>
                    <w:t>要求</w:t>
                  </w:r>
                  <w:r>
                    <w:rPr>
                      <w:bCs/>
                      <w:color w:val="auto"/>
                      <w:sz w:val="18"/>
                      <w:szCs w:val="21"/>
                    </w:rPr>
                    <w:t>。</w:t>
                  </w:r>
                  <w:r>
                    <w:rPr>
                      <w:rFonts w:hint="eastAsia"/>
                      <w:bCs/>
                      <w:color w:val="auto"/>
                      <w:sz w:val="18"/>
                      <w:szCs w:val="21"/>
                    </w:rPr>
                    <w:t>现有循环冷却水系统采用无氮无磷阻垢缓蚀剂。</w:t>
                  </w:r>
                </w:p>
              </w:tc>
              <w:tc>
                <w:tcPr>
                  <w:tcW w:w="409" w:type="pct"/>
                  <w:vAlign w:val="center"/>
                </w:tcPr>
                <w:p w14:paraId="67ABD288">
                  <w:pPr>
                    <w:adjustRightInd w:val="0"/>
                    <w:snapToGrid w:val="0"/>
                    <w:jc w:val="center"/>
                    <w:rPr>
                      <w:bCs/>
                      <w:color w:val="auto"/>
                      <w:sz w:val="18"/>
                      <w:szCs w:val="21"/>
                    </w:rPr>
                  </w:pPr>
                  <w:r>
                    <w:rPr>
                      <w:bCs/>
                      <w:color w:val="auto"/>
                      <w:sz w:val="18"/>
                      <w:szCs w:val="21"/>
                    </w:rPr>
                    <w:t>符合</w:t>
                  </w:r>
                </w:p>
              </w:tc>
            </w:tr>
            <w:tr w14:paraId="4C92207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3889" w:hRule="atLeast"/>
              </w:trPr>
              <w:tc>
                <w:tcPr>
                  <w:tcW w:w="193" w:type="pct"/>
                  <w:vMerge w:val="restart"/>
                  <w:vAlign w:val="center"/>
                </w:tcPr>
                <w:p w14:paraId="4D4DAB96">
                  <w:pPr>
                    <w:adjustRightInd w:val="0"/>
                    <w:snapToGrid w:val="0"/>
                    <w:jc w:val="center"/>
                    <w:rPr>
                      <w:bCs/>
                      <w:color w:val="auto"/>
                      <w:sz w:val="18"/>
                      <w:szCs w:val="21"/>
                    </w:rPr>
                  </w:pPr>
                  <w:r>
                    <w:rPr>
                      <w:rFonts w:hint="eastAsia"/>
                      <w:bCs/>
                      <w:color w:val="auto"/>
                      <w:sz w:val="18"/>
                      <w:szCs w:val="21"/>
                    </w:rPr>
                    <w:t>3</w:t>
                  </w:r>
                </w:p>
              </w:tc>
              <w:tc>
                <w:tcPr>
                  <w:tcW w:w="330" w:type="pct"/>
                  <w:vMerge w:val="restart"/>
                  <w:vAlign w:val="center"/>
                </w:tcPr>
                <w:p w14:paraId="2D193EBD">
                  <w:pPr>
                    <w:adjustRightInd w:val="0"/>
                    <w:snapToGrid w:val="0"/>
                    <w:jc w:val="center"/>
                    <w:rPr>
                      <w:bCs/>
                      <w:color w:val="auto"/>
                      <w:sz w:val="18"/>
                      <w:szCs w:val="21"/>
                    </w:rPr>
                  </w:pPr>
                  <w:r>
                    <w:rPr>
                      <w:rFonts w:hint="eastAsia"/>
                      <w:bCs/>
                      <w:color w:val="auto"/>
                      <w:sz w:val="18"/>
                      <w:szCs w:val="21"/>
                    </w:rPr>
                    <w:t>环境风险防控</w:t>
                  </w:r>
                </w:p>
              </w:tc>
              <w:tc>
                <w:tcPr>
                  <w:tcW w:w="2586" w:type="pct"/>
                  <w:vAlign w:val="center"/>
                </w:tcPr>
                <w:p w14:paraId="075D7825">
                  <w:pPr>
                    <w:adjustRightInd w:val="0"/>
                    <w:snapToGrid w:val="0"/>
                    <w:rPr>
                      <w:bCs/>
                      <w:color w:val="auto"/>
                      <w:sz w:val="18"/>
                      <w:szCs w:val="21"/>
                    </w:rPr>
                  </w:pPr>
                  <w:r>
                    <w:rPr>
                      <w:rFonts w:hint="eastAsia"/>
                      <w:bCs/>
                      <w:color w:val="auto"/>
                      <w:sz w:val="18"/>
                      <w:szCs w:val="21"/>
                    </w:rPr>
                    <w:t>（1）严格准入制度，按照既定的产业布局，充分考虑基地产业链的安全性</w:t>
                  </w:r>
                  <w:r>
                    <w:rPr>
                      <w:rFonts w:hint="eastAsia"/>
                      <w:bCs/>
                      <w:color w:val="auto"/>
                      <w:sz w:val="18"/>
                      <w:szCs w:val="21"/>
                      <w:lang w:eastAsia="zh-CN"/>
                    </w:rPr>
                    <w:t>和</w:t>
                  </w:r>
                  <w:r>
                    <w:rPr>
                      <w:rFonts w:hint="eastAsia"/>
                      <w:bCs/>
                      <w:color w:val="auto"/>
                      <w:sz w:val="18"/>
                      <w:szCs w:val="21"/>
                    </w:rPr>
                    <w:t>科学性，有选择地接纳危险化学品企业入园，把符合安全生产标准、基地产业链安全和安全风险容量要求，作为危险化学品企业准入的前置条件。对不符合基地产业链发展的项目不准入园，限制不利于基地产业链发展的项目的发展规模。禁止安全风险大、工艺设施落后、本质安全水平低的企业入园，严格控制涉及光气、剧毒化学品生产企业项目的入园，对于涉及剧毒化学品的项目应加强安全监管和严格按照法规标准的要求采取相应的安全防护措施，控制基地安全风险和危险化学品重大危险源等级，优化基地产业布局，提高整体安全水平。各类石化企业抓住泄漏、火灾、爆炸等导致重大事故发生的关键环节，科学准确地评估危险因素，依据国家法律法规和技术标准进行安全设施设计，组织建设项目施工和竣工验收。</w:t>
                  </w:r>
                </w:p>
              </w:tc>
              <w:tc>
                <w:tcPr>
                  <w:tcW w:w="1482" w:type="pct"/>
                  <w:vAlign w:val="center"/>
                </w:tcPr>
                <w:p w14:paraId="4001BFC6">
                  <w:pPr>
                    <w:adjustRightInd w:val="0"/>
                    <w:snapToGrid w:val="0"/>
                    <w:jc w:val="left"/>
                    <w:rPr>
                      <w:rFonts w:hint="eastAsia"/>
                      <w:bCs/>
                      <w:color w:val="auto"/>
                      <w:sz w:val="18"/>
                      <w:szCs w:val="21"/>
                    </w:rPr>
                  </w:pPr>
                  <w:r>
                    <w:rPr>
                      <w:rFonts w:hint="eastAsia"/>
                      <w:bCs/>
                      <w:color w:val="auto"/>
                      <w:sz w:val="18"/>
                      <w:szCs w:val="21"/>
                    </w:rPr>
                    <w:t>本项目位于连云港石化产业基地瑞兆科公司现有厂区内，项目为品控洁净实验室项目</w:t>
                  </w:r>
                  <w:r>
                    <w:rPr>
                      <w:bCs/>
                      <w:color w:val="auto"/>
                      <w:sz w:val="18"/>
                      <w:szCs w:val="21"/>
                    </w:rPr>
                    <w:t>。本项目</w:t>
                  </w:r>
                  <w:r>
                    <w:rPr>
                      <w:rFonts w:hint="eastAsia"/>
                      <w:bCs/>
                      <w:color w:val="auto"/>
                      <w:sz w:val="18"/>
                      <w:szCs w:val="21"/>
                    </w:rPr>
                    <w:t>委托专业有资质设计单位，科学准确地评估危险因素，依据国家法律法规和技术标准进行安全设施设计，组织建设项目施工和竣工验收。</w:t>
                  </w:r>
                </w:p>
                <w:p w14:paraId="1B7043A3">
                  <w:pPr>
                    <w:adjustRightInd w:val="0"/>
                    <w:snapToGrid w:val="0"/>
                    <w:jc w:val="left"/>
                    <w:rPr>
                      <w:rFonts w:hint="eastAsia"/>
                      <w:bCs/>
                      <w:color w:val="auto"/>
                      <w:sz w:val="18"/>
                      <w:szCs w:val="21"/>
                    </w:rPr>
                  </w:pPr>
                  <w:r>
                    <w:rPr>
                      <w:rFonts w:hint="eastAsia"/>
                      <w:bCs/>
                      <w:color w:val="auto"/>
                      <w:sz w:val="18"/>
                      <w:szCs w:val="21"/>
                    </w:rPr>
                    <w:t>本次评价要求本项目建成后及时修编企业突发环境事件风险评估、应急预案。</w:t>
                  </w:r>
                </w:p>
              </w:tc>
              <w:tc>
                <w:tcPr>
                  <w:tcW w:w="409" w:type="pct"/>
                  <w:vAlign w:val="center"/>
                </w:tcPr>
                <w:p w14:paraId="66DA0DB5">
                  <w:pPr>
                    <w:adjustRightInd w:val="0"/>
                    <w:snapToGrid w:val="0"/>
                    <w:jc w:val="center"/>
                    <w:rPr>
                      <w:bCs/>
                      <w:color w:val="auto"/>
                      <w:sz w:val="18"/>
                      <w:szCs w:val="21"/>
                    </w:rPr>
                  </w:pPr>
                  <w:r>
                    <w:rPr>
                      <w:bCs/>
                      <w:color w:val="auto"/>
                      <w:sz w:val="18"/>
                      <w:szCs w:val="21"/>
                    </w:rPr>
                    <w:t>符合</w:t>
                  </w:r>
                </w:p>
              </w:tc>
            </w:tr>
            <w:tr w14:paraId="7CFC276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93" w:type="pct"/>
                  <w:vMerge w:val="continue"/>
                  <w:vAlign w:val="center"/>
                </w:tcPr>
                <w:p w14:paraId="1B05B817">
                  <w:pPr>
                    <w:adjustRightInd w:val="0"/>
                    <w:snapToGrid w:val="0"/>
                    <w:jc w:val="center"/>
                    <w:rPr>
                      <w:bCs/>
                      <w:color w:val="auto"/>
                      <w:sz w:val="18"/>
                      <w:szCs w:val="21"/>
                    </w:rPr>
                  </w:pPr>
                </w:p>
              </w:tc>
              <w:tc>
                <w:tcPr>
                  <w:tcW w:w="330" w:type="pct"/>
                  <w:vMerge w:val="continue"/>
                  <w:vAlign w:val="center"/>
                </w:tcPr>
                <w:p w14:paraId="17FADF6B">
                  <w:pPr>
                    <w:adjustRightInd w:val="0"/>
                    <w:snapToGrid w:val="0"/>
                    <w:jc w:val="center"/>
                    <w:rPr>
                      <w:bCs/>
                      <w:color w:val="auto"/>
                      <w:sz w:val="18"/>
                      <w:szCs w:val="21"/>
                    </w:rPr>
                  </w:pPr>
                </w:p>
              </w:tc>
              <w:tc>
                <w:tcPr>
                  <w:tcW w:w="2586" w:type="pct"/>
                  <w:vAlign w:val="center"/>
                </w:tcPr>
                <w:p w14:paraId="2D9A304D">
                  <w:pPr>
                    <w:adjustRightInd w:val="0"/>
                    <w:snapToGrid w:val="0"/>
                    <w:rPr>
                      <w:bCs/>
                      <w:color w:val="auto"/>
                      <w:sz w:val="18"/>
                      <w:szCs w:val="21"/>
                    </w:rPr>
                  </w:pPr>
                  <w:r>
                    <w:rPr>
                      <w:rFonts w:hint="eastAsia"/>
                      <w:bCs/>
                      <w:color w:val="auto"/>
                      <w:sz w:val="18"/>
                      <w:szCs w:val="21"/>
                    </w:rPr>
                    <w:t>（2）大气环境风险防控。禁止区：基地边界1公里以内范围设为禁止区，禁止与基地生产及安全检查无关的人员进入，严禁规划建设环境敏感目标，现有居住区逐步进行搬迁。限制区：基地边界外l公里一5公里以内范围设置限制区。限制区内控制居住人口规模，节能环保科技园工业邻里中心规划人口应控制在0.3万人以内，禁止新建集中居住区、医院等环境敏感区。防范区：基地边界外5公里一10公里以内范围设置防范区。防范区内应控制居住人口规模，结合《连云港市城市总体规划（2015-2030）》，除规划的张圩工业邻里中心及云湖工业邻里中心外，防范区内禁止其它新建大型集中居住区等人口密集的项目，张圩工业邻里中心及云湖工业邻里中心规划居住人口不得超过2万人。</w:t>
                  </w:r>
                </w:p>
              </w:tc>
              <w:tc>
                <w:tcPr>
                  <w:tcW w:w="1482" w:type="pct"/>
                  <w:vAlign w:val="center"/>
                </w:tcPr>
                <w:p w14:paraId="48385FC9">
                  <w:pPr>
                    <w:adjustRightInd w:val="0"/>
                    <w:snapToGrid w:val="0"/>
                    <w:jc w:val="left"/>
                    <w:rPr>
                      <w:bCs/>
                      <w:color w:val="auto"/>
                      <w:sz w:val="18"/>
                      <w:szCs w:val="21"/>
                    </w:rPr>
                  </w:pPr>
                  <w:r>
                    <w:rPr>
                      <w:rFonts w:hint="eastAsia"/>
                      <w:bCs/>
                      <w:color w:val="auto"/>
                      <w:sz w:val="18"/>
                      <w:szCs w:val="21"/>
                    </w:rPr>
                    <w:t>本项目位于连云港石化产业基地瑞兆科公司现有厂区内</w:t>
                  </w:r>
                  <w:r>
                    <w:rPr>
                      <w:bCs/>
                      <w:color w:val="auto"/>
                      <w:sz w:val="18"/>
                      <w:szCs w:val="21"/>
                    </w:rPr>
                    <w:t>，</w:t>
                  </w:r>
                  <w:r>
                    <w:rPr>
                      <w:rFonts w:hint="eastAsia"/>
                      <w:bCs/>
                      <w:color w:val="auto"/>
                      <w:sz w:val="18"/>
                      <w:szCs w:val="21"/>
                    </w:rPr>
                    <w:t>项目周边1公里范围内无学校、医院、居民住宅等环境敏感目标。</w:t>
                  </w:r>
                </w:p>
              </w:tc>
              <w:tc>
                <w:tcPr>
                  <w:tcW w:w="409" w:type="pct"/>
                  <w:vAlign w:val="center"/>
                </w:tcPr>
                <w:p w14:paraId="65053540">
                  <w:pPr>
                    <w:adjustRightInd w:val="0"/>
                    <w:snapToGrid w:val="0"/>
                    <w:jc w:val="center"/>
                    <w:rPr>
                      <w:bCs/>
                      <w:color w:val="auto"/>
                      <w:sz w:val="18"/>
                      <w:szCs w:val="21"/>
                    </w:rPr>
                  </w:pPr>
                  <w:r>
                    <w:rPr>
                      <w:bCs/>
                      <w:color w:val="auto"/>
                      <w:sz w:val="18"/>
                      <w:szCs w:val="21"/>
                    </w:rPr>
                    <w:t>符合</w:t>
                  </w:r>
                </w:p>
              </w:tc>
            </w:tr>
            <w:tr w14:paraId="2760668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93" w:type="pct"/>
                  <w:vMerge w:val="continue"/>
                  <w:vAlign w:val="center"/>
                </w:tcPr>
                <w:p w14:paraId="7F76D16D">
                  <w:pPr>
                    <w:adjustRightInd w:val="0"/>
                    <w:snapToGrid w:val="0"/>
                    <w:jc w:val="center"/>
                    <w:rPr>
                      <w:bCs/>
                      <w:color w:val="auto"/>
                      <w:sz w:val="18"/>
                      <w:szCs w:val="21"/>
                    </w:rPr>
                  </w:pPr>
                </w:p>
              </w:tc>
              <w:tc>
                <w:tcPr>
                  <w:tcW w:w="330" w:type="pct"/>
                  <w:vMerge w:val="continue"/>
                  <w:vAlign w:val="center"/>
                </w:tcPr>
                <w:p w14:paraId="5A66A9D6">
                  <w:pPr>
                    <w:adjustRightInd w:val="0"/>
                    <w:snapToGrid w:val="0"/>
                    <w:jc w:val="center"/>
                    <w:rPr>
                      <w:bCs/>
                      <w:color w:val="auto"/>
                      <w:sz w:val="18"/>
                      <w:szCs w:val="21"/>
                    </w:rPr>
                  </w:pPr>
                </w:p>
              </w:tc>
              <w:tc>
                <w:tcPr>
                  <w:tcW w:w="2586" w:type="pct"/>
                  <w:vAlign w:val="center"/>
                </w:tcPr>
                <w:p w14:paraId="5315C511">
                  <w:pPr>
                    <w:adjustRightInd w:val="0"/>
                    <w:snapToGrid w:val="0"/>
                    <w:rPr>
                      <w:bCs/>
                      <w:color w:val="auto"/>
                      <w:sz w:val="18"/>
                      <w:szCs w:val="21"/>
                    </w:rPr>
                  </w:pPr>
                  <w:r>
                    <w:rPr>
                      <w:rFonts w:hint="eastAsia"/>
                      <w:bCs/>
                      <w:color w:val="auto"/>
                      <w:sz w:val="18"/>
                      <w:szCs w:val="21"/>
                    </w:rPr>
                    <w:t>（3）水环境风险防控。中心河、驳盐河和西港河与石化产业基地范围线交界处，新建3座节制闸，由东向西分别为新1#节制闸（徐圩湖闸）、2#节制闸（驳盐支河闸）和3#节制闸（西港河闸）。已建中心河闸变为基地内部闸，3#节制闸（西港河）与防洪排涝规划中的西港河引水闸结合，同步实施。保留已建的西港河临时节制闸和复堆河临时截污闸。陬山湖节制闸3座，分别为陬山湖l#-3#节制闸，以防止发生事故时，污染物进入湖内。调整后的规划范围北起疏港大道南侧生态绿带、南至驳盐支河及南复堆河北岸、东邻复堆河西岸、西至西安略和德邦厂区西边界，规划面积61.34平方公里；由于纳潮河在北侧范围线外约400m，因此纳潮河不属于基地内部河道，考虑在基地北侧区域采取边界控制措施，猹体地坪坡向南侧，并在北侧范围线处设置挡水墙，防止事故水污染纳潮河。共设置3座公共应急事故池，以满足连云港石化产业基地内企业事故应急所需。1#公共应急事故池位于新复堆河北段，有效容积为7万立方米；2#公共应急事故池位于新复堆河南段，有效容积为6万立方米；3#公共应急事故池位于中心河北段，有效容积为10万立方米。应急事故池均配套两侧挡水闸、排空泵站及转输泵站，当园区内企业发生超出其自身防控能力的事故时启动。基地工程自动化控制系统。基地水位监测站l座。南侧外围口门建筑物封堵。</w:t>
                  </w:r>
                </w:p>
              </w:tc>
              <w:tc>
                <w:tcPr>
                  <w:tcW w:w="1482" w:type="pct"/>
                  <w:vAlign w:val="center"/>
                </w:tcPr>
                <w:p w14:paraId="7ACB90D5">
                  <w:pPr>
                    <w:widowControl/>
                    <w:adjustRightInd w:val="0"/>
                    <w:snapToGrid w:val="0"/>
                    <w:jc w:val="left"/>
                    <w:rPr>
                      <w:rFonts w:hint="eastAsia"/>
                      <w:color w:val="auto"/>
                      <w:kern w:val="0"/>
                      <w:sz w:val="18"/>
                      <w:szCs w:val="18"/>
                    </w:rPr>
                  </w:pPr>
                  <w:r>
                    <w:rPr>
                      <w:rFonts w:hint="eastAsia"/>
                      <w:color w:val="auto"/>
                      <w:kern w:val="0"/>
                      <w:sz w:val="18"/>
                      <w:szCs w:val="18"/>
                    </w:rPr>
                    <w:t>本项目所在厂区建立了事故废水环境风险防范，</w:t>
                  </w:r>
                  <w:r>
                    <w:rPr>
                      <w:color w:val="auto"/>
                      <w:kern w:val="0"/>
                      <w:sz w:val="18"/>
                      <w:szCs w:val="18"/>
                    </w:rPr>
                    <w:t>制定</w:t>
                  </w:r>
                  <w:r>
                    <w:rPr>
                      <w:rFonts w:hint="eastAsia"/>
                      <w:color w:val="auto"/>
                      <w:kern w:val="0"/>
                      <w:sz w:val="18"/>
                      <w:szCs w:val="18"/>
                    </w:rPr>
                    <w:t>了水环境</w:t>
                  </w:r>
                  <w:r>
                    <w:rPr>
                      <w:color w:val="auto"/>
                      <w:kern w:val="0"/>
                      <w:sz w:val="18"/>
                      <w:szCs w:val="18"/>
                    </w:rPr>
                    <w:t>风险防范措施和应急预案，设置事故罐（池）、配备事故应急设施设备及物资等</w:t>
                  </w:r>
                  <w:r>
                    <w:rPr>
                      <w:rFonts w:hint="eastAsia"/>
                      <w:color w:val="auto"/>
                      <w:kern w:val="0"/>
                      <w:sz w:val="18"/>
                      <w:szCs w:val="18"/>
                    </w:rPr>
                    <w:t>，并纳入了园区环境风险防控体系，在严格落实项目提出的水环境风险防控措施的前提下，本项目的水环境风险可防控。</w:t>
                  </w:r>
                </w:p>
                <w:p w14:paraId="0293C1A8">
                  <w:pPr>
                    <w:widowControl/>
                    <w:adjustRightInd w:val="0"/>
                    <w:snapToGrid w:val="0"/>
                    <w:jc w:val="left"/>
                    <w:rPr>
                      <w:rFonts w:hint="eastAsia"/>
                      <w:color w:val="auto"/>
                      <w:kern w:val="0"/>
                      <w:sz w:val="18"/>
                      <w:szCs w:val="18"/>
                    </w:rPr>
                  </w:pPr>
                  <w:r>
                    <w:rPr>
                      <w:rFonts w:hint="eastAsia"/>
                      <w:bCs/>
                      <w:color w:val="auto"/>
                      <w:sz w:val="18"/>
                      <w:szCs w:val="21"/>
                    </w:rPr>
                    <w:t>本次评价要求本项目建成后及时修编企业突发环境事件风险评估、应急预案。</w:t>
                  </w:r>
                </w:p>
              </w:tc>
              <w:tc>
                <w:tcPr>
                  <w:tcW w:w="409" w:type="pct"/>
                  <w:vAlign w:val="center"/>
                </w:tcPr>
                <w:p w14:paraId="57F7C1C5">
                  <w:pPr>
                    <w:adjustRightInd w:val="0"/>
                    <w:snapToGrid w:val="0"/>
                    <w:jc w:val="center"/>
                    <w:rPr>
                      <w:bCs/>
                      <w:color w:val="auto"/>
                      <w:sz w:val="18"/>
                      <w:szCs w:val="21"/>
                    </w:rPr>
                  </w:pPr>
                  <w:r>
                    <w:rPr>
                      <w:bCs/>
                      <w:color w:val="auto"/>
                      <w:sz w:val="18"/>
                      <w:szCs w:val="21"/>
                    </w:rPr>
                    <w:t>符合</w:t>
                  </w:r>
                </w:p>
              </w:tc>
            </w:tr>
            <w:tr w14:paraId="3BA8D82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193" w:type="pct"/>
                  <w:vAlign w:val="center"/>
                </w:tcPr>
                <w:p w14:paraId="6695BB20">
                  <w:pPr>
                    <w:adjustRightInd w:val="0"/>
                    <w:snapToGrid w:val="0"/>
                    <w:jc w:val="center"/>
                    <w:rPr>
                      <w:bCs/>
                      <w:color w:val="auto"/>
                      <w:sz w:val="18"/>
                      <w:szCs w:val="21"/>
                    </w:rPr>
                  </w:pPr>
                  <w:r>
                    <w:rPr>
                      <w:rFonts w:hint="eastAsia"/>
                      <w:bCs/>
                      <w:color w:val="auto"/>
                      <w:sz w:val="18"/>
                      <w:szCs w:val="21"/>
                    </w:rPr>
                    <w:t>4</w:t>
                  </w:r>
                </w:p>
              </w:tc>
              <w:tc>
                <w:tcPr>
                  <w:tcW w:w="330" w:type="pct"/>
                  <w:vAlign w:val="center"/>
                </w:tcPr>
                <w:p w14:paraId="568773F7">
                  <w:pPr>
                    <w:adjustRightInd w:val="0"/>
                    <w:snapToGrid w:val="0"/>
                    <w:jc w:val="center"/>
                    <w:rPr>
                      <w:bCs/>
                      <w:color w:val="auto"/>
                      <w:sz w:val="18"/>
                      <w:szCs w:val="21"/>
                    </w:rPr>
                  </w:pPr>
                  <w:r>
                    <w:rPr>
                      <w:rFonts w:hint="eastAsia"/>
                      <w:bCs/>
                      <w:color w:val="auto"/>
                      <w:sz w:val="18"/>
                      <w:szCs w:val="21"/>
                    </w:rPr>
                    <w:t>资源开发效率</w:t>
                  </w:r>
                </w:p>
                <w:p w14:paraId="43F57D30">
                  <w:pPr>
                    <w:adjustRightInd w:val="0"/>
                    <w:snapToGrid w:val="0"/>
                    <w:jc w:val="center"/>
                    <w:rPr>
                      <w:bCs/>
                      <w:color w:val="auto"/>
                      <w:sz w:val="18"/>
                      <w:szCs w:val="21"/>
                    </w:rPr>
                  </w:pPr>
                  <w:r>
                    <w:rPr>
                      <w:rFonts w:hint="eastAsia"/>
                      <w:bCs/>
                      <w:color w:val="auto"/>
                      <w:sz w:val="18"/>
                      <w:szCs w:val="21"/>
                    </w:rPr>
                    <w:t>要求</w:t>
                  </w:r>
                </w:p>
              </w:tc>
              <w:tc>
                <w:tcPr>
                  <w:tcW w:w="2586" w:type="pct"/>
                  <w:vAlign w:val="center"/>
                </w:tcPr>
                <w:p w14:paraId="3EB9CC0B">
                  <w:pPr>
                    <w:adjustRightInd w:val="0"/>
                    <w:snapToGrid w:val="0"/>
                    <w:rPr>
                      <w:bCs/>
                      <w:color w:val="auto"/>
                      <w:sz w:val="18"/>
                      <w:szCs w:val="21"/>
                    </w:rPr>
                  </w:pPr>
                  <w:r>
                    <w:rPr>
                      <w:rFonts w:hint="eastAsia"/>
                      <w:bCs/>
                      <w:color w:val="auto"/>
                      <w:sz w:val="18"/>
                      <w:szCs w:val="21"/>
                    </w:rPr>
                    <w:t>（1）本轮规划范围总土地面积为61.34平方公里，其中建设用地规模需严格控制在5713.48公顷，不得突破该规模。根据园区资源承载力管控指标要求，单位工业用地工业增加值≥5000万元/公顷。</w:t>
                  </w:r>
                </w:p>
                <w:p w14:paraId="1A3C01E1">
                  <w:pPr>
                    <w:adjustRightInd w:val="0"/>
                    <w:snapToGrid w:val="0"/>
                    <w:rPr>
                      <w:bCs/>
                      <w:color w:val="auto"/>
                      <w:sz w:val="18"/>
                      <w:szCs w:val="21"/>
                    </w:rPr>
                  </w:pPr>
                  <w:r>
                    <w:rPr>
                      <w:rFonts w:hint="eastAsia"/>
                      <w:bCs/>
                      <w:color w:val="auto"/>
                      <w:sz w:val="18"/>
                      <w:szCs w:val="21"/>
                    </w:rPr>
                    <w:t>（2）单位工业增加值新鲜水耗≤12立方米/万元，基地生产污水整体回用率达到70%，生产废水整体回用率达到70%，基地工业用水总量70.4万立方米/日，基地生活用水总量为0.6万立方米/日。</w:t>
                  </w:r>
                </w:p>
                <w:p w14:paraId="76F98901">
                  <w:pPr>
                    <w:adjustRightInd w:val="0"/>
                    <w:snapToGrid w:val="0"/>
                    <w:rPr>
                      <w:bCs/>
                      <w:color w:val="auto"/>
                      <w:sz w:val="18"/>
                      <w:szCs w:val="21"/>
                    </w:rPr>
                  </w:pPr>
                  <w:r>
                    <w:rPr>
                      <w:rFonts w:hint="eastAsia"/>
                      <w:bCs/>
                      <w:color w:val="auto"/>
                      <w:sz w:val="18"/>
                      <w:szCs w:val="21"/>
                    </w:rPr>
                    <w:t>（3）单位工业增加值综合能耗≤2吨标煤/万元。</w:t>
                  </w:r>
                </w:p>
                <w:p w14:paraId="6DD4560E">
                  <w:pPr>
                    <w:adjustRightInd w:val="0"/>
                    <w:snapToGrid w:val="0"/>
                    <w:rPr>
                      <w:bCs/>
                      <w:color w:val="auto"/>
                      <w:sz w:val="18"/>
                      <w:szCs w:val="21"/>
                    </w:rPr>
                  </w:pPr>
                  <w:r>
                    <w:rPr>
                      <w:rFonts w:hint="eastAsia"/>
                      <w:bCs/>
                      <w:color w:val="auto"/>
                      <w:sz w:val="18"/>
                      <w:szCs w:val="21"/>
                    </w:rPr>
                    <w:t>（4）石化行业炼油装置单位能量因数能耗≤7.0</w:t>
                  </w:r>
                  <w:r>
                    <w:rPr>
                      <w:rFonts w:hint="eastAsia"/>
                      <w:bCs/>
                      <w:color w:val="auto"/>
                      <w:sz w:val="18"/>
                      <w:szCs w:val="21"/>
                      <w:lang w:eastAsia="zh-CN"/>
                    </w:rPr>
                    <w:t>千克</w:t>
                  </w:r>
                  <w:r>
                    <w:rPr>
                      <w:rFonts w:hint="eastAsia"/>
                      <w:bCs/>
                      <w:color w:val="auto"/>
                      <w:sz w:val="18"/>
                      <w:szCs w:val="21"/>
                    </w:rPr>
                    <w:t>标准油/吨·因数，乙烯装置单位产品综合能耗≤720</w:t>
                  </w:r>
                  <w:r>
                    <w:rPr>
                      <w:rFonts w:hint="eastAsia"/>
                      <w:bCs/>
                      <w:color w:val="auto"/>
                      <w:sz w:val="18"/>
                      <w:szCs w:val="21"/>
                      <w:lang w:eastAsia="zh-CN"/>
                    </w:rPr>
                    <w:t>千克</w:t>
                  </w:r>
                  <w:r>
                    <w:rPr>
                      <w:rFonts w:hint="eastAsia"/>
                      <w:bCs/>
                      <w:color w:val="auto"/>
                      <w:sz w:val="18"/>
                      <w:szCs w:val="21"/>
                    </w:rPr>
                    <w:t>标油/吨：石油炼制装置水耗≤0.5立方米/吨；乙烯装置水耗≤8立方米/吨。</w:t>
                  </w:r>
                </w:p>
                <w:p w14:paraId="1DF8ABFA">
                  <w:pPr>
                    <w:adjustRightInd w:val="0"/>
                    <w:snapToGrid w:val="0"/>
                    <w:rPr>
                      <w:bCs/>
                      <w:color w:val="auto"/>
                      <w:sz w:val="18"/>
                      <w:szCs w:val="21"/>
                    </w:rPr>
                  </w:pPr>
                  <w:r>
                    <w:rPr>
                      <w:rFonts w:hint="eastAsia"/>
                      <w:bCs/>
                      <w:color w:val="auto"/>
                      <w:sz w:val="18"/>
                      <w:szCs w:val="21"/>
                    </w:rPr>
                    <w:t>（5）火电行业能效≤300克标准煤/千瓦时。</w:t>
                  </w:r>
                </w:p>
                <w:p w14:paraId="7AAC6A95">
                  <w:pPr>
                    <w:adjustRightInd w:val="0"/>
                    <w:snapToGrid w:val="0"/>
                    <w:rPr>
                      <w:bCs/>
                      <w:color w:val="auto"/>
                      <w:sz w:val="18"/>
                      <w:szCs w:val="21"/>
                    </w:rPr>
                  </w:pPr>
                  <w:r>
                    <w:rPr>
                      <w:rFonts w:hint="eastAsia"/>
                      <w:bCs/>
                      <w:color w:val="auto"/>
                      <w:sz w:val="18"/>
                      <w:szCs w:val="21"/>
                    </w:rPr>
                    <w:t>（6）严格入区重点项目的水资源论证，规范取水许可管理。</w:t>
                  </w:r>
                </w:p>
                <w:p w14:paraId="117BFE3D">
                  <w:pPr>
                    <w:adjustRightInd w:val="0"/>
                    <w:snapToGrid w:val="0"/>
                    <w:rPr>
                      <w:bCs/>
                      <w:color w:val="auto"/>
                      <w:sz w:val="18"/>
                      <w:szCs w:val="21"/>
                    </w:rPr>
                  </w:pPr>
                  <w:r>
                    <w:rPr>
                      <w:rFonts w:hint="eastAsia"/>
                      <w:bCs/>
                      <w:color w:val="auto"/>
                      <w:sz w:val="18"/>
                      <w:szCs w:val="21"/>
                    </w:rPr>
                    <w:t>（7）区内企业禁止配套新建自备燃煤锅炉，推行天然气、电力及可再生能源等清洁能源。</w:t>
                  </w:r>
                </w:p>
              </w:tc>
              <w:tc>
                <w:tcPr>
                  <w:tcW w:w="1482" w:type="pct"/>
                  <w:vAlign w:val="center"/>
                </w:tcPr>
                <w:p w14:paraId="6286E071">
                  <w:pPr>
                    <w:adjustRightInd w:val="0"/>
                    <w:snapToGrid w:val="0"/>
                    <w:jc w:val="left"/>
                    <w:rPr>
                      <w:bCs/>
                      <w:color w:val="auto"/>
                      <w:sz w:val="18"/>
                      <w:szCs w:val="21"/>
                    </w:rPr>
                  </w:pPr>
                  <w:r>
                    <w:rPr>
                      <w:rFonts w:hint="eastAsia"/>
                      <w:bCs/>
                      <w:color w:val="auto"/>
                      <w:sz w:val="18"/>
                      <w:szCs w:val="21"/>
                    </w:rPr>
                    <w:t>本项目位于连云港石化产业基地瑞兆科公司现有厂区内，项目为品控洁净实验室改建项目，不新增占地面积，本项目水、电依托园区进行集中供给，均在区域的资源供给容量内</w:t>
                  </w:r>
                  <w:r>
                    <w:rPr>
                      <w:bCs/>
                      <w:color w:val="auto"/>
                      <w:sz w:val="18"/>
                      <w:szCs w:val="21"/>
                    </w:rPr>
                    <w:t>。</w:t>
                  </w:r>
                </w:p>
              </w:tc>
              <w:tc>
                <w:tcPr>
                  <w:tcW w:w="409" w:type="pct"/>
                  <w:vAlign w:val="center"/>
                </w:tcPr>
                <w:p w14:paraId="2A7AF963">
                  <w:pPr>
                    <w:adjustRightInd w:val="0"/>
                    <w:snapToGrid w:val="0"/>
                    <w:jc w:val="center"/>
                    <w:rPr>
                      <w:bCs/>
                      <w:color w:val="auto"/>
                      <w:sz w:val="18"/>
                      <w:szCs w:val="21"/>
                    </w:rPr>
                  </w:pPr>
                  <w:r>
                    <w:rPr>
                      <w:bCs/>
                      <w:color w:val="auto"/>
                      <w:sz w:val="18"/>
                      <w:szCs w:val="21"/>
                    </w:rPr>
                    <w:t>符合</w:t>
                  </w:r>
                </w:p>
              </w:tc>
            </w:tr>
          </w:tbl>
          <w:p w14:paraId="789FA4F2">
            <w:pPr>
              <w:autoSpaceDE w:val="0"/>
              <w:autoSpaceDN w:val="0"/>
              <w:adjustRightInd w:val="0"/>
              <w:snapToGrid w:val="0"/>
              <w:spacing w:line="500" w:lineRule="exact"/>
              <w:ind w:firstLine="420" w:firstLineChars="200"/>
              <w:rPr>
                <w:bCs/>
                <w:color w:val="auto"/>
                <w:kern w:val="0"/>
                <w:szCs w:val="21"/>
              </w:rPr>
            </w:pPr>
            <w:r>
              <w:rPr>
                <w:rFonts w:hint="eastAsia"/>
                <w:bCs/>
                <w:color w:val="auto"/>
                <w:kern w:val="0"/>
                <w:szCs w:val="21"/>
              </w:rPr>
              <w:t>综上，本项目建设与《江苏省2023年度生态环境分区管控动态更新成果》、《连云港市2026年度生态环境分区管控动态更新成果公告》管控要求相符。</w:t>
            </w:r>
          </w:p>
          <w:p w14:paraId="5338CB04">
            <w:pPr>
              <w:autoSpaceDE w:val="0"/>
              <w:autoSpaceDN w:val="0"/>
              <w:adjustRightInd w:val="0"/>
              <w:snapToGrid w:val="0"/>
              <w:spacing w:line="500" w:lineRule="exact"/>
              <w:ind w:firstLine="422" w:firstLineChars="200"/>
              <w:jc w:val="left"/>
              <w:rPr>
                <w:rFonts w:ascii="宋体" w:hAnsi="宋体" w:cs="宋体"/>
                <w:b/>
                <w:color w:val="auto"/>
                <w:kern w:val="0"/>
                <w:szCs w:val="21"/>
              </w:rPr>
            </w:pPr>
            <w:r>
              <w:rPr>
                <w:rFonts w:hint="eastAsia" w:ascii="宋体" w:hAnsi="宋体" w:cs="宋体"/>
                <w:b/>
                <w:color w:val="auto"/>
                <w:kern w:val="0"/>
                <w:szCs w:val="21"/>
              </w:rPr>
              <w:t>（1）</w:t>
            </w:r>
            <w:r>
              <w:rPr>
                <w:rFonts w:hint="eastAsia"/>
                <w:b/>
                <w:color w:val="auto"/>
                <w:kern w:val="0"/>
                <w:szCs w:val="21"/>
              </w:rPr>
              <w:t>与江苏省生态红线区域保护规划的相符性</w:t>
            </w:r>
          </w:p>
          <w:p w14:paraId="7DE09708">
            <w:pPr>
              <w:autoSpaceDE w:val="0"/>
              <w:autoSpaceDN w:val="0"/>
              <w:adjustRightInd w:val="0"/>
              <w:snapToGrid w:val="0"/>
              <w:spacing w:line="500" w:lineRule="exact"/>
              <w:ind w:firstLine="420" w:firstLineChars="200"/>
              <w:jc w:val="left"/>
              <w:rPr>
                <w:bCs/>
                <w:color w:val="auto"/>
                <w:kern w:val="0"/>
                <w:szCs w:val="21"/>
              </w:rPr>
            </w:pPr>
            <w:r>
              <w:rPr>
                <w:rFonts w:hint="eastAsia"/>
                <w:bCs/>
                <w:color w:val="auto"/>
                <w:kern w:val="0"/>
                <w:szCs w:val="21"/>
              </w:rPr>
              <w:t>对照《江苏省国家级生态保护红线规划》，本项目不在江苏省国家级生态保护红线范围内，距离项目最近的江苏省国家级生态保护红线为徐圩新区集中式饮用水源保护区，位于本项目西南侧，与项目所在厂区最近距离约9.54km，与《江苏省国家级生态保护红线规划》相符。</w:t>
            </w:r>
          </w:p>
          <w:p w14:paraId="3CB7EC9A">
            <w:pPr>
              <w:autoSpaceDE w:val="0"/>
              <w:autoSpaceDN w:val="0"/>
              <w:adjustRightInd w:val="0"/>
              <w:snapToGrid w:val="0"/>
              <w:spacing w:line="500" w:lineRule="exact"/>
              <w:ind w:firstLine="420" w:firstLineChars="200"/>
              <w:jc w:val="left"/>
              <w:rPr>
                <w:bCs/>
                <w:color w:val="auto"/>
                <w:kern w:val="0"/>
                <w:szCs w:val="21"/>
              </w:rPr>
            </w:pPr>
            <w:r>
              <w:rPr>
                <w:rFonts w:hint="eastAsia"/>
                <w:bCs/>
                <w:color w:val="auto"/>
                <w:kern w:val="0"/>
                <w:szCs w:val="21"/>
              </w:rPr>
              <w:t>本项目所在地不在《江苏省生态空间管控区域规划》、《连云港市生态环境管理底图》（连政办发〔2017〕188号）划定的管控区内，距离最近的生态空间管控区域为古泊善后河（连云港市区）清水通道维护区，位于本项目西南侧，与项目所在厂区最近距离约9.25km。本项目不会导致辖区内生态红线区域生态服务功能下降。因此，本项目的建设与《江苏省生态空间管控区域规划》、《连云港市生态环境管理底图》以及《省政府办公厅关于印发江苏省生态空间管控区域管理办法的通知》（苏政办规〔2026〕1号）要求符合。</w:t>
            </w:r>
          </w:p>
          <w:p w14:paraId="2BE1921F">
            <w:pPr>
              <w:autoSpaceDE w:val="0"/>
              <w:autoSpaceDN w:val="0"/>
              <w:adjustRightInd w:val="0"/>
              <w:snapToGrid w:val="0"/>
              <w:spacing w:line="500" w:lineRule="exact"/>
              <w:ind w:firstLine="422" w:firstLineChars="200"/>
              <w:jc w:val="left"/>
              <w:rPr>
                <w:rFonts w:ascii="宋体" w:hAnsi="宋体" w:cs="宋体"/>
                <w:b/>
                <w:color w:val="auto"/>
                <w:kern w:val="0"/>
                <w:szCs w:val="21"/>
              </w:rPr>
            </w:pPr>
            <w:r>
              <w:rPr>
                <w:rFonts w:hint="eastAsia" w:ascii="宋体" w:hAnsi="宋体" w:cs="宋体"/>
                <w:b/>
                <w:color w:val="auto"/>
                <w:kern w:val="0"/>
                <w:szCs w:val="21"/>
              </w:rPr>
              <w:t>（</w:t>
            </w:r>
            <w:r>
              <w:rPr>
                <w:rFonts w:ascii="宋体" w:hAnsi="宋体" w:cs="宋体"/>
                <w:b/>
                <w:color w:val="auto"/>
                <w:kern w:val="0"/>
                <w:szCs w:val="21"/>
              </w:rPr>
              <w:t>2</w:t>
            </w:r>
            <w:r>
              <w:rPr>
                <w:rFonts w:hint="eastAsia" w:ascii="宋体" w:hAnsi="宋体" w:cs="宋体"/>
                <w:b/>
                <w:color w:val="auto"/>
                <w:kern w:val="0"/>
                <w:szCs w:val="21"/>
              </w:rPr>
              <w:t>）</w:t>
            </w:r>
            <w:r>
              <w:rPr>
                <w:rFonts w:hint="eastAsia"/>
                <w:b/>
                <w:color w:val="auto"/>
                <w:kern w:val="0"/>
                <w:szCs w:val="21"/>
              </w:rPr>
              <w:t>与环境质量底线相符性</w:t>
            </w:r>
          </w:p>
          <w:p w14:paraId="750E648E">
            <w:pPr>
              <w:autoSpaceDE w:val="0"/>
              <w:autoSpaceDN w:val="0"/>
              <w:adjustRightInd w:val="0"/>
              <w:snapToGrid w:val="0"/>
              <w:spacing w:line="500" w:lineRule="exact"/>
              <w:ind w:firstLine="420" w:firstLineChars="200"/>
              <w:jc w:val="left"/>
              <w:rPr>
                <w:bCs/>
                <w:color w:val="auto"/>
                <w:kern w:val="0"/>
                <w:szCs w:val="21"/>
              </w:rPr>
            </w:pPr>
            <w:r>
              <w:rPr>
                <w:rFonts w:hint="eastAsia"/>
                <w:bCs/>
                <w:color w:val="auto"/>
                <w:kern w:val="0"/>
                <w:szCs w:val="21"/>
              </w:rPr>
              <w:t>环境空气：根据《连云港市生态环境状况公报》（2025年），2025年连云港市环境空气二氧化硫、二氧化氮、可吸入颗粒物、细颗粒物、一氧化碳、臭氧浓度符合《环境空气质量标准》（GB 3095—2026）过渡阶段二级标准限值，故判定本项目所在连云港市区域为环境空气达标区。</w:t>
            </w:r>
          </w:p>
          <w:p w14:paraId="50BFF90E">
            <w:pPr>
              <w:autoSpaceDE w:val="0"/>
              <w:autoSpaceDN w:val="0"/>
              <w:adjustRightInd w:val="0"/>
              <w:snapToGrid w:val="0"/>
              <w:spacing w:line="500" w:lineRule="exact"/>
              <w:ind w:firstLine="420" w:firstLineChars="200"/>
              <w:jc w:val="left"/>
              <w:rPr>
                <w:bCs/>
                <w:color w:val="auto"/>
                <w:kern w:val="0"/>
                <w:szCs w:val="21"/>
              </w:rPr>
            </w:pPr>
            <w:r>
              <w:rPr>
                <w:rFonts w:hint="eastAsia"/>
                <w:bCs/>
                <w:color w:val="auto"/>
                <w:kern w:val="0"/>
                <w:szCs w:val="21"/>
              </w:rPr>
              <w:t>海水环境：根据《2025年度连云港市生态环境状况公报》，2025 年，连云港市近岸海域水质状况总体为优。全市入海河流水质总体为优，无劣 V 类水质断面。连岛和苏马湾海水浴场水质状况总体为优良，与 2024 年相比，海水浴场水质等级为“优”的比例有所上升，“差”的比例有所下降。本项目引用国家海洋环境监测中心海水水质监测信息公开系统2025年的监测数据。与连云港石化基地最近的监测点位为埒子河海面JSH07010及其对照监测点JSH07004，相关区域海域春季和夏季水质总体为优良，监测点位处海水满足《海水水质标准》（GB3097-1997）第二类水质标准；秋季水质监测结果中，活性磷酸盐和无机氮高于二类标准值，其余因子符合第二类水质标准。</w:t>
            </w:r>
          </w:p>
          <w:p w14:paraId="45135C0F">
            <w:pPr>
              <w:autoSpaceDE w:val="0"/>
              <w:autoSpaceDN w:val="0"/>
              <w:adjustRightInd w:val="0"/>
              <w:snapToGrid w:val="0"/>
              <w:spacing w:line="500" w:lineRule="exact"/>
              <w:ind w:firstLine="420" w:firstLineChars="200"/>
              <w:jc w:val="left"/>
              <w:rPr>
                <w:bCs/>
                <w:color w:val="auto"/>
                <w:kern w:val="0"/>
                <w:szCs w:val="21"/>
              </w:rPr>
            </w:pPr>
            <w:r>
              <w:rPr>
                <w:rFonts w:hint="eastAsia"/>
                <w:bCs/>
                <w:color w:val="auto"/>
                <w:kern w:val="0"/>
                <w:szCs w:val="21"/>
              </w:rPr>
              <w:t>地表水环境：根据《2025年度连云港市生态环境状况公报》，2025 年，连云港市地表水国省考断面优Ⅲ比连续3年达到优级水平。22 个地表水国考断面达到或好于Ⅲ类断面比例为95.5%，Ⅳ类水质断面比例为 4.5%，无Ⅴ类及劣Ⅴ类水质断面。45 个省考断面（包括 22 个国考断面）达到或优于Ⅲ类水质断面的比例为 95.6%，Ⅳ类水质断面的比例为4.4%，未出现劣Ⅴ类水质断面。县级以上集中式饮用水水源水质达到或好于Ⅲ类比率为100%。</w:t>
            </w:r>
          </w:p>
          <w:p w14:paraId="5FD6F226">
            <w:pPr>
              <w:autoSpaceDE w:val="0"/>
              <w:autoSpaceDN w:val="0"/>
              <w:adjustRightInd w:val="0"/>
              <w:snapToGrid w:val="0"/>
              <w:spacing w:line="500" w:lineRule="exact"/>
              <w:ind w:firstLine="420" w:firstLineChars="200"/>
              <w:jc w:val="left"/>
              <w:rPr>
                <w:bCs/>
                <w:color w:val="auto"/>
                <w:kern w:val="0"/>
                <w:szCs w:val="21"/>
              </w:rPr>
            </w:pPr>
            <w:r>
              <w:rPr>
                <w:rFonts w:hint="eastAsia"/>
                <w:bCs/>
                <w:color w:val="auto"/>
                <w:kern w:val="0"/>
                <w:szCs w:val="21"/>
              </w:rPr>
              <w:t>声环境：项目所在地昼夜声环境质量均满足《声环境质量标准》（GB3096-2008）中3类标准要求。</w:t>
            </w:r>
          </w:p>
          <w:p w14:paraId="74D88DFE">
            <w:pPr>
              <w:autoSpaceDE w:val="0"/>
              <w:autoSpaceDN w:val="0"/>
              <w:adjustRightInd w:val="0"/>
              <w:snapToGrid w:val="0"/>
              <w:spacing w:line="500" w:lineRule="exact"/>
              <w:ind w:firstLine="420" w:firstLineChars="200"/>
              <w:jc w:val="left"/>
              <w:rPr>
                <w:bCs/>
                <w:color w:val="auto"/>
                <w:kern w:val="0"/>
                <w:szCs w:val="21"/>
              </w:rPr>
            </w:pPr>
            <w:r>
              <w:rPr>
                <w:rFonts w:hint="eastAsia"/>
                <w:bCs/>
                <w:color w:val="auto"/>
                <w:kern w:val="0"/>
                <w:szCs w:val="21"/>
              </w:rPr>
              <w:t>本项目新增少量废气排放，新增的少量废水达标接管污水厂，废气、废水均进行收集、妥善处理，在达标的基础上选用处理效率和可靠性高的处理工艺，尽可能减少污染物的排放。项目严格落实污染物排放总量控制制度。预测结果显示本项目的建设不会对区域环境空气和地表水环境质量造成显著不利影响。</w:t>
            </w:r>
          </w:p>
          <w:p w14:paraId="0A2909F8">
            <w:pPr>
              <w:autoSpaceDE w:val="0"/>
              <w:autoSpaceDN w:val="0"/>
              <w:adjustRightInd w:val="0"/>
              <w:snapToGrid w:val="0"/>
              <w:spacing w:line="500" w:lineRule="exact"/>
              <w:ind w:firstLine="420" w:firstLineChars="200"/>
              <w:jc w:val="left"/>
              <w:rPr>
                <w:bCs/>
                <w:color w:val="auto"/>
                <w:kern w:val="0"/>
                <w:szCs w:val="21"/>
              </w:rPr>
            </w:pPr>
            <w:r>
              <w:rPr>
                <w:rFonts w:hint="eastAsia"/>
                <w:bCs/>
                <w:color w:val="auto"/>
                <w:kern w:val="0"/>
                <w:szCs w:val="21"/>
              </w:rPr>
              <w:t>本项目所在园区集中污水处理厂纳污水体水环境质量能够满足相应水环境功能区划水质标准要求，土壤各监测因子均可满足《土壤环境质量建设用地土壤污染风险管控标准》（GB 36600-2018）表1中第二类用地筛选值标准要求。此外，项目所在地声环境和地下水环境质量状况良好。</w:t>
            </w:r>
          </w:p>
          <w:p w14:paraId="252E431C">
            <w:pPr>
              <w:autoSpaceDE w:val="0"/>
              <w:autoSpaceDN w:val="0"/>
              <w:adjustRightInd w:val="0"/>
              <w:snapToGrid w:val="0"/>
              <w:spacing w:line="500" w:lineRule="exact"/>
              <w:ind w:firstLine="420" w:firstLineChars="200"/>
              <w:jc w:val="left"/>
              <w:rPr>
                <w:bCs/>
                <w:color w:val="auto"/>
                <w:kern w:val="0"/>
                <w:szCs w:val="21"/>
              </w:rPr>
            </w:pPr>
            <w:r>
              <w:rPr>
                <w:rFonts w:hint="eastAsia"/>
                <w:bCs/>
                <w:color w:val="auto"/>
                <w:kern w:val="0"/>
                <w:szCs w:val="21"/>
              </w:rPr>
              <w:t>总体而言，本项目的建设符合《连云港市环境质量底线管理办法（试行）》（连政办发〔2018〕38号）的要求，不会对项目所在地区域环境造成显著不利影响。</w:t>
            </w:r>
          </w:p>
          <w:p w14:paraId="7E68EFC6">
            <w:pPr>
              <w:autoSpaceDE w:val="0"/>
              <w:autoSpaceDN w:val="0"/>
              <w:adjustRightInd w:val="0"/>
              <w:snapToGrid w:val="0"/>
              <w:spacing w:line="500" w:lineRule="exact"/>
              <w:ind w:firstLine="422" w:firstLineChars="200"/>
              <w:jc w:val="left"/>
              <w:rPr>
                <w:rFonts w:ascii="宋体" w:hAnsi="宋体" w:cs="宋体"/>
                <w:b/>
                <w:color w:val="auto"/>
                <w:kern w:val="0"/>
                <w:szCs w:val="21"/>
              </w:rPr>
            </w:pPr>
            <w:r>
              <w:rPr>
                <w:rFonts w:hint="eastAsia" w:ascii="宋体" w:hAnsi="宋体" w:cs="宋体"/>
                <w:b/>
                <w:color w:val="auto"/>
                <w:kern w:val="0"/>
                <w:szCs w:val="21"/>
              </w:rPr>
              <w:t>（</w:t>
            </w:r>
            <w:r>
              <w:rPr>
                <w:rFonts w:ascii="宋体" w:hAnsi="宋体" w:cs="宋体"/>
                <w:b/>
                <w:color w:val="auto"/>
                <w:kern w:val="0"/>
                <w:szCs w:val="21"/>
              </w:rPr>
              <w:t>3</w:t>
            </w:r>
            <w:r>
              <w:rPr>
                <w:rFonts w:hint="eastAsia" w:ascii="宋体" w:hAnsi="宋体" w:cs="宋体"/>
                <w:b/>
                <w:color w:val="auto"/>
                <w:kern w:val="0"/>
                <w:szCs w:val="21"/>
              </w:rPr>
              <w:t>）</w:t>
            </w:r>
            <w:r>
              <w:rPr>
                <w:rFonts w:hint="eastAsia"/>
                <w:b/>
                <w:color w:val="auto"/>
                <w:kern w:val="0"/>
                <w:szCs w:val="21"/>
              </w:rPr>
              <w:t>与资源利用上线相符性</w:t>
            </w:r>
          </w:p>
          <w:p w14:paraId="39BCCD2C">
            <w:pPr>
              <w:autoSpaceDE w:val="0"/>
              <w:autoSpaceDN w:val="0"/>
              <w:adjustRightInd w:val="0"/>
              <w:snapToGrid w:val="0"/>
              <w:spacing w:line="500" w:lineRule="exact"/>
              <w:ind w:firstLine="420" w:firstLineChars="200"/>
              <w:jc w:val="left"/>
              <w:rPr>
                <w:bCs/>
                <w:color w:val="auto"/>
                <w:kern w:val="0"/>
                <w:szCs w:val="21"/>
              </w:rPr>
            </w:pPr>
            <w:r>
              <w:rPr>
                <w:rFonts w:hint="eastAsia"/>
                <w:bCs/>
                <w:color w:val="auto"/>
                <w:kern w:val="0"/>
                <w:szCs w:val="21"/>
              </w:rPr>
              <w:t>对照《连云港市资源利用上线管理办法（试行）》（连政办发〔2018〕37号），项目位于连云港石化产业基地，为国家级开发区，本项目水、电依托园区进行集中供给，均在区域的资源供给容量内。</w:t>
            </w:r>
          </w:p>
          <w:p w14:paraId="65BEEFA6">
            <w:pPr>
              <w:autoSpaceDE w:val="0"/>
              <w:autoSpaceDN w:val="0"/>
              <w:adjustRightInd w:val="0"/>
              <w:snapToGrid w:val="0"/>
              <w:spacing w:line="500" w:lineRule="exact"/>
              <w:ind w:firstLine="420" w:firstLineChars="200"/>
              <w:jc w:val="left"/>
              <w:rPr>
                <w:bCs/>
                <w:color w:val="auto"/>
                <w:kern w:val="0"/>
                <w:szCs w:val="21"/>
              </w:rPr>
            </w:pPr>
            <w:r>
              <w:rPr>
                <w:rFonts w:hint="eastAsia"/>
                <w:bCs/>
                <w:color w:val="auto"/>
                <w:kern w:val="0"/>
                <w:szCs w:val="21"/>
              </w:rPr>
              <w:t>总体而言，本项目的建设与《连云港市资源利用上线管理办法（试行）》（连政办发〔2018〕37号）要求相符。</w:t>
            </w:r>
          </w:p>
          <w:p w14:paraId="59474938">
            <w:pPr>
              <w:autoSpaceDE w:val="0"/>
              <w:autoSpaceDN w:val="0"/>
              <w:adjustRightInd w:val="0"/>
              <w:snapToGrid w:val="0"/>
              <w:spacing w:line="500" w:lineRule="exact"/>
              <w:ind w:firstLine="422" w:firstLineChars="200"/>
              <w:jc w:val="left"/>
              <w:rPr>
                <w:rFonts w:ascii="宋体" w:hAnsi="宋体" w:cs="宋体"/>
                <w:b/>
                <w:color w:val="auto"/>
                <w:kern w:val="0"/>
                <w:szCs w:val="21"/>
              </w:rPr>
            </w:pPr>
            <w:r>
              <w:rPr>
                <w:rFonts w:hint="eastAsia" w:ascii="宋体" w:hAnsi="宋体" w:cs="宋体"/>
                <w:b/>
                <w:color w:val="auto"/>
                <w:kern w:val="0"/>
                <w:szCs w:val="21"/>
              </w:rPr>
              <w:t>（4）与环境准入负面清单相符性</w:t>
            </w:r>
          </w:p>
          <w:p w14:paraId="3C9DD7F9">
            <w:pPr>
              <w:autoSpaceDE w:val="0"/>
              <w:autoSpaceDN w:val="0"/>
              <w:adjustRightInd w:val="0"/>
              <w:snapToGrid w:val="0"/>
              <w:spacing w:line="500" w:lineRule="exact"/>
              <w:ind w:firstLine="420" w:firstLineChars="200"/>
              <w:jc w:val="left"/>
              <w:rPr>
                <w:bCs/>
                <w:color w:val="auto"/>
                <w:kern w:val="0"/>
                <w:szCs w:val="21"/>
              </w:rPr>
            </w:pPr>
            <w:r>
              <w:rPr>
                <w:rFonts w:hint="eastAsia"/>
                <w:bCs/>
                <w:color w:val="auto"/>
                <w:kern w:val="0"/>
                <w:szCs w:val="21"/>
              </w:rPr>
              <w:t>照《市场准入负面清单（2025年版）》，本项目不属于市场准入负面清单中禁止准入的项目。</w:t>
            </w:r>
          </w:p>
          <w:p w14:paraId="04FBC7EA">
            <w:pPr>
              <w:autoSpaceDE w:val="0"/>
              <w:autoSpaceDN w:val="0"/>
              <w:adjustRightInd w:val="0"/>
              <w:snapToGrid w:val="0"/>
              <w:spacing w:line="500" w:lineRule="exact"/>
              <w:ind w:firstLine="420" w:firstLineChars="200"/>
              <w:jc w:val="left"/>
              <w:rPr>
                <w:bCs/>
                <w:color w:val="auto"/>
                <w:kern w:val="0"/>
                <w:szCs w:val="21"/>
              </w:rPr>
            </w:pPr>
            <w:r>
              <w:rPr>
                <w:rFonts w:hint="eastAsia"/>
                <w:bCs/>
                <w:color w:val="auto"/>
                <w:kern w:val="0"/>
                <w:szCs w:val="21"/>
              </w:rPr>
              <w:t>本项目与《连云港市基于空间控制单元的环境准入制度及负面清单管理办法（试行）》（连政办发〔2018〕9号）的相符性见表1-4。可见本项目符合《连云港市基于空间控制单元的环境准入制度及负面清单管理办法（试行）》（连政办发〔2018〕9号）的相关要求。</w:t>
            </w:r>
          </w:p>
          <w:p w14:paraId="4D552649">
            <w:pPr>
              <w:autoSpaceDE w:val="0"/>
              <w:autoSpaceDN w:val="0"/>
              <w:adjustRightInd w:val="0"/>
              <w:snapToGrid w:val="0"/>
              <w:spacing w:line="500" w:lineRule="exact"/>
              <w:ind w:firstLine="420" w:firstLineChars="200"/>
              <w:jc w:val="left"/>
              <w:rPr>
                <w:bCs/>
                <w:color w:val="auto"/>
                <w:kern w:val="0"/>
                <w:szCs w:val="21"/>
              </w:rPr>
            </w:pPr>
            <w:r>
              <w:rPr>
                <w:rFonts w:hint="eastAsia"/>
                <w:bCs/>
                <w:color w:val="auto"/>
                <w:kern w:val="0"/>
                <w:szCs w:val="21"/>
              </w:rPr>
              <w:t>对照《长江经济带发展负面清单指南》江苏省实施细则（试行）》（苏长江办发〔2019〕136号）要求，本项目不属于《长江经济带发展负面清单指南》江苏省实施细则（试行）中禁止类项目，具体见表1-5。</w:t>
            </w:r>
          </w:p>
          <w:p w14:paraId="498F173D">
            <w:pPr>
              <w:autoSpaceDE w:val="0"/>
              <w:autoSpaceDN w:val="0"/>
              <w:adjustRightInd w:val="0"/>
              <w:snapToGrid w:val="0"/>
              <w:spacing w:line="500" w:lineRule="exact"/>
              <w:ind w:firstLine="420" w:firstLineChars="200"/>
              <w:jc w:val="left"/>
              <w:rPr>
                <w:bCs/>
                <w:color w:val="auto"/>
                <w:kern w:val="0"/>
                <w:szCs w:val="21"/>
              </w:rPr>
            </w:pPr>
            <w:r>
              <w:rPr>
                <w:rFonts w:hint="eastAsia"/>
                <w:bCs/>
                <w:color w:val="auto"/>
                <w:kern w:val="0"/>
                <w:szCs w:val="21"/>
              </w:rPr>
              <w:t>本项目符合《连云港石化产业基地总体发展规划修编环境影响报告书》中环境准入基本要求，并且不属于园区负面清单中的项目，相符性见表1-1。</w:t>
            </w:r>
          </w:p>
          <w:p w14:paraId="117B54BB">
            <w:pPr>
              <w:snapToGrid w:val="0"/>
              <w:spacing w:line="500" w:lineRule="exact"/>
              <w:jc w:val="center"/>
              <w:rPr>
                <w:b/>
                <w:color w:val="auto"/>
                <w:szCs w:val="21"/>
              </w:rPr>
            </w:pPr>
            <w:r>
              <w:rPr>
                <w:rFonts w:hint="eastAsia"/>
                <w:b/>
                <w:color w:val="auto"/>
                <w:szCs w:val="21"/>
              </w:rPr>
              <w:t>表</w:t>
            </w:r>
            <w:r>
              <w:rPr>
                <w:b/>
                <w:color w:val="auto"/>
                <w:szCs w:val="21"/>
              </w:rPr>
              <w:t>1-</w:t>
            </w:r>
            <w:r>
              <w:rPr>
                <w:rFonts w:hint="eastAsia"/>
                <w:b/>
                <w:color w:val="auto"/>
                <w:szCs w:val="21"/>
              </w:rPr>
              <w:t>4</w:t>
            </w:r>
            <w:r>
              <w:rPr>
                <w:b/>
                <w:color w:val="auto"/>
                <w:szCs w:val="21"/>
              </w:rPr>
              <w:t xml:space="preserve">  </w:t>
            </w:r>
            <w:r>
              <w:rPr>
                <w:rFonts w:hint="eastAsia"/>
                <w:b/>
                <w:color w:val="auto"/>
                <w:szCs w:val="21"/>
              </w:rPr>
              <w:t>本项目与连云港市基于空间控制单元的环境准入制度及负面清单管理办法（试行）的相符性分析</w:t>
            </w:r>
          </w:p>
          <w:tbl>
            <w:tblPr>
              <w:tblStyle w:val="21"/>
              <w:tblW w:w="4996"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41"/>
              <w:gridCol w:w="3530"/>
              <w:gridCol w:w="2981"/>
              <w:gridCol w:w="549"/>
            </w:tblGrid>
            <w:tr w14:paraId="1E7393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blHeader/>
                <w:jc w:val="center"/>
              </w:trPr>
              <w:tc>
                <w:tcPr>
                  <w:tcW w:w="293" w:type="pct"/>
                  <w:vAlign w:val="center"/>
                </w:tcPr>
                <w:p w14:paraId="50D3AB91">
                  <w:pPr>
                    <w:jc w:val="center"/>
                    <w:rPr>
                      <w:color w:val="auto"/>
                      <w:sz w:val="18"/>
                      <w:szCs w:val="18"/>
                    </w:rPr>
                  </w:pPr>
                  <w:r>
                    <w:rPr>
                      <w:color w:val="auto"/>
                      <w:sz w:val="18"/>
                      <w:szCs w:val="18"/>
                    </w:rPr>
                    <w:t>序号</w:t>
                  </w:r>
                </w:p>
              </w:tc>
              <w:tc>
                <w:tcPr>
                  <w:tcW w:w="2353" w:type="pct"/>
                  <w:vAlign w:val="center"/>
                </w:tcPr>
                <w:p w14:paraId="4A57A6E2">
                  <w:pPr>
                    <w:jc w:val="center"/>
                    <w:rPr>
                      <w:color w:val="auto"/>
                      <w:sz w:val="18"/>
                      <w:szCs w:val="18"/>
                    </w:rPr>
                  </w:pPr>
                  <w:r>
                    <w:rPr>
                      <w:color w:val="auto"/>
                      <w:sz w:val="18"/>
                      <w:szCs w:val="18"/>
                    </w:rPr>
                    <w:t>要求</w:t>
                  </w:r>
                </w:p>
              </w:tc>
              <w:tc>
                <w:tcPr>
                  <w:tcW w:w="1987" w:type="pct"/>
                  <w:vAlign w:val="center"/>
                </w:tcPr>
                <w:p w14:paraId="1275E11B">
                  <w:pPr>
                    <w:jc w:val="center"/>
                    <w:rPr>
                      <w:color w:val="auto"/>
                      <w:sz w:val="18"/>
                      <w:szCs w:val="18"/>
                    </w:rPr>
                  </w:pPr>
                  <w:r>
                    <w:rPr>
                      <w:color w:val="auto"/>
                      <w:sz w:val="18"/>
                      <w:szCs w:val="18"/>
                    </w:rPr>
                    <w:t>符合性分析</w:t>
                  </w:r>
                </w:p>
              </w:tc>
              <w:tc>
                <w:tcPr>
                  <w:tcW w:w="365" w:type="pct"/>
                  <w:vAlign w:val="center"/>
                </w:tcPr>
                <w:p w14:paraId="25C882ED">
                  <w:pPr>
                    <w:jc w:val="center"/>
                    <w:rPr>
                      <w:color w:val="auto"/>
                      <w:sz w:val="18"/>
                      <w:szCs w:val="18"/>
                    </w:rPr>
                  </w:pPr>
                  <w:r>
                    <w:rPr>
                      <w:color w:val="auto"/>
                      <w:sz w:val="18"/>
                      <w:szCs w:val="18"/>
                    </w:rPr>
                    <w:t>符合情况</w:t>
                  </w:r>
                </w:p>
              </w:tc>
            </w:tr>
            <w:tr w14:paraId="08E3CE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93" w:type="pct"/>
                  <w:vAlign w:val="center"/>
                </w:tcPr>
                <w:p w14:paraId="364ED9F5">
                  <w:pPr>
                    <w:jc w:val="center"/>
                    <w:rPr>
                      <w:color w:val="auto"/>
                      <w:sz w:val="18"/>
                      <w:szCs w:val="18"/>
                    </w:rPr>
                  </w:pPr>
                  <w:r>
                    <w:rPr>
                      <w:color w:val="auto"/>
                      <w:sz w:val="18"/>
                      <w:szCs w:val="18"/>
                    </w:rPr>
                    <w:t>1</w:t>
                  </w:r>
                </w:p>
              </w:tc>
              <w:tc>
                <w:tcPr>
                  <w:tcW w:w="2353" w:type="pct"/>
                  <w:vAlign w:val="center"/>
                </w:tcPr>
                <w:p w14:paraId="04389A67">
                  <w:pPr>
                    <w:rPr>
                      <w:color w:val="auto"/>
                      <w:sz w:val="18"/>
                      <w:szCs w:val="18"/>
                    </w:rPr>
                  </w:pPr>
                  <w:r>
                    <w:rPr>
                      <w:color w:val="auto"/>
                      <w:sz w:val="18"/>
                      <w:szCs w:val="18"/>
                    </w:rPr>
                    <w:t>对禁止类项目市场主体不得进入，行政机关不予审批、核准，不得办理有关手续；对限制类项目，除石化基地等重大项目产业链发展需要外原则上不得新建，由市场主体提出申请，行政机关依法依规作出是否予以准入的决定，或由市场主体依照政府规定的准入条件和准入方式合规进入。</w:t>
                  </w:r>
                </w:p>
              </w:tc>
              <w:tc>
                <w:tcPr>
                  <w:tcW w:w="1987" w:type="pct"/>
                  <w:vAlign w:val="center"/>
                </w:tcPr>
                <w:p w14:paraId="3373B039">
                  <w:pPr>
                    <w:rPr>
                      <w:color w:val="auto"/>
                      <w:sz w:val="18"/>
                      <w:szCs w:val="18"/>
                    </w:rPr>
                  </w:pPr>
                  <w:r>
                    <w:rPr>
                      <w:color w:val="auto"/>
                      <w:kern w:val="24"/>
                      <w:sz w:val="18"/>
                      <w:szCs w:val="18"/>
                    </w:rPr>
                    <w:t>本项目</w:t>
                  </w:r>
                  <w:r>
                    <w:rPr>
                      <w:color w:val="auto"/>
                      <w:sz w:val="18"/>
                      <w:szCs w:val="18"/>
                    </w:rPr>
                    <w:t>已获得国家东中西区域合作示范区经济发展局出具的企业投资项目备案通知书（示范区经备</w:t>
                  </w:r>
                  <w:r>
                    <w:rPr>
                      <w:rFonts w:hint="eastAsia"/>
                      <w:color w:val="auto"/>
                      <w:sz w:val="18"/>
                      <w:szCs w:val="18"/>
                    </w:rPr>
                    <w:t>〔2026〕50号</w:t>
                  </w:r>
                  <w:r>
                    <w:rPr>
                      <w:color w:val="auto"/>
                      <w:sz w:val="18"/>
                      <w:szCs w:val="18"/>
                    </w:rPr>
                    <w:t>）。</w:t>
                  </w:r>
                  <w:r>
                    <w:rPr>
                      <w:color w:val="auto"/>
                      <w:kern w:val="24"/>
                      <w:sz w:val="18"/>
                      <w:szCs w:val="18"/>
                    </w:rPr>
                    <w:t>本</w:t>
                  </w:r>
                  <w:r>
                    <w:rPr>
                      <w:color w:val="auto"/>
                      <w:sz w:val="18"/>
                      <w:szCs w:val="18"/>
                    </w:rPr>
                    <w:t>项目属于国家和地方产业政策中允许类项目。</w:t>
                  </w:r>
                </w:p>
              </w:tc>
              <w:tc>
                <w:tcPr>
                  <w:tcW w:w="365" w:type="pct"/>
                  <w:vAlign w:val="center"/>
                </w:tcPr>
                <w:p w14:paraId="7E84C119">
                  <w:pPr>
                    <w:jc w:val="center"/>
                    <w:rPr>
                      <w:color w:val="auto"/>
                      <w:sz w:val="18"/>
                      <w:szCs w:val="18"/>
                    </w:rPr>
                  </w:pPr>
                  <w:r>
                    <w:rPr>
                      <w:color w:val="auto"/>
                      <w:sz w:val="18"/>
                      <w:szCs w:val="18"/>
                    </w:rPr>
                    <w:t>符合</w:t>
                  </w:r>
                </w:p>
              </w:tc>
            </w:tr>
            <w:tr w14:paraId="5CDD3F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93" w:type="pct"/>
                  <w:vAlign w:val="center"/>
                </w:tcPr>
                <w:p w14:paraId="29BBCB8A">
                  <w:pPr>
                    <w:jc w:val="center"/>
                    <w:rPr>
                      <w:color w:val="auto"/>
                      <w:sz w:val="18"/>
                      <w:szCs w:val="18"/>
                    </w:rPr>
                  </w:pPr>
                  <w:r>
                    <w:rPr>
                      <w:color w:val="auto"/>
                      <w:sz w:val="18"/>
                      <w:szCs w:val="18"/>
                    </w:rPr>
                    <w:t>2</w:t>
                  </w:r>
                </w:p>
              </w:tc>
              <w:tc>
                <w:tcPr>
                  <w:tcW w:w="2353" w:type="pct"/>
                  <w:vAlign w:val="center"/>
                </w:tcPr>
                <w:p w14:paraId="5004D5C5">
                  <w:pPr>
                    <w:jc w:val="left"/>
                    <w:rPr>
                      <w:color w:val="auto"/>
                      <w:sz w:val="18"/>
                      <w:szCs w:val="18"/>
                    </w:rPr>
                  </w:pPr>
                  <w:r>
                    <w:rPr>
                      <w:color w:val="auto"/>
                      <w:sz w:val="18"/>
                      <w:szCs w:val="18"/>
                    </w:rPr>
                    <w:t>严格限制使用和排放有毒气体、恶臭物质类项目，禁止新建生产《危险化学品名录》所列剧毒化学品、恶臭物质、"POPs"清单物质等严重影响人身健康和环境质量的项目。禁止建设"三废"产生量（尤其是废盐）大且无法安全处置或合理利用的生产工艺与装置。</w:t>
                  </w:r>
                </w:p>
              </w:tc>
              <w:tc>
                <w:tcPr>
                  <w:tcW w:w="1987" w:type="pct"/>
                  <w:vAlign w:val="center"/>
                </w:tcPr>
                <w:p w14:paraId="4237E0BC">
                  <w:pPr>
                    <w:rPr>
                      <w:color w:val="auto"/>
                      <w:sz w:val="18"/>
                      <w:szCs w:val="18"/>
                    </w:rPr>
                  </w:pPr>
                  <w:r>
                    <w:rPr>
                      <w:color w:val="auto"/>
                      <w:kern w:val="24"/>
                      <w:sz w:val="18"/>
                      <w:szCs w:val="18"/>
                    </w:rPr>
                    <w:t>本</w:t>
                  </w:r>
                  <w:r>
                    <w:rPr>
                      <w:color w:val="auto"/>
                      <w:sz w:val="18"/>
                      <w:szCs w:val="18"/>
                    </w:rPr>
                    <w:t>项目不属于生产《危险化学品名录》所列剧毒化学品、恶臭物质、"POPs"清单物质等严重影响人身健康和环境质量的项目。</w:t>
                  </w:r>
                  <w:r>
                    <w:rPr>
                      <w:color w:val="auto"/>
                      <w:kern w:val="24"/>
                      <w:sz w:val="18"/>
                      <w:szCs w:val="18"/>
                    </w:rPr>
                    <w:t>本</w:t>
                  </w:r>
                  <w:r>
                    <w:rPr>
                      <w:color w:val="auto"/>
                      <w:sz w:val="18"/>
                      <w:szCs w:val="18"/>
                    </w:rPr>
                    <w:t>项目“三废”均进行了分类收集、分质处理。</w:t>
                  </w:r>
                </w:p>
              </w:tc>
              <w:tc>
                <w:tcPr>
                  <w:tcW w:w="365" w:type="pct"/>
                  <w:vAlign w:val="center"/>
                </w:tcPr>
                <w:p w14:paraId="34086AAC">
                  <w:pPr>
                    <w:jc w:val="center"/>
                    <w:rPr>
                      <w:color w:val="auto"/>
                      <w:sz w:val="18"/>
                      <w:szCs w:val="18"/>
                    </w:rPr>
                  </w:pPr>
                  <w:r>
                    <w:rPr>
                      <w:color w:val="auto"/>
                      <w:sz w:val="18"/>
                      <w:szCs w:val="18"/>
                    </w:rPr>
                    <w:t>符合</w:t>
                  </w:r>
                </w:p>
              </w:tc>
            </w:tr>
            <w:tr w14:paraId="672B23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93" w:type="pct"/>
                  <w:vAlign w:val="center"/>
                </w:tcPr>
                <w:p w14:paraId="2B71AFBB">
                  <w:pPr>
                    <w:jc w:val="center"/>
                    <w:rPr>
                      <w:color w:val="auto"/>
                      <w:sz w:val="18"/>
                      <w:szCs w:val="18"/>
                    </w:rPr>
                  </w:pPr>
                  <w:r>
                    <w:rPr>
                      <w:color w:val="auto"/>
                      <w:sz w:val="18"/>
                      <w:szCs w:val="18"/>
                    </w:rPr>
                    <w:t>3</w:t>
                  </w:r>
                </w:p>
              </w:tc>
              <w:tc>
                <w:tcPr>
                  <w:tcW w:w="2353" w:type="pct"/>
                  <w:vAlign w:val="center"/>
                </w:tcPr>
                <w:p w14:paraId="0AF3DE7B">
                  <w:pPr>
                    <w:jc w:val="left"/>
                    <w:rPr>
                      <w:color w:val="auto"/>
                      <w:sz w:val="18"/>
                      <w:szCs w:val="18"/>
                    </w:rPr>
                  </w:pPr>
                  <w:r>
                    <w:rPr>
                      <w:color w:val="auto"/>
                      <w:sz w:val="18"/>
                      <w:szCs w:val="18"/>
                    </w:rPr>
                    <w:t>新、改、扩建排放化学需氧量、氨氮、总磷、总氮等主要水污染物的建设项目，水污染指标按2倍削减量替代。新、改、扩建排放二氧化硫、氮氧化物、工业烟粉尘、挥发性有机物的建设项目及通过排污权交易形式获得的排污指标实行现役源2倍削减替代。涉及丙烯、甲苯、苯、对二甲苯、间二甲苯、乙苯、正庚烷、正己烷、邻二甲苯、苯乙烯、1,2,4-三甲苯、环己烷、4-乙基甲苯、1,3,5-三甲苯等14种主要臭氧前驱物新建项目的，应实施主要臭氧前驱物2倍削减替代</w:t>
                  </w:r>
                </w:p>
              </w:tc>
              <w:tc>
                <w:tcPr>
                  <w:tcW w:w="1987" w:type="pct"/>
                  <w:vAlign w:val="center"/>
                </w:tcPr>
                <w:p w14:paraId="6F7C31A8">
                  <w:pPr>
                    <w:rPr>
                      <w:color w:val="auto"/>
                      <w:sz w:val="18"/>
                      <w:szCs w:val="18"/>
                    </w:rPr>
                  </w:pPr>
                  <w:r>
                    <w:rPr>
                      <w:color w:val="auto"/>
                      <w:sz w:val="18"/>
                      <w:szCs w:val="18"/>
                    </w:rPr>
                    <w:t>项目严格落实污染物排放总量控制制度。本项目新增排放污染物排放总量将由徐圩新区排污权收储后统一分配。</w:t>
                  </w:r>
                </w:p>
              </w:tc>
              <w:tc>
                <w:tcPr>
                  <w:tcW w:w="365" w:type="pct"/>
                  <w:vAlign w:val="center"/>
                </w:tcPr>
                <w:p w14:paraId="15BC98AF">
                  <w:pPr>
                    <w:jc w:val="center"/>
                    <w:rPr>
                      <w:color w:val="auto"/>
                      <w:sz w:val="18"/>
                      <w:szCs w:val="18"/>
                    </w:rPr>
                  </w:pPr>
                  <w:r>
                    <w:rPr>
                      <w:color w:val="auto"/>
                      <w:sz w:val="18"/>
                      <w:szCs w:val="18"/>
                    </w:rPr>
                    <w:t>符合</w:t>
                  </w:r>
                </w:p>
              </w:tc>
            </w:tr>
          </w:tbl>
          <w:p w14:paraId="556EAD3E">
            <w:pPr>
              <w:snapToGrid w:val="0"/>
              <w:spacing w:line="500" w:lineRule="exact"/>
              <w:jc w:val="center"/>
              <w:rPr>
                <w:b/>
                <w:color w:val="auto"/>
                <w:szCs w:val="21"/>
              </w:rPr>
            </w:pPr>
            <w:r>
              <w:rPr>
                <w:rFonts w:hint="eastAsia"/>
                <w:b/>
                <w:color w:val="auto"/>
                <w:szCs w:val="21"/>
              </w:rPr>
              <w:t>表</w:t>
            </w:r>
            <w:r>
              <w:rPr>
                <w:b/>
                <w:color w:val="auto"/>
                <w:szCs w:val="21"/>
              </w:rPr>
              <w:t>1-</w:t>
            </w:r>
            <w:r>
              <w:rPr>
                <w:rFonts w:hint="eastAsia"/>
                <w:b/>
                <w:color w:val="auto"/>
                <w:szCs w:val="21"/>
              </w:rPr>
              <w:t>5</w:t>
            </w:r>
            <w:r>
              <w:rPr>
                <w:b/>
                <w:color w:val="auto"/>
                <w:szCs w:val="21"/>
              </w:rPr>
              <w:t xml:space="preserve"> </w:t>
            </w:r>
            <w:r>
              <w:rPr>
                <w:rFonts w:hint="eastAsia"/>
                <w:b/>
                <w:color w:val="auto"/>
                <w:szCs w:val="21"/>
              </w:rPr>
              <w:t>本项目与《长江经济带发展负面清单指南》江苏省实施细则（试行）相符性</w:t>
            </w:r>
          </w:p>
          <w:tbl>
            <w:tblPr>
              <w:tblStyle w:val="21"/>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864"/>
              <w:gridCol w:w="1851"/>
              <w:gridCol w:w="788"/>
            </w:tblGrid>
            <w:tr w14:paraId="7AA1F3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240" w:type="pct"/>
                  <w:vAlign w:val="center"/>
                </w:tcPr>
                <w:p w14:paraId="372AD557">
                  <w:pPr>
                    <w:tabs>
                      <w:tab w:val="center" w:pos="4433"/>
                    </w:tabs>
                    <w:jc w:val="center"/>
                    <w:rPr>
                      <w:b/>
                      <w:color w:val="auto"/>
                      <w:kern w:val="0"/>
                      <w:sz w:val="18"/>
                      <w:szCs w:val="18"/>
                    </w:rPr>
                  </w:pPr>
                  <w:r>
                    <w:rPr>
                      <w:b/>
                      <w:color w:val="auto"/>
                      <w:kern w:val="0"/>
                      <w:sz w:val="18"/>
                      <w:szCs w:val="18"/>
                    </w:rPr>
                    <w:t>管理要求</w:t>
                  </w:r>
                </w:p>
              </w:tc>
              <w:tc>
                <w:tcPr>
                  <w:tcW w:w="1233" w:type="pct"/>
                  <w:vAlign w:val="center"/>
                </w:tcPr>
                <w:p w14:paraId="0DCFCC79">
                  <w:pPr>
                    <w:tabs>
                      <w:tab w:val="center" w:pos="4433"/>
                    </w:tabs>
                    <w:jc w:val="center"/>
                    <w:rPr>
                      <w:b/>
                      <w:color w:val="auto"/>
                      <w:kern w:val="0"/>
                      <w:sz w:val="18"/>
                      <w:szCs w:val="18"/>
                    </w:rPr>
                  </w:pPr>
                  <w:r>
                    <w:rPr>
                      <w:b/>
                      <w:color w:val="auto"/>
                      <w:kern w:val="0"/>
                      <w:sz w:val="18"/>
                      <w:szCs w:val="18"/>
                    </w:rPr>
                    <w:t>本项目对应情况</w:t>
                  </w:r>
                </w:p>
              </w:tc>
              <w:tc>
                <w:tcPr>
                  <w:tcW w:w="525" w:type="pct"/>
                  <w:vAlign w:val="center"/>
                </w:tcPr>
                <w:p w14:paraId="3E1BBBC9">
                  <w:pPr>
                    <w:jc w:val="center"/>
                    <w:rPr>
                      <w:b/>
                      <w:color w:val="auto"/>
                      <w:kern w:val="0"/>
                      <w:sz w:val="18"/>
                      <w:szCs w:val="18"/>
                    </w:rPr>
                  </w:pPr>
                  <w:r>
                    <w:rPr>
                      <w:b/>
                      <w:color w:val="auto"/>
                      <w:kern w:val="0"/>
                      <w:sz w:val="18"/>
                      <w:szCs w:val="18"/>
                    </w:rPr>
                    <w:t>相符性</w:t>
                  </w:r>
                </w:p>
              </w:tc>
            </w:tr>
            <w:tr w14:paraId="672F9A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240" w:type="pct"/>
                  <w:vAlign w:val="center"/>
                </w:tcPr>
                <w:p w14:paraId="167EBF8A">
                  <w:pPr>
                    <w:tabs>
                      <w:tab w:val="center" w:pos="4433"/>
                    </w:tabs>
                    <w:jc w:val="center"/>
                    <w:rPr>
                      <w:color w:val="auto"/>
                      <w:kern w:val="0"/>
                      <w:sz w:val="18"/>
                      <w:szCs w:val="18"/>
                    </w:rPr>
                  </w:pPr>
                  <w:r>
                    <w:rPr>
                      <w:color w:val="auto"/>
                      <w:kern w:val="0"/>
                      <w:sz w:val="18"/>
                      <w:szCs w:val="18"/>
                    </w:rPr>
                    <w:t>禁止建设不符合国家港口布局规划和《江苏省沿江沿海港口布局规划（2015-2030）》《江苏省内河港口布局规划（2017-2035）》以及我省有关港口总体规划的码头项目，禁止建设不符合《长江干线过江通道布局规划》的过长江干线通道项目</w:t>
                  </w:r>
                </w:p>
              </w:tc>
              <w:tc>
                <w:tcPr>
                  <w:tcW w:w="1233" w:type="pct"/>
                  <w:vAlign w:val="center"/>
                </w:tcPr>
                <w:p w14:paraId="35459A08">
                  <w:pPr>
                    <w:tabs>
                      <w:tab w:val="center" w:pos="4433"/>
                    </w:tabs>
                    <w:jc w:val="center"/>
                    <w:rPr>
                      <w:color w:val="auto"/>
                      <w:kern w:val="0"/>
                      <w:sz w:val="18"/>
                      <w:szCs w:val="18"/>
                    </w:rPr>
                  </w:pPr>
                  <w:r>
                    <w:rPr>
                      <w:color w:val="auto"/>
                      <w:kern w:val="0"/>
                      <w:sz w:val="18"/>
                      <w:szCs w:val="18"/>
                    </w:rPr>
                    <w:t>本项目为</w:t>
                  </w:r>
                  <w:r>
                    <w:rPr>
                      <w:rFonts w:hint="eastAsia"/>
                      <w:color w:val="auto"/>
                      <w:kern w:val="0"/>
                      <w:sz w:val="18"/>
                      <w:szCs w:val="18"/>
                    </w:rPr>
                    <w:t>品控洁净实验室项目</w:t>
                  </w:r>
                  <w:r>
                    <w:rPr>
                      <w:color w:val="auto"/>
                      <w:kern w:val="0"/>
                      <w:sz w:val="18"/>
                      <w:szCs w:val="18"/>
                    </w:rPr>
                    <w:t>，不涉及相关禁止项目类别</w:t>
                  </w:r>
                </w:p>
              </w:tc>
              <w:tc>
                <w:tcPr>
                  <w:tcW w:w="525" w:type="pct"/>
                  <w:vAlign w:val="center"/>
                </w:tcPr>
                <w:p w14:paraId="19C3DB38">
                  <w:pPr>
                    <w:jc w:val="center"/>
                    <w:rPr>
                      <w:color w:val="auto"/>
                      <w:kern w:val="0"/>
                      <w:sz w:val="18"/>
                      <w:szCs w:val="18"/>
                    </w:rPr>
                  </w:pPr>
                  <w:r>
                    <w:rPr>
                      <w:color w:val="auto"/>
                      <w:kern w:val="0"/>
                      <w:sz w:val="18"/>
                      <w:szCs w:val="18"/>
                    </w:rPr>
                    <w:t>相符</w:t>
                  </w:r>
                </w:p>
              </w:tc>
            </w:tr>
            <w:tr w14:paraId="488796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240" w:type="pct"/>
                  <w:vAlign w:val="center"/>
                </w:tcPr>
                <w:p w14:paraId="3D82E888">
                  <w:pPr>
                    <w:tabs>
                      <w:tab w:val="center" w:pos="4433"/>
                    </w:tabs>
                    <w:jc w:val="center"/>
                    <w:rPr>
                      <w:color w:val="auto"/>
                      <w:kern w:val="0"/>
                      <w:sz w:val="18"/>
                      <w:szCs w:val="18"/>
                    </w:rPr>
                  </w:pPr>
                  <w:r>
                    <w:rPr>
                      <w:color w:val="auto"/>
                      <w:kern w:val="0"/>
                      <w:sz w:val="18"/>
                      <w:szCs w:val="18"/>
                    </w:rPr>
                    <w:t>严格执行《中华人民共和国自然保护区条例》，禁止在自然保护区核心区、缓冲区的岸线和河段范围内投资建设旅游和生产经营项目。严格执行《</w:t>
                  </w:r>
                  <w:r>
                    <w:rPr>
                      <w:rFonts w:hint="eastAsia"/>
                      <w:color w:val="auto"/>
                      <w:kern w:val="0"/>
                      <w:sz w:val="18"/>
                      <w:szCs w:val="18"/>
                      <w:lang w:eastAsia="zh-CN"/>
                    </w:rPr>
                    <w:t>风景名胜区条例</w:t>
                  </w:r>
                  <w:r>
                    <w:rPr>
                      <w:color w:val="auto"/>
                      <w:kern w:val="0"/>
                      <w:sz w:val="18"/>
                      <w:szCs w:val="18"/>
                    </w:rPr>
                    <w:t>》、《江苏省风景名胜区管理条例》，禁止在国家级和省级风景名胜区核心景区的岸线和河段范围内投资建设与风景名胜资源保护无关的项目</w:t>
                  </w:r>
                </w:p>
              </w:tc>
              <w:tc>
                <w:tcPr>
                  <w:tcW w:w="1233" w:type="pct"/>
                  <w:vAlign w:val="center"/>
                </w:tcPr>
                <w:p w14:paraId="4DA246B6">
                  <w:pPr>
                    <w:tabs>
                      <w:tab w:val="center" w:pos="4433"/>
                    </w:tabs>
                    <w:jc w:val="center"/>
                    <w:rPr>
                      <w:color w:val="auto"/>
                      <w:kern w:val="0"/>
                      <w:sz w:val="18"/>
                      <w:szCs w:val="18"/>
                    </w:rPr>
                  </w:pPr>
                  <w:r>
                    <w:rPr>
                      <w:color w:val="auto"/>
                      <w:kern w:val="0"/>
                      <w:sz w:val="18"/>
                      <w:szCs w:val="18"/>
                    </w:rPr>
                    <w:t>本项目不占用生态空间管控区域</w:t>
                  </w:r>
                </w:p>
              </w:tc>
              <w:tc>
                <w:tcPr>
                  <w:tcW w:w="525" w:type="pct"/>
                  <w:vAlign w:val="center"/>
                </w:tcPr>
                <w:p w14:paraId="0C1AA7A3">
                  <w:pPr>
                    <w:jc w:val="center"/>
                    <w:rPr>
                      <w:color w:val="auto"/>
                      <w:kern w:val="0"/>
                      <w:sz w:val="18"/>
                      <w:szCs w:val="18"/>
                    </w:rPr>
                  </w:pPr>
                  <w:r>
                    <w:rPr>
                      <w:color w:val="auto"/>
                      <w:kern w:val="0"/>
                      <w:sz w:val="18"/>
                      <w:szCs w:val="18"/>
                    </w:rPr>
                    <w:t>相符</w:t>
                  </w:r>
                </w:p>
              </w:tc>
            </w:tr>
            <w:tr w14:paraId="0B28CF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240" w:type="pct"/>
                  <w:vAlign w:val="center"/>
                </w:tcPr>
                <w:p w14:paraId="1BF3B443">
                  <w:pPr>
                    <w:tabs>
                      <w:tab w:val="center" w:pos="4433"/>
                    </w:tabs>
                    <w:jc w:val="center"/>
                    <w:rPr>
                      <w:color w:val="auto"/>
                      <w:kern w:val="0"/>
                      <w:sz w:val="18"/>
                      <w:szCs w:val="18"/>
                    </w:rPr>
                  </w:pPr>
                  <w:r>
                    <w:rPr>
                      <w:color w:val="auto"/>
                      <w:kern w:val="0"/>
                      <w:sz w:val="18"/>
                      <w:szCs w:val="18"/>
                    </w:rPr>
                    <w:t>严格执行《中华人民共和国水污染防治法》《江苏省人民代表大会常务委员会关于加强饮用水源地保护的决定》，禁止在饮用水水源一级保护的岸线和河段范围内新建、扩建与供水设施和保护水源无关的建设项目，以及网箱养殖、旅游等可能污染饮用水水体的投资建设项目。禁止在饮用水水源二级保护区的岸线和河段范围内新建、改建、扩建排放污染物的投资建设项目</w:t>
                  </w:r>
                </w:p>
              </w:tc>
              <w:tc>
                <w:tcPr>
                  <w:tcW w:w="1233" w:type="pct"/>
                  <w:vAlign w:val="center"/>
                </w:tcPr>
                <w:p w14:paraId="44EB830B">
                  <w:pPr>
                    <w:tabs>
                      <w:tab w:val="center" w:pos="4433"/>
                    </w:tabs>
                    <w:jc w:val="center"/>
                    <w:rPr>
                      <w:color w:val="auto"/>
                      <w:kern w:val="0"/>
                      <w:sz w:val="18"/>
                      <w:szCs w:val="18"/>
                    </w:rPr>
                  </w:pPr>
                  <w:r>
                    <w:rPr>
                      <w:color w:val="auto"/>
                      <w:kern w:val="0"/>
                      <w:sz w:val="18"/>
                      <w:szCs w:val="18"/>
                    </w:rPr>
                    <w:t>本项目不涉及相关禁止建设区域及项目类别</w:t>
                  </w:r>
                </w:p>
              </w:tc>
              <w:tc>
                <w:tcPr>
                  <w:tcW w:w="525" w:type="pct"/>
                  <w:vAlign w:val="center"/>
                </w:tcPr>
                <w:p w14:paraId="1AFA2023">
                  <w:pPr>
                    <w:jc w:val="center"/>
                    <w:rPr>
                      <w:color w:val="auto"/>
                      <w:kern w:val="0"/>
                      <w:sz w:val="18"/>
                      <w:szCs w:val="18"/>
                    </w:rPr>
                  </w:pPr>
                  <w:r>
                    <w:rPr>
                      <w:color w:val="auto"/>
                      <w:kern w:val="0"/>
                      <w:sz w:val="18"/>
                      <w:szCs w:val="18"/>
                    </w:rPr>
                    <w:t>相符</w:t>
                  </w:r>
                </w:p>
              </w:tc>
            </w:tr>
            <w:tr w14:paraId="78C47E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240" w:type="pct"/>
                  <w:vAlign w:val="center"/>
                </w:tcPr>
                <w:p w14:paraId="140E1069">
                  <w:pPr>
                    <w:tabs>
                      <w:tab w:val="center" w:pos="4433"/>
                    </w:tabs>
                    <w:jc w:val="center"/>
                    <w:rPr>
                      <w:color w:val="auto"/>
                      <w:kern w:val="0"/>
                      <w:sz w:val="18"/>
                      <w:szCs w:val="18"/>
                    </w:rPr>
                  </w:pPr>
                  <w:r>
                    <w:rPr>
                      <w:color w:val="auto"/>
                      <w:kern w:val="0"/>
                      <w:sz w:val="18"/>
                      <w:szCs w:val="18"/>
                    </w:rPr>
                    <w:t>严格执行《水产种质资源保护区管理暂行办法》，禁止在国家级和省级水产种质资源保护区的岸线和河段范围内新建排污口，以及围湖造田、围海造地或围填海等投资建设项目。严格执行《江苏省湿地保护条例》，禁止在国家湿地公园的岸线和河段范围内挖沙、采矿，以及任何不符合主体功能定位的投资建设项目</w:t>
                  </w:r>
                </w:p>
              </w:tc>
              <w:tc>
                <w:tcPr>
                  <w:tcW w:w="1233" w:type="pct"/>
                  <w:vAlign w:val="center"/>
                </w:tcPr>
                <w:p w14:paraId="3579B6C9">
                  <w:pPr>
                    <w:tabs>
                      <w:tab w:val="center" w:pos="4433"/>
                    </w:tabs>
                    <w:jc w:val="center"/>
                    <w:rPr>
                      <w:color w:val="auto"/>
                      <w:kern w:val="0"/>
                      <w:sz w:val="18"/>
                      <w:szCs w:val="18"/>
                    </w:rPr>
                  </w:pPr>
                  <w:r>
                    <w:rPr>
                      <w:color w:val="auto"/>
                      <w:kern w:val="0"/>
                      <w:sz w:val="18"/>
                      <w:szCs w:val="18"/>
                    </w:rPr>
                    <w:t>本项目不涉及相关禁止建设区域及项目类别</w:t>
                  </w:r>
                </w:p>
              </w:tc>
              <w:tc>
                <w:tcPr>
                  <w:tcW w:w="525" w:type="pct"/>
                  <w:vAlign w:val="center"/>
                </w:tcPr>
                <w:p w14:paraId="4E0D91D1">
                  <w:pPr>
                    <w:jc w:val="center"/>
                    <w:rPr>
                      <w:color w:val="auto"/>
                      <w:kern w:val="0"/>
                      <w:sz w:val="18"/>
                      <w:szCs w:val="18"/>
                    </w:rPr>
                  </w:pPr>
                  <w:r>
                    <w:rPr>
                      <w:color w:val="auto"/>
                      <w:kern w:val="0"/>
                      <w:sz w:val="18"/>
                      <w:szCs w:val="18"/>
                    </w:rPr>
                    <w:t>相符</w:t>
                  </w:r>
                </w:p>
              </w:tc>
            </w:tr>
            <w:tr w14:paraId="6A1B95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240" w:type="pct"/>
                  <w:vAlign w:val="center"/>
                </w:tcPr>
                <w:p w14:paraId="245A0F50">
                  <w:pPr>
                    <w:tabs>
                      <w:tab w:val="center" w:pos="4433"/>
                    </w:tabs>
                    <w:jc w:val="center"/>
                    <w:rPr>
                      <w:color w:val="auto"/>
                      <w:kern w:val="0"/>
                      <w:sz w:val="18"/>
                      <w:szCs w:val="18"/>
                    </w:rPr>
                  </w:pPr>
                  <w:r>
                    <w:rPr>
                      <w:color w:val="auto"/>
                      <w:kern w:val="0"/>
                      <w:sz w:val="18"/>
                      <w:szCs w:val="18"/>
                    </w:rPr>
                    <w:t>禁止在《长江岸线保护和开发利用总体规划》划定的岸线保护区内投资建设除保障防洪安全、河势稳定、供水安全以及保护生态环境、已建重要枢纽工程以外的项目。禁止在岸线保留区内投资建设除保障防洪安全、河势稳定、供水安全、航道稳定以及保护生态环境以外的项目。长江干支流基础设施项目应按照《长江岸线保护和开发利用总体规划》和生态环境保护、岸线保护等要求，按规定开展前期论证并办理相关手续。禁止在《全国重要江河湖泊水功能区划》划定的河段保护区、保留区内投资建设不利于水资源及自然生态保护的项目</w:t>
                  </w:r>
                </w:p>
              </w:tc>
              <w:tc>
                <w:tcPr>
                  <w:tcW w:w="1233" w:type="pct"/>
                  <w:vAlign w:val="center"/>
                </w:tcPr>
                <w:p w14:paraId="2A72369E">
                  <w:pPr>
                    <w:tabs>
                      <w:tab w:val="center" w:pos="4433"/>
                    </w:tabs>
                    <w:jc w:val="center"/>
                    <w:rPr>
                      <w:color w:val="auto"/>
                      <w:kern w:val="0"/>
                      <w:sz w:val="18"/>
                      <w:szCs w:val="18"/>
                    </w:rPr>
                  </w:pPr>
                  <w:r>
                    <w:rPr>
                      <w:color w:val="auto"/>
                      <w:kern w:val="0"/>
                      <w:sz w:val="18"/>
                      <w:szCs w:val="18"/>
                    </w:rPr>
                    <w:t>本项目不涉及相关禁止建设区域及项目类别</w:t>
                  </w:r>
                </w:p>
              </w:tc>
              <w:tc>
                <w:tcPr>
                  <w:tcW w:w="525" w:type="pct"/>
                  <w:vAlign w:val="center"/>
                </w:tcPr>
                <w:p w14:paraId="32A5195F">
                  <w:pPr>
                    <w:jc w:val="center"/>
                    <w:rPr>
                      <w:color w:val="auto"/>
                      <w:kern w:val="0"/>
                      <w:sz w:val="18"/>
                      <w:szCs w:val="18"/>
                    </w:rPr>
                  </w:pPr>
                  <w:r>
                    <w:rPr>
                      <w:color w:val="auto"/>
                      <w:kern w:val="0"/>
                      <w:sz w:val="18"/>
                      <w:szCs w:val="18"/>
                    </w:rPr>
                    <w:t>相符</w:t>
                  </w:r>
                </w:p>
              </w:tc>
            </w:tr>
            <w:tr w14:paraId="52A143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240" w:type="pct"/>
                  <w:vAlign w:val="center"/>
                </w:tcPr>
                <w:p w14:paraId="78BD4C32">
                  <w:pPr>
                    <w:tabs>
                      <w:tab w:val="center" w:pos="4433"/>
                    </w:tabs>
                    <w:jc w:val="center"/>
                    <w:rPr>
                      <w:color w:val="auto"/>
                      <w:kern w:val="0"/>
                      <w:sz w:val="18"/>
                      <w:szCs w:val="18"/>
                    </w:rPr>
                  </w:pPr>
                  <w:r>
                    <w:rPr>
                      <w:color w:val="auto"/>
                      <w:kern w:val="0"/>
                      <w:sz w:val="18"/>
                      <w:szCs w:val="18"/>
                    </w:rPr>
                    <w:t>禁止在国家确定的生态保护红线和永久基本农田范围内，投资建设除国家重大战略资源勘查项目、生态保护修复和环境治理项目、重大基础设施项目、军事国防项目以及农牧民基本生产生活等必要的民生项目以外的项目</w:t>
                  </w:r>
                </w:p>
              </w:tc>
              <w:tc>
                <w:tcPr>
                  <w:tcW w:w="1233" w:type="pct"/>
                  <w:vAlign w:val="center"/>
                </w:tcPr>
                <w:p w14:paraId="1660F1B9">
                  <w:pPr>
                    <w:tabs>
                      <w:tab w:val="center" w:pos="4433"/>
                    </w:tabs>
                    <w:jc w:val="center"/>
                    <w:rPr>
                      <w:color w:val="auto"/>
                      <w:kern w:val="0"/>
                      <w:sz w:val="18"/>
                      <w:szCs w:val="18"/>
                    </w:rPr>
                  </w:pPr>
                  <w:r>
                    <w:rPr>
                      <w:color w:val="auto"/>
                      <w:kern w:val="0"/>
                      <w:sz w:val="18"/>
                      <w:szCs w:val="18"/>
                    </w:rPr>
                    <w:t>本项目不涉及相关禁止建设区域及项目类别</w:t>
                  </w:r>
                </w:p>
              </w:tc>
              <w:tc>
                <w:tcPr>
                  <w:tcW w:w="525" w:type="pct"/>
                  <w:vAlign w:val="center"/>
                </w:tcPr>
                <w:p w14:paraId="43BFF4A9">
                  <w:pPr>
                    <w:jc w:val="center"/>
                    <w:rPr>
                      <w:color w:val="auto"/>
                      <w:kern w:val="0"/>
                      <w:sz w:val="18"/>
                      <w:szCs w:val="18"/>
                    </w:rPr>
                  </w:pPr>
                  <w:r>
                    <w:rPr>
                      <w:color w:val="auto"/>
                      <w:kern w:val="0"/>
                      <w:sz w:val="18"/>
                      <w:szCs w:val="18"/>
                    </w:rPr>
                    <w:t>相符</w:t>
                  </w:r>
                </w:p>
              </w:tc>
            </w:tr>
            <w:tr w14:paraId="0C3075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240" w:type="pct"/>
                  <w:vAlign w:val="center"/>
                </w:tcPr>
                <w:p w14:paraId="5DAB5662">
                  <w:pPr>
                    <w:tabs>
                      <w:tab w:val="center" w:pos="4433"/>
                    </w:tabs>
                    <w:jc w:val="center"/>
                    <w:rPr>
                      <w:color w:val="auto"/>
                      <w:kern w:val="0"/>
                      <w:sz w:val="18"/>
                      <w:szCs w:val="18"/>
                    </w:rPr>
                  </w:pPr>
                  <w:r>
                    <w:rPr>
                      <w:color w:val="auto"/>
                      <w:kern w:val="0"/>
                      <w:sz w:val="18"/>
                      <w:szCs w:val="18"/>
                    </w:rPr>
                    <w:t>禁止在距离长江干流和京杭大运河（南水北调东线江苏段）、新沟河、新孟河、走马塘、望虞河、秦淮新河、城南河、德胜河、三茅大港、夹江（扬州）、润扬河、潘家河、蟛蜞港、泰州引江河1公里范围内新建、扩建化工园区和化工项目。长江干支流1公里按照长江干支流岸线边界（即水利部门河道管理范围边界）向陆域纵深1公里执行。严格落实国家和省关于水源地保护、岸线利用项目清理整治、沿江重化产能转型升级等相关政策文件要求，对长江干支流两岸排污行为实行严格监管，对违法违规工业园区和企业依法淘汰取缔</w:t>
                  </w:r>
                </w:p>
              </w:tc>
              <w:tc>
                <w:tcPr>
                  <w:tcW w:w="1233" w:type="pct"/>
                  <w:vAlign w:val="center"/>
                </w:tcPr>
                <w:p w14:paraId="4D247913">
                  <w:pPr>
                    <w:tabs>
                      <w:tab w:val="center" w:pos="4433"/>
                    </w:tabs>
                    <w:jc w:val="center"/>
                    <w:rPr>
                      <w:color w:val="auto"/>
                      <w:kern w:val="0"/>
                      <w:sz w:val="18"/>
                      <w:szCs w:val="18"/>
                    </w:rPr>
                  </w:pPr>
                  <w:r>
                    <w:rPr>
                      <w:color w:val="auto"/>
                      <w:kern w:val="0"/>
                      <w:sz w:val="18"/>
                      <w:szCs w:val="18"/>
                    </w:rPr>
                    <w:t>本项目不在禁止建设的范围内</w:t>
                  </w:r>
                </w:p>
              </w:tc>
              <w:tc>
                <w:tcPr>
                  <w:tcW w:w="525" w:type="pct"/>
                  <w:vAlign w:val="center"/>
                </w:tcPr>
                <w:p w14:paraId="70580C0C">
                  <w:pPr>
                    <w:jc w:val="center"/>
                    <w:rPr>
                      <w:color w:val="auto"/>
                      <w:kern w:val="0"/>
                      <w:sz w:val="18"/>
                      <w:szCs w:val="18"/>
                    </w:rPr>
                  </w:pPr>
                  <w:r>
                    <w:rPr>
                      <w:color w:val="auto"/>
                      <w:kern w:val="0"/>
                      <w:sz w:val="18"/>
                      <w:szCs w:val="18"/>
                    </w:rPr>
                    <w:t>相符</w:t>
                  </w:r>
                </w:p>
              </w:tc>
            </w:tr>
            <w:tr w14:paraId="2F7146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240" w:type="pct"/>
                  <w:vAlign w:val="center"/>
                </w:tcPr>
                <w:p w14:paraId="30900B46">
                  <w:pPr>
                    <w:tabs>
                      <w:tab w:val="center" w:pos="4433"/>
                    </w:tabs>
                    <w:jc w:val="center"/>
                    <w:rPr>
                      <w:color w:val="auto"/>
                      <w:kern w:val="0"/>
                      <w:sz w:val="18"/>
                      <w:szCs w:val="18"/>
                    </w:rPr>
                  </w:pPr>
                  <w:r>
                    <w:rPr>
                      <w:color w:val="auto"/>
                      <w:kern w:val="0"/>
                      <w:sz w:val="18"/>
                      <w:szCs w:val="18"/>
                    </w:rPr>
                    <w:t>禁止在距离长江干流岸线3公里范围内新建、改建、扩建尾矿库</w:t>
                  </w:r>
                </w:p>
              </w:tc>
              <w:tc>
                <w:tcPr>
                  <w:tcW w:w="1233" w:type="pct"/>
                  <w:vAlign w:val="center"/>
                </w:tcPr>
                <w:p w14:paraId="243C8E75">
                  <w:pPr>
                    <w:tabs>
                      <w:tab w:val="center" w:pos="4433"/>
                    </w:tabs>
                    <w:jc w:val="center"/>
                    <w:rPr>
                      <w:color w:val="auto"/>
                      <w:kern w:val="0"/>
                      <w:sz w:val="18"/>
                      <w:szCs w:val="18"/>
                    </w:rPr>
                  </w:pPr>
                  <w:r>
                    <w:rPr>
                      <w:color w:val="auto"/>
                      <w:kern w:val="0"/>
                      <w:sz w:val="18"/>
                      <w:szCs w:val="18"/>
                    </w:rPr>
                    <w:t>本项目位于</w:t>
                  </w:r>
                  <w:r>
                    <w:rPr>
                      <w:rFonts w:hint="eastAsia"/>
                      <w:color w:val="auto"/>
                      <w:kern w:val="0"/>
                      <w:sz w:val="18"/>
                      <w:szCs w:val="18"/>
                    </w:rPr>
                    <w:t>连云港石化产业基地</w:t>
                  </w:r>
                  <w:r>
                    <w:rPr>
                      <w:color w:val="auto"/>
                      <w:kern w:val="0"/>
                      <w:sz w:val="18"/>
                      <w:szCs w:val="18"/>
                    </w:rPr>
                    <w:t>，不涉及相关禁止建设项目类别</w:t>
                  </w:r>
                </w:p>
              </w:tc>
              <w:tc>
                <w:tcPr>
                  <w:tcW w:w="525" w:type="pct"/>
                  <w:vAlign w:val="center"/>
                </w:tcPr>
                <w:p w14:paraId="5D0059F9">
                  <w:pPr>
                    <w:jc w:val="center"/>
                    <w:rPr>
                      <w:color w:val="auto"/>
                      <w:kern w:val="0"/>
                      <w:sz w:val="18"/>
                      <w:szCs w:val="18"/>
                    </w:rPr>
                  </w:pPr>
                  <w:r>
                    <w:rPr>
                      <w:color w:val="auto"/>
                      <w:kern w:val="0"/>
                      <w:sz w:val="18"/>
                      <w:szCs w:val="18"/>
                    </w:rPr>
                    <w:t>相符</w:t>
                  </w:r>
                </w:p>
              </w:tc>
            </w:tr>
            <w:tr w14:paraId="5DA6C6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240" w:type="pct"/>
                  <w:vAlign w:val="center"/>
                </w:tcPr>
                <w:p w14:paraId="6B00EC21">
                  <w:pPr>
                    <w:tabs>
                      <w:tab w:val="center" w:pos="4433"/>
                    </w:tabs>
                    <w:jc w:val="center"/>
                    <w:rPr>
                      <w:color w:val="auto"/>
                      <w:kern w:val="0"/>
                      <w:sz w:val="18"/>
                      <w:szCs w:val="18"/>
                    </w:rPr>
                  </w:pPr>
                  <w:r>
                    <w:rPr>
                      <w:color w:val="auto"/>
                      <w:kern w:val="0"/>
                      <w:sz w:val="18"/>
                      <w:szCs w:val="18"/>
                    </w:rPr>
                    <w:t>禁止在沿江地区新建、扩建未纳入国家和省布局规划的燃煤发电项目</w:t>
                  </w:r>
                </w:p>
              </w:tc>
              <w:tc>
                <w:tcPr>
                  <w:tcW w:w="1233" w:type="pct"/>
                  <w:vAlign w:val="center"/>
                </w:tcPr>
                <w:p w14:paraId="5EC36942">
                  <w:pPr>
                    <w:tabs>
                      <w:tab w:val="center" w:pos="4433"/>
                    </w:tabs>
                    <w:jc w:val="center"/>
                    <w:rPr>
                      <w:color w:val="auto"/>
                      <w:kern w:val="0"/>
                      <w:sz w:val="18"/>
                      <w:szCs w:val="18"/>
                    </w:rPr>
                  </w:pPr>
                  <w:r>
                    <w:rPr>
                      <w:color w:val="auto"/>
                      <w:kern w:val="0"/>
                      <w:sz w:val="18"/>
                      <w:szCs w:val="18"/>
                    </w:rPr>
                    <w:t>本项目不属于沿江地区，不涉及相关禁止建设项目类别</w:t>
                  </w:r>
                </w:p>
              </w:tc>
              <w:tc>
                <w:tcPr>
                  <w:tcW w:w="525" w:type="pct"/>
                  <w:vAlign w:val="center"/>
                </w:tcPr>
                <w:p w14:paraId="41661569">
                  <w:pPr>
                    <w:jc w:val="center"/>
                    <w:rPr>
                      <w:color w:val="auto"/>
                      <w:kern w:val="0"/>
                      <w:sz w:val="18"/>
                      <w:szCs w:val="18"/>
                    </w:rPr>
                  </w:pPr>
                  <w:r>
                    <w:rPr>
                      <w:color w:val="auto"/>
                      <w:kern w:val="0"/>
                      <w:sz w:val="18"/>
                      <w:szCs w:val="18"/>
                    </w:rPr>
                    <w:t>相符</w:t>
                  </w:r>
                </w:p>
              </w:tc>
            </w:tr>
            <w:tr w14:paraId="741B8B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240" w:type="pct"/>
                  <w:vAlign w:val="center"/>
                </w:tcPr>
                <w:p w14:paraId="60DAF054">
                  <w:pPr>
                    <w:tabs>
                      <w:tab w:val="center" w:pos="4433"/>
                    </w:tabs>
                    <w:jc w:val="center"/>
                    <w:rPr>
                      <w:color w:val="auto"/>
                      <w:kern w:val="0"/>
                      <w:sz w:val="18"/>
                      <w:szCs w:val="18"/>
                    </w:rPr>
                  </w:pPr>
                  <w:r>
                    <w:rPr>
                      <w:color w:val="auto"/>
                      <w:kern w:val="0"/>
                      <w:sz w:val="18"/>
                      <w:szCs w:val="18"/>
                    </w:rPr>
                    <w:t>禁止在合规园区外新建、扩建钢铁、石化、化工、焦化、建材、有色等高污染项目。合规园区名录按照《江苏省长江经济带发展负面清单实施细则（试行）合规园区名录》执行。高污染项目应严格按照《环境保护综合名录》等有关要求执行</w:t>
                  </w:r>
                </w:p>
              </w:tc>
              <w:tc>
                <w:tcPr>
                  <w:tcW w:w="1233" w:type="pct"/>
                  <w:vAlign w:val="center"/>
                </w:tcPr>
                <w:p w14:paraId="23AC79A0">
                  <w:pPr>
                    <w:tabs>
                      <w:tab w:val="center" w:pos="4433"/>
                    </w:tabs>
                    <w:jc w:val="center"/>
                    <w:rPr>
                      <w:color w:val="auto"/>
                      <w:kern w:val="0"/>
                      <w:sz w:val="18"/>
                      <w:szCs w:val="18"/>
                    </w:rPr>
                  </w:pPr>
                  <w:r>
                    <w:rPr>
                      <w:color w:val="auto"/>
                      <w:kern w:val="0"/>
                      <w:sz w:val="18"/>
                      <w:szCs w:val="18"/>
                    </w:rPr>
                    <w:t>本项目位于</w:t>
                  </w:r>
                  <w:r>
                    <w:rPr>
                      <w:color w:val="auto"/>
                      <w:sz w:val="18"/>
                      <w:szCs w:val="18"/>
                    </w:rPr>
                    <w:t>连云港石化产业基地，为合规园区。</w:t>
                  </w:r>
                </w:p>
              </w:tc>
              <w:tc>
                <w:tcPr>
                  <w:tcW w:w="525" w:type="pct"/>
                  <w:vAlign w:val="center"/>
                </w:tcPr>
                <w:p w14:paraId="1181A148">
                  <w:pPr>
                    <w:jc w:val="center"/>
                    <w:rPr>
                      <w:color w:val="auto"/>
                      <w:kern w:val="0"/>
                      <w:sz w:val="18"/>
                      <w:szCs w:val="18"/>
                    </w:rPr>
                  </w:pPr>
                  <w:r>
                    <w:rPr>
                      <w:color w:val="auto"/>
                      <w:kern w:val="0"/>
                      <w:sz w:val="18"/>
                      <w:szCs w:val="18"/>
                    </w:rPr>
                    <w:t>相符</w:t>
                  </w:r>
                </w:p>
              </w:tc>
            </w:tr>
            <w:tr w14:paraId="0FCEAF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240" w:type="pct"/>
                  <w:vAlign w:val="center"/>
                </w:tcPr>
                <w:p w14:paraId="2C7B95DC">
                  <w:pPr>
                    <w:tabs>
                      <w:tab w:val="center" w:pos="4433"/>
                    </w:tabs>
                    <w:jc w:val="center"/>
                    <w:rPr>
                      <w:color w:val="auto"/>
                      <w:kern w:val="0"/>
                      <w:sz w:val="18"/>
                      <w:szCs w:val="18"/>
                    </w:rPr>
                  </w:pPr>
                  <w:r>
                    <w:rPr>
                      <w:color w:val="auto"/>
                      <w:kern w:val="0"/>
                      <w:sz w:val="18"/>
                      <w:szCs w:val="18"/>
                    </w:rPr>
                    <w:t>禁止在取消化工定位的园区（集中区）内新建化工项目</w:t>
                  </w:r>
                </w:p>
              </w:tc>
              <w:tc>
                <w:tcPr>
                  <w:tcW w:w="1233" w:type="pct"/>
                  <w:vAlign w:val="center"/>
                </w:tcPr>
                <w:p w14:paraId="7BCBC39E">
                  <w:pPr>
                    <w:tabs>
                      <w:tab w:val="center" w:pos="4433"/>
                    </w:tabs>
                    <w:jc w:val="center"/>
                    <w:rPr>
                      <w:color w:val="auto"/>
                      <w:kern w:val="0"/>
                      <w:sz w:val="18"/>
                      <w:szCs w:val="18"/>
                    </w:rPr>
                  </w:pPr>
                  <w:r>
                    <w:rPr>
                      <w:color w:val="auto"/>
                      <w:kern w:val="0"/>
                      <w:sz w:val="18"/>
                      <w:szCs w:val="18"/>
                    </w:rPr>
                    <w:t>本项目所在</w:t>
                  </w:r>
                  <w:r>
                    <w:rPr>
                      <w:color w:val="auto"/>
                      <w:sz w:val="18"/>
                      <w:szCs w:val="18"/>
                    </w:rPr>
                    <w:t>连云港石化产业基地为合规园区</w:t>
                  </w:r>
                </w:p>
              </w:tc>
              <w:tc>
                <w:tcPr>
                  <w:tcW w:w="525" w:type="pct"/>
                  <w:vAlign w:val="center"/>
                </w:tcPr>
                <w:p w14:paraId="39D3CFED">
                  <w:pPr>
                    <w:jc w:val="center"/>
                    <w:rPr>
                      <w:color w:val="auto"/>
                      <w:kern w:val="0"/>
                      <w:sz w:val="18"/>
                      <w:szCs w:val="18"/>
                    </w:rPr>
                  </w:pPr>
                  <w:r>
                    <w:rPr>
                      <w:color w:val="auto"/>
                      <w:kern w:val="0"/>
                      <w:sz w:val="18"/>
                      <w:szCs w:val="18"/>
                    </w:rPr>
                    <w:t>相符</w:t>
                  </w:r>
                </w:p>
              </w:tc>
            </w:tr>
            <w:tr w14:paraId="4A7A89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240" w:type="pct"/>
                  <w:vAlign w:val="center"/>
                </w:tcPr>
                <w:p w14:paraId="3005C492">
                  <w:pPr>
                    <w:tabs>
                      <w:tab w:val="center" w:pos="4433"/>
                    </w:tabs>
                    <w:jc w:val="center"/>
                    <w:rPr>
                      <w:color w:val="auto"/>
                      <w:kern w:val="0"/>
                      <w:sz w:val="18"/>
                      <w:szCs w:val="18"/>
                    </w:rPr>
                  </w:pPr>
                  <w:r>
                    <w:rPr>
                      <w:color w:val="auto"/>
                      <w:kern w:val="0"/>
                      <w:sz w:val="18"/>
                      <w:szCs w:val="18"/>
                    </w:rPr>
                    <w:t>禁止在化工集中区内新建、改建、扩建生产和使用《危险化学品目录》中具有爆炸特性化学品的项目</w:t>
                  </w:r>
                </w:p>
              </w:tc>
              <w:tc>
                <w:tcPr>
                  <w:tcW w:w="1233" w:type="pct"/>
                  <w:vAlign w:val="center"/>
                </w:tcPr>
                <w:p w14:paraId="6795F27B">
                  <w:pPr>
                    <w:tabs>
                      <w:tab w:val="center" w:pos="4433"/>
                    </w:tabs>
                    <w:jc w:val="center"/>
                    <w:rPr>
                      <w:color w:val="auto"/>
                      <w:kern w:val="0"/>
                      <w:sz w:val="18"/>
                      <w:szCs w:val="18"/>
                    </w:rPr>
                  </w:pPr>
                  <w:r>
                    <w:rPr>
                      <w:color w:val="auto"/>
                      <w:kern w:val="0"/>
                      <w:sz w:val="18"/>
                      <w:szCs w:val="18"/>
                    </w:rPr>
                    <w:t>本项目所在</w:t>
                  </w:r>
                  <w:r>
                    <w:rPr>
                      <w:color w:val="auto"/>
                      <w:sz w:val="18"/>
                      <w:szCs w:val="18"/>
                    </w:rPr>
                    <w:t>连云港石化产业基地为合规园区，属于化工园区</w:t>
                  </w:r>
                </w:p>
              </w:tc>
              <w:tc>
                <w:tcPr>
                  <w:tcW w:w="525" w:type="pct"/>
                  <w:vAlign w:val="center"/>
                </w:tcPr>
                <w:p w14:paraId="4C7B8A37">
                  <w:pPr>
                    <w:jc w:val="center"/>
                    <w:rPr>
                      <w:color w:val="auto"/>
                      <w:kern w:val="0"/>
                      <w:sz w:val="18"/>
                      <w:szCs w:val="18"/>
                    </w:rPr>
                  </w:pPr>
                  <w:r>
                    <w:rPr>
                      <w:color w:val="auto"/>
                      <w:kern w:val="0"/>
                      <w:sz w:val="18"/>
                      <w:szCs w:val="18"/>
                    </w:rPr>
                    <w:t>相符</w:t>
                  </w:r>
                </w:p>
              </w:tc>
            </w:tr>
            <w:tr w14:paraId="7F7085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240" w:type="pct"/>
                  <w:vAlign w:val="center"/>
                </w:tcPr>
                <w:p w14:paraId="020943C1">
                  <w:pPr>
                    <w:tabs>
                      <w:tab w:val="center" w:pos="4433"/>
                    </w:tabs>
                    <w:jc w:val="center"/>
                    <w:rPr>
                      <w:color w:val="auto"/>
                      <w:kern w:val="0"/>
                      <w:sz w:val="18"/>
                      <w:szCs w:val="18"/>
                    </w:rPr>
                  </w:pPr>
                  <w:r>
                    <w:rPr>
                      <w:color w:val="auto"/>
                      <w:kern w:val="0"/>
                      <w:sz w:val="18"/>
                      <w:szCs w:val="18"/>
                    </w:rPr>
                    <w:t>禁止在化工企业周边建设不符合安全距离规定的劳动密集型的非化工项目和其他人员密集的公共设施项目</w:t>
                  </w:r>
                </w:p>
              </w:tc>
              <w:tc>
                <w:tcPr>
                  <w:tcW w:w="1233" w:type="pct"/>
                  <w:vAlign w:val="center"/>
                </w:tcPr>
                <w:p w14:paraId="51589838">
                  <w:pPr>
                    <w:tabs>
                      <w:tab w:val="center" w:pos="4433"/>
                    </w:tabs>
                    <w:jc w:val="center"/>
                    <w:rPr>
                      <w:color w:val="auto"/>
                      <w:kern w:val="0"/>
                      <w:sz w:val="18"/>
                      <w:szCs w:val="18"/>
                    </w:rPr>
                  </w:pPr>
                  <w:r>
                    <w:rPr>
                      <w:color w:val="auto"/>
                      <w:kern w:val="0"/>
                      <w:sz w:val="18"/>
                      <w:szCs w:val="18"/>
                    </w:rPr>
                    <w:t>本项目周边无劳动密集型的非化工项目和其他人员密集的公共设施项目</w:t>
                  </w:r>
                </w:p>
              </w:tc>
              <w:tc>
                <w:tcPr>
                  <w:tcW w:w="525" w:type="pct"/>
                  <w:vAlign w:val="center"/>
                </w:tcPr>
                <w:p w14:paraId="3FBFA63B">
                  <w:pPr>
                    <w:jc w:val="center"/>
                    <w:rPr>
                      <w:color w:val="auto"/>
                      <w:kern w:val="0"/>
                      <w:sz w:val="18"/>
                      <w:szCs w:val="18"/>
                    </w:rPr>
                  </w:pPr>
                  <w:r>
                    <w:rPr>
                      <w:color w:val="auto"/>
                      <w:kern w:val="0"/>
                      <w:sz w:val="18"/>
                      <w:szCs w:val="18"/>
                    </w:rPr>
                    <w:t>相符</w:t>
                  </w:r>
                </w:p>
              </w:tc>
            </w:tr>
            <w:tr w14:paraId="32FB00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240" w:type="pct"/>
                  <w:vAlign w:val="center"/>
                </w:tcPr>
                <w:p w14:paraId="07313EE7">
                  <w:pPr>
                    <w:tabs>
                      <w:tab w:val="center" w:pos="4433"/>
                    </w:tabs>
                    <w:jc w:val="center"/>
                    <w:rPr>
                      <w:color w:val="auto"/>
                      <w:kern w:val="0"/>
                      <w:sz w:val="18"/>
                      <w:szCs w:val="18"/>
                    </w:rPr>
                  </w:pPr>
                  <w:r>
                    <w:rPr>
                      <w:color w:val="auto"/>
                      <w:kern w:val="0"/>
                      <w:sz w:val="18"/>
                      <w:szCs w:val="18"/>
                    </w:rPr>
                    <w:t>禁止在太湖流域一、二、三级保护区内开展《江苏省太湖水污染防治条例》禁止的投资建设活动</w:t>
                  </w:r>
                </w:p>
              </w:tc>
              <w:tc>
                <w:tcPr>
                  <w:tcW w:w="1233" w:type="pct"/>
                  <w:vAlign w:val="center"/>
                </w:tcPr>
                <w:p w14:paraId="3796048B">
                  <w:pPr>
                    <w:tabs>
                      <w:tab w:val="center" w:pos="4433"/>
                    </w:tabs>
                    <w:jc w:val="center"/>
                    <w:rPr>
                      <w:color w:val="auto"/>
                      <w:kern w:val="0"/>
                      <w:sz w:val="18"/>
                      <w:szCs w:val="18"/>
                    </w:rPr>
                  </w:pPr>
                  <w:r>
                    <w:rPr>
                      <w:color w:val="auto"/>
                      <w:kern w:val="0"/>
                      <w:sz w:val="18"/>
                      <w:szCs w:val="18"/>
                    </w:rPr>
                    <w:t>本项目不涉及太湖流域</w:t>
                  </w:r>
                </w:p>
              </w:tc>
              <w:tc>
                <w:tcPr>
                  <w:tcW w:w="525" w:type="pct"/>
                  <w:vAlign w:val="center"/>
                </w:tcPr>
                <w:p w14:paraId="77C5F5B8">
                  <w:pPr>
                    <w:jc w:val="center"/>
                    <w:rPr>
                      <w:color w:val="auto"/>
                      <w:kern w:val="0"/>
                      <w:sz w:val="18"/>
                      <w:szCs w:val="18"/>
                    </w:rPr>
                  </w:pPr>
                  <w:r>
                    <w:rPr>
                      <w:color w:val="auto"/>
                      <w:kern w:val="0"/>
                      <w:sz w:val="18"/>
                      <w:szCs w:val="18"/>
                    </w:rPr>
                    <w:t>相符</w:t>
                  </w:r>
                </w:p>
              </w:tc>
            </w:tr>
            <w:tr w14:paraId="4513B4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240" w:type="pct"/>
                  <w:vAlign w:val="center"/>
                </w:tcPr>
                <w:p w14:paraId="21F2B73E">
                  <w:pPr>
                    <w:tabs>
                      <w:tab w:val="center" w:pos="4433"/>
                    </w:tabs>
                    <w:jc w:val="center"/>
                    <w:rPr>
                      <w:color w:val="auto"/>
                      <w:kern w:val="0"/>
                      <w:sz w:val="18"/>
                      <w:szCs w:val="18"/>
                    </w:rPr>
                  </w:pPr>
                  <w:r>
                    <w:rPr>
                      <w:color w:val="auto"/>
                      <w:kern w:val="0"/>
                      <w:sz w:val="18"/>
                      <w:szCs w:val="18"/>
                    </w:rPr>
                    <w:t>禁止新建、扩建尿素、磷铵、电石、烧碱、聚氯乙烯、纯碱新增产能项目</w:t>
                  </w:r>
                </w:p>
              </w:tc>
              <w:tc>
                <w:tcPr>
                  <w:tcW w:w="1233" w:type="pct"/>
                  <w:vAlign w:val="center"/>
                </w:tcPr>
                <w:p w14:paraId="440CCEDF">
                  <w:pPr>
                    <w:tabs>
                      <w:tab w:val="center" w:pos="4433"/>
                    </w:tabs>
                    <w:jc w:val="center"/>
                    <w:rPr>
                      <w:color w:val="auto"/>
                      <w:kern w:val="0"/>
                      <w:sz w:val="18"/>
                      <w:szCs w:val="18"/>
                    </w:rPr>
                  </w:pPr>
                  <w:r>
                    <w:rPr>
                      <w:color w:val="auto"/>
                      <w:kern w:val="0"/>
                      <w:sz w:val="18"/>
                      <w:szCs w:val="18"/>
                    </w:rPr>
                    <w:t>本项目不涉及相关禁止建设项目类别</w:t>
                  </w:r>
                </w:p>
              </w:tc>
              <w:tc>
                <w:tcPr>
                  <w:tcW w:w="525" w:type="pct"/>
                  <w:vAlign w:val="center"/>
                </w:tcPr>
                <w:p w14:paraId="46FEB3B5">
                  <w:pPr>
                    <w:jc w:val="center"/>
                    <w:rPr>
                      <w:color w:val="auto"/>
                      <w:kern w:val="0"/>
                      <w:sz w:val="18"/>
                      <w:szCs w:val="18"/>
                    </w:rPr>
                  </w:pPr>
                  <w:r>
                    <w:rPr>
                      <w:color w:val="auto"/>
                      <w:kern w:val="0"/>
                      <w:sz w:val="18"/>
                      <w:szCs w:val="18"/>
                    </w:rPr>
                    <w:t>相符</w:t>
                  </w:r>
                </w:p>
              </w:tc>
            </w:tr>
            <w:tr w14:paraId="02883E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240" w:type="pct"/>
                  <w:vAlign w:val="center"/>
                </w:tcPr>
                <w:p w14:paraId="1A6D04E0">
                  <w:pPr>
                    <w:tabs>
                      <w:tab w:val="center" w:pos="4433"/>
                    </w:tabs>
                    <w:jc w:val="center"/>
                    <w:rPr>
                      <w:color w:val="auto"/>
                      <w:kern w:val="0"/>
                      <w:sz w:val="18"/>
                      <w:szCs w:val="18"/>
                    </w:rPr>
                  </w:pPr>
                  <w:r>
                    <w:rPr>
                      <w:color w:val="auto"/>
                      <w:kern w:val="0"/>
                      <w:sz w:val="18"/>
                      <w:szCs w:val="18"/>
                    </w:rPr>
                    <w:t>禁止新建、改建、扩建高毒、高残留以及对环境影响大的农药原药项目，禁止新建、扩建农药、医药和染料中间体化工项目</w:t>
                  </w:r>
                </w:p>
              </w:tc>
              <w:tc>
                <w:tcPr>
                  <w:tcW w:w="1233" w:type="pct"/>
                  <w:vAlign w:val="center"/>
                </w:tcPr>
                <w:p w14:paraId="45E50D23">
                  <w:pPr>
                    <w:tabs>
                      <w:tab w:val="center" w:pos="4433"/>
                    </w:tabs>
                    <w:jc w:val="center"/>
                    <w:rPr>
                      <w:color w:val="auto"/>
                      <w:kern w:val="0"/>
                      <w:sz w:val="18"/>
                      <w:szCs w:val="18"/>
                    </w:rPr>
                  </w:pPr>
                  <w:r>
                    <w:rPr>
                      <w:color w:val="auto"/>
                      <w:kern w:val="0"/>
                      <w:sz w:val="18"/>
                      <w:szCs w:val="18"/>
                    </w:rPr>
                    <w:t>本项目不涉及相关禁止建设项目类别</w:t>
                  </w:r>
                </w:p>
              </w:tc>
              <w:tc>
                <w:tcPr>
                  <w:tcW w:w="525" w:type="pct"/>
                  <w:vAlign w:val="center"/>
                </w:tcPr>
                <w:p w14:paraId="19A0F9CF">
                  <w:pPr>
                    <w:jc w:val="center"/>
                    <w:rPr>
                      <w:color w:val="auto"/>
                      <w:kern w:val="0"/>
                      <w:sz w:val="18"/>
                      <w:szCs w:val="18"/>
                    </w:rPr>
                  </w:pPr>
                  <w:r>
                    <w:rPr>
                      <w:color w:val="auto"/>
                      <w:kern w:val="0"/>
                      <w:sz w:val="18"/>
                      <w:szCs w:val="18"/>
                    </w:rPr>
                    <w:t>相符</w:t>
                  </w:r>
                </w:p>
              </w:tc>
            </w:tr>
            <w:tr w14:paraId="56687C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240" w:type="pct"/>
                  <w:vAlign w:val="center"/>
                </w:tcPr>
                <w:p w14:paraId="687C2812">
                  <w:pPr>
                    <w:tabs>
                      <w:tab w:val="center" w:pos="4433"/>
                    </w:tabs>
                    <w:jc w:val="center"/>
                    <w:rPr>
                      <w:color w:val="auto"/>
                      <w:kern w:val="0"/>
                      <w:sz w:val="18"/>
                      <w:szCs w:val="18"/>
                    </w:rPr>
                  </w:pPr>
                  <w:r>
                    <w:rPr>
                      <w:color w:val="auto"/>
                      <w:kern w:val="0"/>
                      <w:sz w:val="18"/>
                      <w:szCs w:val="18"/>
                    </w:rPr>
                    <w:t>禁止新建不符合行业准入条件的合成氨、对二甲苯、二硫化碳、氟化氢、轮脂等项目</w:t>
                  </w:r>
                </w:p>
              </w:tc>
              <w:tc>
                <w:tcPr>
                  <w:tcW w:w="1233" w:type="pct"/>
                  <w:vAlign w:val="center"/>
                </w:tcPr>
                <w:p w14:paraId="48FD3450">
                  <w:pPr>
                    <w:tabs>
                      <w:tab w:val="center" w:pos="4433"/>
                    </w:tabs>
                    <w:jc w:val="center"/>
                    <w:rPr>
                      <w:color w:val="auto"/>
                      <w:kern w:val="0"/>
                      <w:sz w:val="18"/>
                      <w:szCs w:val="18"/>
                    </w:rPr>
                  </w:pPr>
                  <w:r>
                    <w:rPr>
                      <w:color w:val="auto"/>
                      <w:kern w:val="0"/>
                      <w:sz w:val="18"/>
                      <w:szCs w:val="18"/>
                    </w:rPr>
                    <w:t>本项目不涉及相关禁止建设项目类别</w:t>
                  </w:r>
                </w:p>
              </w:tc>
              <w:tc>
                <w:tcPr>
                  <w:tcW w:w="525" w:type="pct"/>
                  <w:vAlign w:val="center"/>
                </w:tcPr>
                <w:p w14:paraId="4E845925">
                  <w:pPr>
                    <w:jc w:val="center"/>
                    <w:rPr>
                      <w:color w:val="auto"/>
                      <w:kern w:val="0"/>
                      <w:sz w:val="18"/>
                      <w:szCs w:val="18"/>
                    </w:rPr>
                  </w:pPr>
                  <w:r>
                    <w:rPr>
                      <w:color w:val="auto"/>
                      <w:kern w:val="0"/>
                      <w:sz w:val="18"/>
                      <w:szCs w:val="18"/>
                    </w:rPr>
                    <w:t>相符</w:t>
                  </w:r>
                </w:p>
              </w:tc>
            </w:tr>
            <w:tr w14:paraId="75ECF1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240" w:type="pct"/>
                  <w:vAlign w:val="center"/>
                </w:tcPr>
                <w:p w14:paraId="45C1E3E2">
                  <w:pPr>
                    <w:tabs>
                      <w:tab w:val="center" w:pos="4433"/>
                    </w:tabs>
                    <w:jc w:val="center"/>
                    <w:rPr>
                      <w:color w:val="auto"/>
                      <w:kern w:val="0"/>
                      <w:sz w:val="18"/>
                      <w:szCs w:val="18"/>
                    </w:rPr>
                  </w:pPr>
                  <w:r>
                    <w:rPr>
                      <w:color w:val="auto"/>
                      <w:kern w:val="0"/>
                      <w:sz w:val="18"/>
                      <w:szCs w:val="18"/>
                    </w:rPr>
                    <w:t>禁止新建、扩建不符合国家石化、现代煤化工等产业布局规划的项目，禁止新建独立焦化项目</w:t>
                  </w:r>
                </w:p>
              </w:tc>
              <w:tc>
                <w:tcPr>
                  <w:tcW w:w="1233" w:type="pct"/>
                  <w:vAlign w:val="center"/>
                </w:tcPr>
                <w:p w14:paraId="60721903">
                  <w:pPr>
                    <w:tabs>
                      <w:tab w:val="center" w:pos="4433"/>
                    </w:tabs>
                    <w:jc w:val="center"/>
                    <w:rPr>
                      <w:color w:val="auto"/>
                      <w:kern w:val="0"/>
                      <w:sz w:val="18"/>
                      <w:szCs w:val="18"/>
                    </w:rPr>
                  </w:pPr>
                  <w:r>
                    <w:rPr>
                      <w:color w:val="auto"/>
                      <w:kern w:val="0"/>
                      <w:sz w:val="18"/>
                      <w:szCs w:val="18"/>
                    </w:rPr>
                    <w:t>本项目不涉及相关禁止建设项目类别</w:t>
                  </w:r>
                </w:p>
              </w:tc>
              <w:tc>
                <w:tcPr>
                  <w:tcW w:w="525" w:type="pct"/>
                  <w:vAlign w:val="center"/>
                </w:tcPr>
                <w:p w14:paraId="32714359">
                  <w:pPr>
                    <w:jc w:val="center"/>
                    <w:rPr>
                      <w:color w:val="auto"/>
                      <w:kern w:val="0"/>
                      <w:sz w:val="18"/>
                      <w:szCs w:val="18"/>
                    </w:rPr>
                  </w:pPr>
                  <w:r>
                    <w:rPr>
                      <w:color w:val="auto"/>
                      <w:kern w:val="0"/>
                      <w:sz w:val="18"/>
                      <w:szCs w:val="18"/>
                    </w:rPr>
                    <w:t>相符</w:t>
                  </w:r>
                </w:p>
              </w:tc>
            </w:tr>
            <w:tr w14:paraId="55DCCC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240" w:type="pct"/>
                  <w:vAlign w:val="center"/>
                </w:tcPr>
                <w:p w14:paraId="3FE16D5D">
                  <w:pPr>
                    <w:tabs>
                      <w:tab w:val="center" w:pos="4433"/>
                    </w:tabs>
                    <w:jc w:val="center"/>
                    <w:rPr>
                      <w:color w:val="auto"/>
                      <w:kern w:val="0"/>
                      <w:sz w:val="18"/>
                      <w:szCs w:val="18"/>
                    </w:rPr>
                  </w:pPr>
                  <w:r>
                    <w:rPr>
                      <w:color w:val="auto"/>
                      <w:kern w:val="0"/>
                      <w:sz w:val="18"/>
                      <w:szCs w:val="18"/>
                    </w:rPr>
                    <w:t>禁止新建、扩建不符合国家产能置换要求的严重过剩产能行业的项目</w:t>
                  </w:r>
                </w:p>
              </w:tc>
              <w:tc>
                <w:tcPr>
                  <w:tcW w:w="1233" w:type="pct"/>
                  <w:vAlign w:val="center"/>
                </w:tcPr>
                <w:p w14:paraId="593BBD2F">
                  <w:pPr>
                    <w:tabs>
                      <w:tab w:val="center" w:pos="4433"/>
                    </w:tabs>
                    <w:jc w:val="center"/>
                    <w:rPr>
                      <w:color w:val="auto"/>
                      <w:kern w:val="0"/>
                      <w:sz w:val="18"/>
                      <w:szCs w:val="18"/>
                    </w:rPr>
                  </w:pPr>
                  <w:r>
                    <w:rPr>
                      <w:color w:val="auto"/>
                      <w:kern w:val="0"/>
                      <w:sz w:val="18"/>
                      <w:szCs w:val="18"/>
                    </w:rPr>
                    <w:t>本项目符合国家及地方产业政策</w:t>
                  </w:r>
                </w:p>
              </w:tc>
              <w:tc>
                <w:tcPr>
                  <w:tcW w:w="525" w:type="pct"/>
                  <w:vAlign w:val="center"/>
                </w:tcPr>
                <w:p w14:paraId="1E1000EF">
                  <w:pPr>
                    <w:jc w:val="center"/>
                    <w:rPr>
                      <w:color w:val="auto"/>
                      <w:kern w:val="0"/>
                      <w:sz w:val="18"/>
                      <w:szCs w:val="18"/>
                    </w:rPr>
                  </w:pPr>
                  <w:r>
                    <w:rPr>
                      <w:color w:val="auto"/>
                      <w:kern w:val="0"/>
                      <w:sz w:val="18"/>
                      <w:szCs w:val="18"/>
                    </w:rPr>
                    <w:t>相符</w:t>
                  </w:r>
                </w:p>
              </w:tc>
            </w:tr>
            <w:tr w14:paraId="3944D1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240" w:type="pct"/>
                  <w:vAlign w:val="center"/>
                </w:tcPr>
                <w:p w14:paraId="79C2F729">
                  <w:pPr>
                    <w:tabs>
                      <w:tab w:val="center" w:pos="4433"/>
                    </w:tabs>
                    <w:jc w:val="center"/>
                    <w:rPr>
                      <w:color w:val="auto"/>
                      <w:kern w:val="0"/>
                      <w:sz w:val="18"/>
                      <w:szCs w:val="18"/>
                    </w:rPr>
                  </w:pPr>
                  <w:r>
                    <w:rPr>
                      <w:color w:val="auto"/>
                      <w:kern w:val="0"/>
                      <w:sz w:val="18"/>
                      <w:szCs w:val="18"/>
                    </w:rPr>
                    <w:t>禁止新建、扩建国家《产业结构调整指导目录》、《江苏省产业结构调整限制、淘汰和禁止目录》明确的限制类、淘汰类、禁止类项目，法律法规和相关政策明令禁止的落后产能项目，以及明令淘汰的安全生产落后工艺及装备项目</w:t>
                  </w:r>
                </w:p>
              </w:tc>
              <w:tc>
                <w:tcPr>
                  <w:tcW w:w="1233" w:type="pct"/>
                  <w:vAlign w:val="center"/>
                </w:tcPr>
                <w:p w14:paraId="6A9E1912">
                  <w:pPr>
                    <w:tabs>
                      <w:tab w:val="center" w:pos="4433"/>
                    </w:tabs>
                    <w:jc w:val="center"/>
                    <w:rPr>
                      <w:color w:val="auto"/>
                      <w:kern w:val="0"/>
                      <w:sz w:val="18"/>
                      <w:szCs w:val="18"/>
                    </w:rPr>
                  </w:pPr>
                  <w:r>
                    <w:rPr>
                      <w:color w:val="auto"/>
                      <w:kern w:val="0"/>
                      <w:sz w:val="18"/>
                      <w:szCs w:val="18"/>
                    </w:rPr>
                    <w:t>本项目符合国家及地方产业政策</w:t>
                  </w:r>
                </w:p>
              </w:tc>
              <w:tc>
                <w:tcPr>
                  <w:tcW w:w="525" w:type="pct"/>
                  <w:vAlign w:val="center"/>
                </w:tcPr>
                <w:p w14:paraId="437987C5">
                  <w:pPr>
                    <w:jc w:val="center"/>
                    <w:rPr>
                      <w:color w:val="auto"/>
                      <w:kern w:val="0"/>
                      <w:sz w:val="18"/>
                      <w:szCs w:val="18"/>
                    </w:rPr>
                  </w:pPr>
                  <w:r>
                    <w:rPr>
                      <w:color w:val="auto"/>
                      <w:kern w:val="0"/>
                      <w:sz w:val="18"/>
                      <w:szCs w:val="18"/>
                    </w:rPr>
                    <w:t>相符</w:t>
                  </w:r>
                </w:p>
              </w:tc>
            </w:tr>
          </w:tbl>
          <w:p w14:paraId="05A87077">
            <w:pPr>
              <w:autoSpaceDE w:val="0"/>
              <w:autoSpaceDN w:val="0"/>
              <w:adjustRightInd w:val="0"/>
              <w:snapToGrid w:val="0"/>
              <w:spacing w:line="500" w:lineRule="exact"/>
              <w:ind w:firstLine="422" w:firstLineChars="200"/>
              <w:jc w:val="left"/>
              <w:rPr>
                <w:b/>
                <w:color w:val="auto"/>
                <w:kern w:val="0"/>
                <w:szCs w:val="21"/>
              </w:rPr>
            </w:pPr>
            <w:r>
              <w:rPr>
                <w:b/>
                <w:color w:val="auto"/>
                <w:kern w:val="0"/>
                <w:szCs w:val="21"/>
              </w:rPr>
              <w:t>3</w:t>
            </w:r>
            <w:r>
              <w:rPr>
                <w:rFonts w:hint="eastAsia"/>
                <w:b/>
                <w:color w:val="auto"/>
                <w:kern w:val="0"/>
                <w:szCs w:val="21"/>
              </w:rPr>
              <w:t>、与相关生态环境保护法律法规政策相符性分析</w:t>
            </w:r>
          </w:p>
          <w:p w14:paraId="29EF4B71">
            <w:pPr>
              <w:autoSpaceDE w:val="0"/>
              <w:autoSpaceDN w:val="0"/>
              <w:adjustRightInd w:val="0"/>
              <w:snapToGrid w:val="0"/>
              <w:spacing w:line="500" w:lineRule="exact"/>
              <w:ind w:firstLine="422" w:firstLineChars="200"/>
              <w:jc w:val="left"/>
              <w:rPr>
                <w:rFonts w:ascii="宋体" w:hAnsi="宋体" w:cs="宋体"/>
                <w:b/>
                <w:color w:val="auto"/>
                <w:kern w:val="0"/>
                <w:szCs w:val="21"/>
              </w:rPr>
            </w:pPr>
            <w:r>
              <w:rPr>
                <w:rFonts w:hint="eastAsia" w:ascii="宋体" w:hAnsi="宋体" w:cs="宋体"/>
                <w:b/>
                <w:color w:val="auto"/>
                <w:kern w:val="0"/>
                <w:szCs w:val="21"/>
              </w:rPr>
              <w:t>（1）</w:t>
            </w:r>
            <w:r>
              <w:rPr>
                <w:rFonts w:hint="eastAsia"/>
                <w:b/>
                <w:color w:val="auto"/>
                <w:kern w:val="0"/>
                <w:szCs w:val="21"/>
              </w:rPr>
              <w:t>与挥发性有机物等大气污染防治要求的相符性分析</w:t>
            </w:r>
          </w:p>
          <w:p w14:paraId="5C2DE918">
            <w:pPr>
              <w:autoSpaceDE w:val="0"/>
              <w:autoSpaceDN w:val="0"/>
              <w:adjustRightInd w:val="0"/>
              <w:snapToGrid w:val="0"/>
              <w:spacing w:line="500" w:lineRule="exact"/>
              <w:ind w:firstLine="420" w:firstLineChars="200"/>
              <w:jc w:val="left"/>
              <w:rPr>
                <w:bCs/>
                <w:color w:val="auto"/>
                <w:kern w:val="0"/>
                <w:szCs w:val="21"/>
              </w:rPr>
            </w:pPr>
            <w:r>
              <w:rPr>
                <w:rFonts w:hint="eastAsia"/>
                <w:bCs/>
                <w:color w:val="auto"/>
                <w:kern w:val="0"/>
                <w:szCs w:val="21"/>
              </w:rPr>
              <w:t>本项目与挥发性有机物等大气污染防治要求见表1-6，经分析，本项目符合相关文件要求。</w:t>
            </w:r>
          </w:p>
          <w:p w14:paraId="68541CA7">
            <w:pPr>
              <w:snapToGrid w:val="0"/>
              <w:spacing w:line="500" w:lineRule="exact"/>
              <w:jc w:val="center"/>
              <w:rPr>
                <w:b/>
                <w:color w:val="auto"/>
                <w:szCs w:val="21"/>
              </w:rPr>
            </w:pPr>
            <w:r>
              <w:rPr>
                <w:rFonts w:hint="eastAsia"/>
                <w:b/>
                <w:color w:val="auto"/>
                <w:szCs w:val="21"/>
              </w:rPr>
              <w:t>表1</w:t>
            </w:r>
            <w:r>
              <w:rPr>
                <w:b/>
                <w:color w:val="auto"/>
                <w:szCs w:val="21"/>
              </w:rPr>
              <w:t>-</w:t>
            </w:r>
            <w:r>
              <w:rPr>
                <w:rFonts w:hint="eastAsia"/>
                <w:b/>
                <w:color w:val="auto"/>
                <w:szCs w:val="21"/>
              </w:rPr>
              <w:t>6 本项目与挥发性有机物等大气污染防治要求分析</w:t>
            </w:r>
          </w:p>
          <w:tbl>
            <w:tblPr>
              <w:tblStyle w:val="22"/>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64"/>
              <w:gridCol w:w="1609"/>
              <w:gridCol w:w="2811"/>
              <w:gridCol w:w="2719"/>
            </w:tblGrid>
            <w:tr w14:paraId="3027D7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43" w:type="pct"/>
                  <w:vAlign w:val="center"/>
                </w:tcPr>
                <w:p w14:paraId="7DDC11D3">
                  <w:pPr>
                    <w:pStyle w:val="76"/>
                    <w:jc w:val="center"/>
                    <w:rPr>
                      <w:rFonts w:eastAsia="宋体"/>
                      <w:b/>
                      <w:bCs/>
                      <w:color w:val="auto"/>
                      <w:sz w:val="18"/>
                      <w:szCs w:val="18"/>
                    </w:rPr>
                  </w:pPr>
                  <w:r>
                    <w:rPr>
                      <w:rFonts w:hint="eastAsia" w:eastAsia="宋体"/>
                      <w:b/>
                      <w:bCs/>
                      <w:color w:val="auto"/>
                      <w:sz w:val="18"/>
                      <w:szCs w:val="18"/>
                    </w:rPr>
                    <w:t>序号</w:t>
                  </w:r>
                </w:p>
              </w:tc>
              <w:tc>
                <w:tcPr>
                  <w:tcW w:w="1072" w:type="pct"/>
                  <w:vAlign w:val="center"/>
                </w:tcPr>
                <w:p w14:paraId="7EA4BFB6">
                  <w:pPr>
                    <w:pStyle w:val="76"/>
                    <w:jc w:val="center"/>
                    <w:rPr>
                      <w:rFonts w:eastAsia="宋体"/>
                      <w:b/>
                      <w:bCs/>
                      <w:color w:val="auto"/>
                      <w:sz w:val="18"/>
                      <w:szCs w:val="18"/>
                    </w:rPr>
                  </w:pPr>
                  <w:r>
                    <w:rPr>
                      <w:rFonts w:hint="eastAsia" w:eastAsia="宋体"/>
                      <w:b/>
                      <w:bCs/>
                      <w:color w:val="auto"/>
                      <w:sz w:val="18"/>
                      <w:szCs w:val="18"/>
                    </w:rPr>
                    <w:t>文件名称</w:t>
                  </w:r>
                </w:p>
              </w:tc>
              <w:tc>
                <w:tcPr>
                  <w:tcW w:w="1872" w:type="pct"/>
                  <w:vAlign w:val="center"/>
                </w:tcPr>
                <w:p w14:paraId="115BB742">
                  <w:pPr>
                    <w:pStyle w:val="76"/>
                    <w:jc w:val="center"/>
                    <w:rPr>
                      <w:rFonts w:eastAsia="宋体"/>
                      <w:b/>
                      <w:bCs/>
                      <w:color w:val="auto"/>
                      <w:sz w:val="18"/>
                      <w:szCs w:val="18"/>
                    </w:rPr>
                  </w:pPr>
                  <w:r>
                    <w:rPr>
                      <w:rFonts w:hint="eastAsia" w:eastAsia="宋体"/>
                      <w:b/>
                      <w:bCs/>
                      <w:color w:val="auto"/>
                      <w:sz w:val="18"/>
                      <w:szCs w:val="18"/>
                    </w:rPr>
                    <w:t>相关内容</w:t>
                  </w:r>
                </w:p>
              </w:tc>
              <w:tc>
                <w:tcPr>
                  <w:tcW w:w="1811" w:type="pct"/>
                  <w:vAlign w:val="center"/>
                </w:tcPr>
                <w:p w14:paraId="0692287C">
                  <w:pPr>
                    <w:pStyle w:val="76"/>
                    <w:jc w:val="center"/>
                    <w:rPr>
                      <w:rFonts w:eastAsia="宋体"/>
                      <w:b/>
                      <w:bCs/>
                      <w:color w:val="auto"/>
                      <w:sz w:val="18"/>
                      <w:szCs w:val="18"/>
                    </w:rPr>
                  </w:pPr>
                  <w:r>
                    <w:rPr>
                      <w:rFonts w:hint="eastAsia" w:eastAsia="宋体"/>
                      <w:b/>
                      <w:bCs/>
                      <w:color w:val="auto"/>
                      <w:sz w:val="18"/>
                      <w:szCs w:val="18"/>
                    </w:rPr>
                    <w:t>相符性分析</w:t>
                  </w:r>
                </w:p>
              </w:tc>
            </w:tr>
            <w:tr w14:paraId="799E14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43" w:type="pct"/>
                  <w:vMerge w:val="restart"/>
                  <w:vAlign w:val="center"/>
                </w:tcPr>
                <w:p w14:paraId="038E49D0">
                  <w:pPr>
                    <w:pStyle w:val="76"/>
                    <w:rPr>
                      <w:rFonts w:eastAsia="宋体"/>
                      <w:color w:val="auto"/>
                      <w:sz w:val="18"/>
                      <w:szCs w:val="18"/>
                    </w:rPr>
                  </w:pPr>
                  <w:r>
                    <w:rPr>
                      <w:rFonts w:hint="eastAsia" w:eastAsia="宋体"/>
                      <w:color w:val="auto"/>
                      <w:sz w:val="18"/>
                      <w:szCs w:val="18"/>
                    </w:rPr>
                    <w:t>1</w:t>
                  </w:r>
                </w:p>
              </w:tc>
              <w:tc>
                <w:tcPr>
                  <w:tcW w:w="1072" w:type="pct"/>
                  <w:vMerge w:val="restart"/>
                  <w:vAlign w:val="center"/>
                </w:tcPr>
                <w:p w14:paraId="04B2537C">
                  <w:pPr>
                    <w:pStyle w:val="76"/>
                    <w:rPr>
                      <w:rFonts w:eastAsia="宋体"/>
                      <w:color w:val="auto"/>
                      <w:sz w:val="18"/>
                      <w:szCs w:val="18"/>
                    </w:rPr>
                  </w:pPr>
                  <w:r>
                    <w:rPr>
                      <w:rFonts w:hint="eastAsia" w:eastAsia="宋体"/>
                      <w:color w:val="auto"/>
                      <w:sz w:val="18"/>
                      <w:szCs w:val="18"/>
                    </w:rPr>
                    <w:t>关于深入开展涉VOCs治理重点工作核查的通知（苏环办</w:t>
                  </w:r>
                  <w:r>
                    <w:rPr>
                      <w:rFonts w:hint="eastAsia" w:eastAsia="宋体"/>
                      <w:color w:val="auto"/>
                      <w:sz w:val="18"/>
                      <w:szCs w:val="18"/>
                      <w:lang w:eastAsia="zh-CN"/>
                    </w:rPr>
                    <w:t>〔2022〕218号</w:t>
                  </w:r>
                  <w:r>
                    <w:rPr>
                      <w:rFonts w:hint="eastAsia" w:eastAsia="宋体"/>
                      <w:color w:val="auto"/>
                      <w:sz w:val="18"/>
                      <w:szCs w:val="18"/>
                    </w:rPr>
                    <w:t>）</w:t>
                  </w:r>
                </w:p>
              </w:tc>
              <w:tc>
                <w:tcPr>
                  <w:tcW w:w="1872" w:type="pct"/>
                  <w:vAlign w:val="center"/>
                </w:tcPr>
                <w:p w14:paraId="483961E3">
                  <w:pPr>
                    <w:pStyle w:val="76"/>
                    <w:rPr>
                      <w:rFonts w:eastAsia="宋体"/>
                      <w:color w:val="auto"/>
                      <w:sz w:val="18"/>
                      <w:szCs w:val="18"/>
                    </w:rPr>
                  </w:pPr>
                  <w:r>
                    <w:rPr>
                      <w:rFonts w:hint="eastAsia" w:eastAsia="宋体"/>
                      <w:color w:val="auto"/>
                      <w:sz w:val="18"/>
                      <w:szCs w:val="18"/>
                    </w:rPr>
                    <w:t>1、设计风量</w:t>
                  </w:r>
                </w:p>
                <w:p w14:paraId="5C6D10E3">
                  <w:pPr>
                    <w:pStyle w:val="76"/>
                    <w:rPr>
                      <w:rFonts w:eastAsia="宋体"/>
                      <w:color w:val="auto"/>
                      <w:sz w:val="18"/>
                      <w:szCs w:val="18"/>
                    </w:rPr>
                  </w:pPr>
                  <w:r>
                    <w:rPr>
                      <w:rFonts w:hint="eastAsia" w:eastAsia="宋体"/>
                      <w:color w:val="auto"/>
                      <w:sz w:val="18"/>
                      <w:szCs w:val="18"/>
                    </w:rPr>
                    <w:t>涉VOCs排放工序应在密闭空间中操作或采用全密闭集气罩收集，无法密闭采用局部集气罩的，应根据废气排放特点合理选择收集点位，按《排风罩的分类和技术条件》（GB/T 16758）规定，设置能有效收集废气的集气罩，距集气罩开口面最远处的VOCs无组织排放位置，控制风速不低于0.3米/秒。</w:t>
                  </w:r>
                </w:p>
              </w:tc>
              <w:tc>
                <w:tcPr>
                  <w:tcW w:w="1811" w:type="pct"/>
                  <w:vAlign w:val="center"/>
                </w:tcPr>
                <w:p w14:paraId="5F2DC2FC">
                  <w:pPr>
                    <w:pStyle w:val="76"/>
                    <w:jc w:val="center"/>
                    <w:rPr>
                      <w:rFonts w:eastAsia="宋体"/>
                      <w:color w:val="auto"/>
                      <w:sz w:val="18"/>
                      <w:szCs w:val="18"/>
                    </w:rPr>
                  </w:pPr>
                  <w:r>
                    <w:rPr>
                      <w:rFonts w:hint="eastAsia" w:eastAsia="宋体"/>
                      <w:color w:val="auto"/>
                      <w:sz w:val="18"/>
                      <w:szCs w:val="18"/>
                    </w:rPr>
                    <w:t>本项目涉及使用挥发性有机物料</w:t>
                  </w:r>
                  <w:r>
                    <w:rPr>
                      <w:rFonts w:hint="eastAsia" w:eastAsia="宋体"/>
                      <w:color w:val="auto"/>
                      <w:sz w:val="18"/>
                      <w:szCs w:val="18"/>
                      <w:lang w:val="en-US"/>
                    </w:rPr>
                    <w:t>在通风橱内进行</w:t>
                  </w:r>
                  <w:r>
                    <w:rPr>
                      <w:rFonts w:hint="eastAsia" w:eastAsia="宋体"/>
                      <w:color w:val="auto"/>
                      <w:sz w:val="18"/>
                      <w:szCs w:val="18"/>
                    </w:rPr>
                    <w:t>。按《排风罩的分类和技术条件》（GB/T 16758）规定，设置能有效收集废气的集气罩，集气罩开口面最远处的VOCs无组织排放位置，控制风速不低于0.3米/秒。</w:t>
                  </w:r>
                </w:p>
              </w:tc>
            </w:tr>
            <w:tr w14:paraId="2FAEC9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43" w:type="pct"/>
                  <w:vMerge w:val="continue"/>
                  <w:vAlign w:val="center"/>
                </w:tcPr>
                <w:p w14:paraId="407E27F0">
                  <w:pPr>
                    <w:pStyle w:val="76"/>
                    <w:rPr>
                      <w:rFonts w:eastAsia="宋体"/>
                      <w:color w:val="auto"/>
                      <w:sz w:val="18"/>
                      <w:szCs w:val="18"/>
                    </w:rPr>
                  </w:pPr>
                </w:p>
              </w:tc>
              <w:tc>
                <w:tcPr>
                  <w:tcW w:w="1072" w:type="pct"/>
                  <w:vMerge w:val="continue"/>
                  <w:vAlign w:val="center"/>
                </w:tcPr>
                <w:p w14:paraId="42CF0B2A">
                  <w:pPr>
                    <w:pStyle w:val="76"/>
                    <w:rPr>
                      <w:rFonts w:eastAsia="宋体"/>
                      <w:color w:val="auto"/>
                      <w:sz w:val="18"/>
                      <w:szCs w:val="18"/>
                    </w:rPr>
                  </w:pPr>
                </w:p>
              </w:tc>
              <w:tc>
                <w:tcPr>
                  <w:tcW w:w="1872" w:type="pct"/>
                  <w:vAlign w:val="center"/>
                </w:tcPr>
                <w:p w14:paraId="1BEC1018">
                  <w:pPr>
                    <w:pStyle w:val="76"/>
                    <w:rPr>
                      <w:rFonts w:eastAsia="宋体"/>
                      <w:color w:val="auto"/>
                      <w:sz w:val="18"/>
                      <w:szCs w:val="18"/>
                    </w:rPr>
                  </w:pPr>
                  <w:r>
                    <w:rPr>
                      <w:rFonts w:hint="eastAsia" w:eastAsia="宋体"/>
                      <w:color w:val="auto"/>
                      <w:sz w:val="18"/>
                      <w:szCs w:val="18"/>
                    </w:rPr>
                    <w:t>2、设备质量</w:t>
                  </w:r>
                </w:p>
                <w:p w14:paraId="4A322749">
                  <w:pPr>
                    <w:pStyle w:val="76"/>
                    <w:rPr>
                      <w:rFonts w:eastAsia="宋体"/>
                      <w:color w:val="auto"/>
                      <w:sz w:val="18"/>
                      <w:szCs w:val="18"/>
                    </w:rPr>
                  </w:pPr>
                  <w:r>
                    <w:rPr>
                      <w:rFonts w:hint="eastAsia" w:eastAsia="宋体"/>
                      <w:color w:val="auto"/>
                      <w:sz w:val="18"/>
                      <w:szCs w:val="18"/>
                    </w:rPr>
                    <w:t>无论是卧式活性炭罐还是箱式活性炭罐内部结构应设计合理，气体流通顺畅、无短路、无死角。活性炭吸附装置的门、焊缝、管道连接处等均应严密，不得漏气，所有螺栓、螺母均应经过表面处理，连接牢固。金属材质装置外壳应采用不锈钢或防腐处理，表面光洁不得有锈蚀、毛刺、凹凸不平等缺陷。</w:t>
                  </w:r>
                </w:p>
                <w:p w14:paraId="0119E8B3">
                  <w:pPr>
                    <w:pStyle w:val="76"/>
                    <w:rPr>
                      <w:rFonts w:eastAsia="宋体"/>
                      <w:color w:val="auto"/>
                      <w:sz w:val="18"/>
                      <w:szCs w:val="18"/>
                    </w:rPr>
                  </w:pPr>
                  <w:r>
                    <w:rPr>
                      <w:rFonts w:hint="eastAsia" w:eastAsia="宋体"/>
                      <w:color w:val="auto"/>
                      <w:sz w:val="18"/>
                      <w:szCs w:val="18"/>
                    </w:rPr>
                    <w:t>排放风机宜安装在吸附装置后端，使装置形成负压，尽量保证无污染气体泄漏到设备箱罐体体外。</w:t>
                  </w:r>
                </w:p>
                <w:p w14:paraId="5A00D1F3">
                  <w:pPr>
                    <w:pStyle w:val="76"/>
                    <w:rPr>
                      <w:rFonts w:eastAsia="宋体"/>
                      <w:color w:val="auto"/>
                      <w:sz w:val="18"/>
                      <w:szCs w:val="18"/>
                    </w:rPr>
                  </w:pPr>
                  <w:r>
                    <w:rPr>
                      <w:rFonts w:hint="eastAsia" w:eastAsia="宋体"/>
                      <w:color w:val="auto"/>
                      <w:sz w:val="18"/>
                      <w:szCs w:val="18"/>
                    </w:rPr>
                    <w:t>应在活性炭吸附装置进气和出气管道上设置采样口，采样口设置应符合《环境保护产品技术要求工业废气吸附净化装置HJT 3862007》的要求，便于日常监测活性炭吸附效率。根据活性炭更换周期及时更换活性炭，更换下来的活性炭按危险废物处理。采用活性炭吸附装置的企业应配备VOCs快速监测设备。</w:t>
                  </w:r>
                </w:p>
              </w:tc>
              <w:tc>
                <w:tcPr>
                  <w:tcW w:w="1811" w:type="pct"/>
                  <w:vAlign w:val="center"/>
                </w:tcPr>
                <w:p w14:paraId="6C833696">
                  <w:pPr>
                    <w:pStyle w:val="76"/>
                    <w:rPr>
                      <w:rFonts w:eastAsia="宋体"/>
                      <w:color w:val="auto"/>
                      <w:sz w:val="18"/>
                      <w:szCs w:val="18"/>
                    </w:rPr>
                  </w:pPr>
                  <w:r>
                    <w:rPr>
                      <w:rFonts w:hint="eastAsia" w:eastAsia="宋体"/>
                      <w:color w:val="auto"/>
                      <w:sz w:val="18"/>
                      <w:szCs w:val="18"/>
                    </w:rPr>
                    <w:t>本项目采用</w:t>
                  </w:r>
                  <w:r>
                    <w:rPr>
                      <w:rFonts w:hint="eastAsia" w:eastAsia="宋体"/>
                      <w:color w:val="auto"/>
                      <w:sz w:val="18"/>
                      <w:szCs w:val="18"/>
                      <w:lang w:val="en-US" w:eastAsia="zh-CN"/>
                    </w:rPr>
                    <w:t>卧式</w:t>
                  </w:r>
                  <w:r>
                    <w:rPr>
                      <w:rFonts w:hint="eastAsia" w:eastAsia="宋体"/>
                      <w:color w:val="auto"/>
                      <w:sz w:val="18"/>
                      <w:szCs w:val="18"/>
                    </w:rPr>
                    <w:t>活性炭，活性炭的设计、建设将按照相关要求进行。</w:t>
                  </w:r>
                </w:p>
                <w:p w14:paraId="00D1FF99">
                  <w:pPr>
                    <w:pStyle w:val="76"/>
                    <w:rPr>
                      <w:rFonts w:eastAsia="宋体"/>
                      <w:color w:val="auto"/>
                      <w:sz w:val="18"/>
                      <w:szCs w:val="18"/>
                    </w:rPr>
                  </w:pPr>
                  <w:r>
                    <w:rPr>
                      <w:rFonts w:hint="eastAsia" w:eastAsia="宋体"/>
                      <w:color w:val="auto"/>
                      <w:sz w:val="18"/>
                      <w:szCs w:val="18"/>
                    </w:rPr>
                    <w:t>本项目排放风机安装在吸附装置后端，使装置形成负压，尽量保证无污染气体泄漏到设备箱罐体体外。</w:t>
                  </w:r>
                </w:p>
                <w:p w14:paraId="134741AA">
                  <w:pPr>
                    <w:pStyle w:val="76"/>
                    <w:rPr>
                      <w:rFonts w:eastAsia="宋体"/>
                      <w:color w:val="auto"/>
                      <w:sz w:val="18"/>
                      <w:szCs w:val="18"/>
                    </w:rPr>
                  </w:pPr>
                  <w:r>
                    <w:rPr>
                      <w:rFonts w:hint="eastAsia" w:eastAsia="宋体"/>
                      <w:color w:val="auto"/>
                      <w:sz w:val="18"/>
                      <w:szCs w:val="18"/>
                    </w:rPr>
                    <w:t>本项目采样口设置符合HJ/T 386-2007的要求。根据活性炭更换周期及时更换活性炭，更换下来的活性炭按危险废物处理。</w:t>
                  </w:r>
                </w:p>
              </w:tc>
            </w:tr>
            <w:tr w14:paraId="20FEBC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43" w:type="pct"/>
                  <w:vMerge w:val="continue"/>
                  <w:vAlign w:val="center"/>
                </w:tcPr>
                <w:p w14:paraId="5F6BDEA6">
                  <w:pPr>
                    <w:pStyle w:val="76"/>
                    <w:rPr>
                      <w:rFonts w:eastAsia="宋体"/>
                      <w:color w:val="auto"/>
                      <w:sz w:val="18"/>
                      <w:szCs w:val="18"/>
                    </w:rPr>
                  </w:pPr>
                </w:p>
              </w:tc>
              <w:tc>
                <w:tcPr>
                  <w:tcW w:w="1072" w:type="pct"/>
                  <w:vMerge w:val="continue"/>
                  <w:vAlign w:val="center"/>
                </w:tcPr>
                <w:p w14:paraId="48497D8E">
                  <w:pPr>
                    <w:pStyle w:val="76"/>
                    <w:rPr>
                      <w:rFonts w:eastAsia="宋体"/>
                      <w:color w:val="auto"/>
                      <w:sz w:val="18"/>
                      <w:szCs w:val="18"/>
                    </w:rPr>
                  </w:pPr>
                </w:p>
              </w:tc>
              <w:tc>
                <w:tcPr>
                  <w:tcW w:w="1872" w:type="pct"/>
                  <w:vAlign w:val="center"/>
                </w:tcPr>
                <w:p w14:paraId="46627A51">
                  <w:pPr>
                    <w:pStyle w:val="76"/>
                    <w:rPr>
                      <w:rFonts w:eastAsia="宋体"/>
                      <w:color w:val="auto"/>
                      <w:sz w:val="18"/>
                      <w:szCs w:val="18"/>
                    </w:rPr>
                  </w:pPr>
                  <w:r>
                    <w:rPr>
                      <w:rFonts w:hint="eastAsia" w:eastAsia="宋体"/>
                      <w:color w:val="auto"/>
                      <w:sz w:val="18"/>
                      <w:szCs w:val="18"/>
                    </w:rPr>
                    <w:t>3、气体流速</w:t>
                  </w:r>
                </w:p>
                <w:p w14:paraId="4AFB4513">
                  <w:pPr>
                    <w:pStyle w:val="76"/>
                    <w:rPr>
                      <w:rFonts w:eastAsia="宋体"/>
                      <w:color w:val="auto"/>
                      <w:sz w:val="18"/>
                      <w:szCs w:val="18"/>
                    </w:rPr>
                  </w:pPr>
                  <w:r>
                    <w:rPr>
                      <w:rFonts w:hint="eastAsia" w:eastAsia="宋体"/>
                      <w:color w:val="auto"/>
                      <w:sz w:val="18"/>
                      <w:szCs w:val="18"/>
                    </w:rPr>
                    <w:t>吸附装置吸附层的气体流速应根据吸附剂的形态确定。采用颗粒活性炭时，气体流速宜低于0.60m/s，装填厚度不得低于0.4m。活性炭应装填齐整，避免气流短路；采用活性炭纤维时，气体流速宜低于0.15m/s；采用蜂窝活性炭时，气体流速宜低于1.20m/s。</w:t>
                  </w:r>
                </w:p>
              </w:tc>
              <w:tc>
                <w:tcPr>
                  <w:tcW w:w="1811" w:type="pct"/>
                  <w:vAlign w:val="center"/>
                </w:tcPr>
                <w:p w14:paraId="2495C6F7">
                  <w:pPr>
                    <w:pStyle w:val="76"/>
                    <w:rPr>
                      <w:rFonts w:eastAsia="宋体"/>
                      <w:color w:val="auto"/>
                      <w:sz w:val="18"/>
                      <w:szCs w:val="18"/>
                    </w:rPr>
                  </w:pPr>
                  <w:r>
                    <w:rPr>
                      <w:rFonts w:hint="eastAsia" w:eastAsia="宋体"/>
                      <w:color w:val="auto"/>
                      <w:sz w:val="18"/>
                      <w:szCs w:val="18"/>
                    </w:rPr>
                    <w:t>本项目采用</w:t>
                  </w:r>
                  <w:r>
                    <w:rPr>
                      <w:rFonts w:hint="eastAsia" w:eastAsia="宋体"/>
                      <w:color w:val="auto"/>
                      <w:sz w:val="18"/>
                      <w:szCs w:val="18"/>
                      <w:lang w:val="en-US"/>
                    </w:rPr>
                    <w:t>蜂窝</w:t>
                  </w:r>
                  <w:r>
                    <w:rPr>
                      <w:rFonts w:hint="eastAsia" w:eastAsia="宋体"/>
                      <w:color w:val="auto"/>
                      <w:sz w:val="18"/>
                      <w:szCs w:val="18"/>
                    </w:rPr>
                    <w:t>活性炭，气体流速和装填厚度按照规范设置。</w:t>
                  </w:r>
                </w:p>
              </w:tc>
            </w:tr>
            <w:tr w14:paraId="030D11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43" w:type="pct"/>
                  <w:vMerge w:val="continue"/>
                  <w:vAlign w:val="center"/>
                </w:tcPr>
                <w:p w14:paraId="67844C5A">
                  <w:pPr>
                    <w:pStyle w:val="76"/>
                    <w:rPr>
                      <w:rFonts w:eastAsia="宋体"/>
                      <w:color w:val="auto"/>
                      <w:sz w:val="18"/>
                      <w:szCs w:val="18"/>
                    </w:rPr>
                  </w:pPr>
                </w:p>
              </w:tc>
              <w:tc>
                <w:tcPr>
                  <w:tcW w:w="1072" w:type="pct"/>
                  <w:vMerge w:val="continue"/>
                  <w:vAlign w:val="center"/>
                </w:tcPr>
                <w:p w14:paraId="5971F707">
                  <w:pPr>
                    <w:pStyle w:val="76"/>
                    <w:rPr>
                      <w:rFonts w:eastAsia="宋体"/>
                      <w:color w:val="auto"/>
                      <w:sz w:val="18"/>
                      <w:szCs w:val="18"/>
                    </w:rPr>
                  </w:pPr>
                </w:p>
              </w:tc>
              <w:tc>
                <w:tcPr>
                  <w:tcW w:w="1872" w:type="pct"/>
                  <w:vAlign w:val="center"/>
                </w:tcPr>
                <w:p w14:paraId="041EBBB0">
                  <w:pPr>
                    <w:pStyle w:val="76"/>
                    <w:rPr>
                      <w:rFonts w:eastAsia="宋体"/>
                      <w:color w:val="auto"/>
                      <w:sz w:val="18"/>
                      <w:szCs w:val="18"/>
                    </w:rPr>
                  </w:pPr>
                  <w:r>
                    <w:rPr>
                      <w:rFonts w:hint="eastAsia" w:eastAsia="宋体"/>
                      <w:color w:val="auto"/>
                      <w:sz w:val="18"/>
                      <w:szCs w:val="18"/>
                    </w:rPr>
                    <w:t>4、废气预处理</w:t>
                  </w:r>
                </w:p>
                <w:p w14:paraId="2A12F0E2">
                  <w:pPr>
                    <w:pStyle w:val="76"/>
                    <w:rPr>
                      <w:rFonts w:eastAsia="宋体"/>
                      <w:color w:val="auto"/>
                      <w:sz w:val="18"/>
                      <w:szCs w:val="18"/>
                    </w:rPr>
                  </w:pPr>
                  <w:r>
                    <w:rPr>
                      <w:rFonts w:hint="eastAsia" w:eastAsia="宋体"/>
                      <w:color w:val="auto"/>
                      <w:sz w:val="18"/>
                      <w:szCs w:val="18"/>
                    </w:rPr>
                    <w:t>进入吸附设备的废气颗粒物含量和温度应分别低于1mg/m³和40℃，若颗粒物含量超过1mg/m³时，应先采用过滤或洗涤等方式进行预处理。</w:t>
                  </w:r>
                </w:p>
                <w:p w14:paraId="33AFCC71">
                  <w:pPr>
                    <w:pStyle w:val="76"/>
                    <w:rPr>
                      <w:rFonts w:eastAsia="宋体"/>
                      <w:color w:val="auto"/>
                      <w:sz w:val="18"/>
                      <w:szCs w:val="18"/>
                    </w:rPr>
                  </w:pPr>
                  <w:r>
                    <w:rPr>
                      <w:rFonts w:hint="eastAsia" w:eastAsia="宋体"/>
                      <w:color w:val="auto"/>
                      <w:sz w:val="18"/>
                      <w:szCs w:val="18"/>
                    </w:rPr>
                    <w:t>活性炭对酸性废气吸附效果较差，且酸性气体易对设备本体造成腐蚀，应先采用洗涤进行预处理。</w:t>
                  </w:r>
                </w:p>
                <w:p w14:paraId="7A42E9AF">
                  <w:pPr>
                    <w:pStyle w:val="76"/>
                    <w:rPr>
                      <w:rFonts w:eastAsia="宋体"/>
                      <w:color w:val="auto"/>
                      <w:sz w:val="18"/>
                      <w:szCs w:val="18"/>
                    </w:rPr>
                  </w:pPr>
                  <w:r>
                    <w:rPr>
                      <w:rFonts w:hint="eastAsia" w:eastAsia="宋体"/>
                      <w:color w:val="auto"/>
                      <w:sz w:val="18"/>
                      <w:szCs w:val="18"/>
                    </w:rPr>
                    <w:t>企业应制订定期更换过滤材料的设备运行维护规程，保障活性炭在低颗粒物、低含水率条件下使用。</w:t>
                  </w:r>
                </w:p>
              </w:tc>
              <w:tc>
                <w:tcPr>
                  <w:tcW w:w="1811" w:type="pct"/>
                  <w:vAlign w:val="center"/>
                </w:tcPr>
                <w:p w14:paraId="740BC838">
                  <w:pPr>
                    <w:pStyle w:val="76"/>
                    <w:rPr>
                      <w:rFonts w:eastAsia="宋体"/>
                      <w:color w:val="auto"/>
                      <w:sz w:val="18"/>
                      <w:szCs w:val="18"/>
                    </w:rPr>
                  </w:pPr>
                  <w:r>
                    <w:rPr>
                      <w:rFonts w:hint="eastAsia" w:eastAsia="宋体"/>
                      <w:color w:val="auto"/>
                      <w:sz w:val="18"/>
                      <w:szCs w:val="18"/>
                    </w:rPr>
                    <w:t>企业制订定期更换过滤材料的设备运行维护规程，保障活性炭的吸附处理效率。</w:t>
                  </w:r>
                </w:p>
              </w:tc>
            </w:tr>
            <w:tr w14:paraId="5884F6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43" w:type="pct"/>
                  <w:vMerge w:val="continue"/>
                  <w:vAlign w:val="center"/>
                </w:tcPr>
                <w:p w14:paraId="2753A0D9">
                  <w:pPr>
                    <w:pStyle w:val="76"/>
                    <w:rPr>
                      <w:rFonts w:eastAsia="宋体"/>
                      <w:color w:val="auto"/>
                      <w:sz w:val="18"/>
                      <w:szCs w:val="18"/>
                    </w:rPr>
                  </w:pPr>
                </w:p>
              </w:tc>
              <w:tc>
                <w:tcPr>
                  <w:tcW w:w="1072" w:type="pct"/>
                  <w:vMerge w:val="continue"/>
                  <w:vAlign w:val="center"/>
                </w:tcPr>
                <w:p w14:paraId="4E4E741C">
                  <w:pPr>
                    <w:pStyle w:val="76"/>
                    <w:rPr>
                      <w:rFonts w:eastAsia="宋体"/>
                      <w:color w:val="auto"/>
                      <w:sz w:val="18"/>
                      <w:szCs w:val="18"/>
                    </w:rPr>
                  </w:pPr>
                </w:p>
              </w:tc>
              <w:tc>
                <w:tcPr>
                  <w:tcW w:w="1872" w:type="pct"/>
                  <w:vAlign w:val="center"/>
                </w:tcPr>
                <w:p w14:paraId="32C92765">
                  <w:pPr>
                    <w:pStyle w:val="76"/>
                    <w:rPr>
                      <w:rFonts w:eastAsia="宋体"/>
                      <w:color w:val="auto"/>
                      <w:sz w:val="18"/>
                      <w:szCs w:val="18"/>
                    </w:rPr>
                  </w:pPr>
                  <w:r>
                    <w:rPr>
                      <w:rFonts w:hint="eastAsia" w:eastAsia="宋体"/>
                      <w:color w:val="auto"/>
                      <w:sz w:val="18"/>
                      <w:szCs w:val="18"/>
                    </w:rPr>
                    <w:t>5、活性炭质量</w:t>
                  </w:r>
                </w:p>
                <w:p w14:paraId="69F923A2">
                  <w:pPr>
                    <w:pStyle w:val="76"/>
                    <w:jc w:val="left"/>
                    <w:rPr>
                      <w:rFonts w:eastAsia="宋体"/>
                      <w:color w:val="auto"/>
                      <w:sz w:val="18"/>
                      <w:szCs w:val="18"/>
                    </w:rPr>
                  </w:pPr>
                  <w:r>
                    <w:rPr>
                      <w:rFonts w:hint="eastAsia" w:eastAsia="宋体"/>
                      <w:color w:val="auto"/>
                      <w:sz w:val="18"/>
                      <w:szCs w:val="18"/>
                    </w:rPr>
                    <w:t>颗粒活性炭碘吸附值≥800mg/g，比表面积≥850m</w:t>
                  </w:r>
                  <w:r>
                    <w:rPr>
                      <w:rFonts w:eastAsia="宋体"/>
                      <w:color w:val="auto"/>
                      <w:sz w:val="18"/>
                      <w:szCs w:val="18"/>
                      <w:vertAlign w:val="superscript"/>
                    </w:rPr>
                    <w:t>2</w:t>
                  </w:r>
                  <w:r>
                    <w:rPr>
                      <w:rFonts w:hint="eastAsia" w:eastAsia="宋体"/>
                      <w:color w:val="auto"/>
                      <w:sz w:val="18"/>
                      <w:szCs w:val="18"/>
                    </w:rPr>
                    <w:t>/g；蜂窝活性炭横向抗压强度应不低于0.9MPa，纵向强度应不低于0.4MPa，碘吸附值≥650mg/g，比表面积≥750m</w:t>
                  </w:r>
                  <w:r>
                    <w:rPr>
                      <w:rFonts w:hint="eastAsia" w:eastAsia="宋体"/>
                      <w:color w:val="auto"/>
                      <w:sz w:val="18"/>
                      <w:szCs w:val="18"/>
                      <w:vertAlign w:val="superscript"/>
                    </w:rPr>
                    <w:t>2</w:t>
                  </w:r>
                  <w:r>
                    <w:rPr>
                      <w:rFonts w:hint="eastAsia" w:eastAsia="宋体"/>
                      <w:color w:val="auto"/>
                      <w:sz w:val="18"/>
                      <w:szCs w:val="18"/>
                    </w:rPr>
                    <w:t>/g。</w:t>
                  </w:r>
                </w:p>
                <w:p w14:paraId="15D8E4CE">
                  <w:pPr>
                    <w:pStyle w:val="76"/>
                    <w:jc w:val="left"/>
                    <w:rPr>
                      <w:rFonts w:eastAsia="宋体"/>
                      <w:color w:val="auto"/>
                      <w:sz w:val="18"/>
                      <w:szCs w:val="18"/>
                    </w:rPr>
                  </w:pPr>
                  <w:r>
                    <w:rPr>
                      <w:rFonts w:hint="eastAsia" w:eastAsia="宋体"/>
                      <w:color w:val="auto"/>
                      <w:sz w:val="18"/>
                      <w:szCs w:val="18"/>
                    </w:rPr>
                    <w:t>企业应备好所购活性炭厂家关于活性炭碘值、比表面积等相关证明材料。</w:t>
                  </w:r>
                </w:p>
              </w:tc>
              <w:tc>
                <w:tcPr>
                  <w:tcW w:w="1811" w:type="pct"/>
                  <w:vAlign w:val="center"/>
                </w:tcPr>
                <w:p w14:paraId="3CCE7C57">
                  <w:pPr>
                    <w:pStyle w:val="76"/>
                    <w:jc w:val="left"/>
                    <w:rPr>
                      <w:rFonts w:eastAsia="宋体"/>
                      <w:color w:val="auto"/>
                      <w:sz w:val="18"/>
                      <w:szCs w:val="18"/>
                    </w:rPr>
                  </w:pPr>
                  <w:r>
                    <w:rPr>
                      <w:rFonts w:hint="eastAsia" w:eastAsia="宋体"/>
                      <w:color w:val="auto"/>
                      <w:sz w:val="18"/>
                      <w:szCs w:val="18"/>
                    </w:rPr>
                    <w:t>本项目选用的蜂窝活性炭碘吸附值≥</w:t>
                  </w:r>
                  <w:r>
                    <w:rPr>
                      <w:rFonts w:eastAsia="宋体"/>
                      <w:color w:val="auto"/>
                      <w:sz w:val="18"/>
                      <w:szCs w:val="18"/>
                    </w:rPr>
                    <w:t>650</w:t>
                  </w:r>
                  <w:r>
                    <w:rPr>
                      <w:rFonts w:hint="eastAsia" w:eastAsia="宋体"/>
                      <w:color w:val="auto"/>
                      <w:sz w:val="18"/>
                      <w:szCs w:val="18"/>
                    </w:rPr>
                    <w:t>mg/g，比表面积≥</w:t>
                  </w:r>
                  <w:r>
                    <w:rPr>
                      <w:rFonts w:eastAsia="宋体"/>
                      <w:color w:val="auto"/>
                      <w:sz w:val="18"/>
                      <w:szCs w:val="18"/>
                    </w:rPr>
                    <w:t>7</w:t>
                  </w:r>
                  <w:r>
                    <w:rPr>
                      <w:rFonts w:hint="eastAsia" w:eastAsia="宋体"/>
                      <w:color w:val="auto"/>
                      <w:sz w:val="18"/>
                      <w:szCs w:val="18"/>
                    </w:rPr>
                    <w:t>50m</w:t>
                  </w:r>
                  <w:r>
                    <w:rPr>
                      <w:rFonts w:hint="eastAsia" w:eastAsia="宋体"/>
                      <w:color w:val="auto"/>
                      <w:sz w:val="18"/>
                      <w:szCs w:val="18"/>
                      <w:vertAlign w:val="superscript"/>
                    </w:rPr>
                    <w:t>2</w:t>
                  </w:r>
                  <w:r>
                    <w:rPr>
                      <w:rFonts w:hint="eastAsia" w:eastAsia="宋体"/>
                      <w:color w:val="auto"/>
                      <w:sz w:val="18"/>
                      <w:szCs w:val="18"/>
                    </w:rPr>
                    <w:t>/g。企业将按要求备好所购活性炭厂家关于活性炭碘值、比表面积等相关证明材料。</w:t>
                  </w:r>
                </w:p>
              </w:tc>
            </w:tr>
            <w:tr w14:paraId="3B0A79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43" w:type="pct"/>
                  <w:vMerge w:val="continue"/>
                  <w:vAlign w:val="center"/>
                </w:tcPr>
                <w:p w14:paraId="7FF98D8A">
                  <w:pPr>
                    <w:pStyle w:val="76"/>
                    <w:rPr>
                      <w:rFonts w:eastAsia="宋体"/>
                      <w:color w:val="auto"/>
                      <w:sz w:val="18"/>
                      <w:szCs w:val="18"/>
                    </w:rPr>
                  </w:pPr>
                </w:p>
              </w:tc>
              <w:tc>
                <w:tcPr>
                  <w:tcW w:w="1072" w:type="pct"/>
                  <w:vMerge w:val="continue"/>
                  <w:vAlign w:val="center"/>
                </w:tcPr>
                <w:p w14:paraId="23B7D6C7">
                  <w:pPr>
                    <w:pStyle w:val="76"/>
                    <w:rPr>
                      <w:rFonts w:eastAsia="宋体"/>
                      <w:color w:val="auto"/>
                      <w:sz w:val="18"/>
                      <w:szCs w:val="18"/>
                    </w:rPr>
                  </w:pPr>
                </w:p>
              </w:tc>
              <w:tc>
                <w:tcPr>
                  <w:tcW w:w="1872" w:type="pct"/>
                  <w:vAlign w:val="center"/>
                </w:tcPr>
                <w:p w14:paraId="5EB75CA5">
                  <w:pPr>
                    <w:pStyle w:val="76"/>
                    <w:rPr>
                      <w:rFonts w:eastAsia="宋体"/>
                      <w:color w:val="auto"/>
                      <w:sz w:val="18"/>
                      <w:szCs w:val="18"/>
                    </w:rPr>
                  </w:pPr>
                  <w:r>
                    <w:rPr>
                      <w:rFonts w:hint="eastAsia" w:eastAsia="宋体"/>
                      <w:color w:val="auto"/>
                      <w:sz w:val="18"/>
                      <w:szCs w:val="18"/>
                    </w:rPr>
                    <w:t>6、活性炭填充量</w:t>
                  </w:r>
                </w:p>
                <w:p w14:paraId="3B6A034D">
                  <w:pPr>
                    <w:pStyle w:val="76"/>
                    <w:rPr>
                      <w:rFonts w:eastAsia="宋体"/>
                      <w:color w:val="auto"/>
                      <w:sz w:val="18"/>
                      <w:szCs w:val="18"/>
                    </w:rPr>
                  </w:pPr>
                  <w:r>
                    <w:rPr>
                      <w:rFonts w:hint="eastAsia" w:eastAsia="宋体"/>
                      <w:color w:val="auto"/>
                      <w:sz w:val="18"/>
                      <w:szCs w:val="18"/>
                    </w:rPr>
                    <w:t>采用一次性颗粒状活性炭处理VOCs废气，年活性炭使用量不应低于VOCs产生量的5倍，即1吨VOCs产生量，需5吨活性炭用于吸附。活性炭更换周期一般不应超过累计运行500小时或3个月，更换周期计算按《省生态环境厅关于将排污单位活性炭使用更换纳入排污许可管理的通知》有关要求执行。</w:t>
                  </w:r>
                </w:p>
              </w:tc>
              <w:tc>
                <w:tcPr>
                  <w:tcW w:w="1811" w:type="pct"/>
                  <w:vAlign w:val="center"/>
                </w:tcPr>
                <w:p w14:paraId="6D0D873F">
                  <w:pPr>
                    <w:pStyle w:val="76"/>
                    <w:rPr>
                      <w:rFonts w:eastAsia="宋体"/>
                      <w:color w:val="auto"/>
                      <w:sz w:val="18"/>
                      <w:szCs w:val="18"/>
                    </w:rPr>
                  </w:pPr>
                  <w:r>
                    <w:rPr>
                      <w:rFonts w:hint="eastAsia" w:eastAsia="宋体"/>
                      <w:color w:val="auto"/>
                      <w:sz w:val="18"/>
                      <w:szCs w:val="18"/>
                    </w:rPr>
                    <w:t>本项目年活性炭使用量大于VOCs产生量的5倍。</w:t>
                  </w:r>
                </w:p>
              </w:tc>
            </w:tr>
            <w:tr w14:paraId="1812FB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43" w:type="pct"/>
                  <w:vAlign w:val="center"/>
                </w:tcPr>
                <w:p w14:paraId="6CD6215E">
                  <w:pPr>
                    <w:pStyle w:val="76"/>
                    <w:rPr>
                      <w:rFonts w:eastAsia="宋体"/>
                      <w:color w:val="auto"/>
                      <w:sz w:val="18"/>
                      <w:szCs w:val="18"/>
                    </w:rPr>
                  </w:pPr>
                  <w:r>
                    <w:rPr>
                      <w:rFonts w:hint="eastAsia" w:eastAsia="宋体"/>
                      <w:color w:val="auto"/>
                      <w:sz w:val="18"/>
                      <w:szCs w:val="18"/>
                      <w:lang w:val="en-US"/>
                    </w:rPr>
                    <w:t>2</w:t>
                  </w:r>
                </w:p>
              </w:tc>
              <w:tc>
                <w:tcPr>
                  <w:tcW w:w="1072" w:type="pct"/>
                  <w:vAlign w:val="center"/>
                </w:tcPr>
                <w:p w14:paraId="6DCB1572">
                  <w:pPr>
                    <w:pStyle w:val="76"/>
                    <w:rPr>
                      <w:rFonts w:eastAsia="宋体"/>
                      <w:color w:val="auto"/>
                      <w:sz w:val="18"/>
                      <w:szCs w:val="18"/>
                    </w:rPr>
                  </w:pPr>
                  <w:r>
                    <w:rPr>
                      <w:rFonts w:hint="eastAsia" w:eastAsia="宋体"/>
                      <w:color w:val="auto"/>
                      <w:sz w:val="18"/>
                      <w:szCs w:val="18"/>
                    </w:rPr>
                    <w:t>关于印发《重点行业挥发性有机物综合治理方案》的通知（环大气</w:t>
                  </w:r>
                  <w:r>
                    <w:rPr>
                      <w:rFonts w:hint="eastAsia" w:eastAsia="宋体"/>
                      <w:color w:val="auto"/>
                      <w:sz w:val="18"/>
                      <w:szCs w:val="18"/>
                      <w:lang w:eastAsia="zh-CN"/>
                    </w:rPr>
                    <w:t>〔2019〕53号</w:t>
                  </w:r>
                  <w:r>
                    <w:rPr>
                      <w:rFonts w:hint="eastAsia" w:eastAsia="宋体"/>
                      <w:color w:val="auto"/>
                      <w:sz w:val="18"/>
                      <w:szCs w:val="18"/>
                    </w:rPr>
                    <w:t>）</w:t>
                  </w:r>
                </w:p>
              </w:tc>
              <w:tc>
                <w:tcPr>
                  <w:tcW w:w="1872" w:type="pct"/>
                  <w:vAlign w:val="center"/>
                </w:tcPr>
                <w:p w14:paraId="2302B1D3">
                  <w:pPr>
                    <w:pStyle w:val="76"/>
                    <w:rPr>
                      <w:rFonts w:eastAsia="宋体"/>
                      <w:color w:val="auto"/>
                      <w:sz w:val="18"/>
                      <w:szCs w:val="18"/>
                    </w:rPr>
                  </w:pPr>
                  <w:r>
                    <w:rPr>
                      <w:rFonts w:hint="eastAsia" w:eastAsia="宋体"/>
                      <w:color w:val="auto"/>
                      <w:sz w:val="18"/>
                      <w:szCs w:val="18"/>
                    </w:rPr>
                    <w:t>全面加强无组织排放控制。含VOCs物料应储存于密闭容器、包装袋，高效密封储罐，封闭式储库、料仓等。含VOCs物料生产和使用过程，应采取有效收集措施或在密闭空间中操作。推进使用先进生产工艺。通过采用全密闭、连续化、自动化等生产技术，以及高效工艺与设备等，减少工艺过程无组织排放。提高废气收集率。遵循“应收尽收、分质收集”的原则，科学设计废气收集系统，将无组织排放转变为有组织排放进行控制。采用全密闭集气罩或密闭空间的，除行业有特殊要求外，应保持微负压状态，并根据相关规范合理设置通风量。</w:t>
                  </w:r>
                </w:p>
              </w:tc>
              <w:tc>
                <w:tcPr>
                  <w:tcW w:w="1811" w:type="pct"/>
                  <w:vAlign w:val="center"/>
                </w:tcPr>
                <w:p w14:paraId="396CA56C">
                  <w:pPr>
                    <w:pStyle w:val="76"/>
                    <w:rPr>
                      <w:rFonts w:eastAsia="宋体"/>
                      <w:color w:val="auto"/>
                      <w:sz w:val="18"/>
                      <w:szCs w:val="18"/>
                    </w:rPr>
                  </w:pPr>
                  <w:r>
                    <w:rPr>
                      <w:rFonts w:hint="eastAsia" w:eastAsia="宋体"/>
                      <w:color w:val="auto"/>
                      <w:sz w:val="18"/>
                      <w:szCs w:val="18"/>
                    </w:rPr>
                    <w:t>本项目为</w:t>
                  </w:r>
                  <w:r>
                    <w:rPr>
                      <w:rFonts w:hint="eastAsia" w:eastAsia="宋体"/>
                      <w:color w:val="auto"/>
                      <w:sz w:val="18"/>
                      <w:szCs w:val="18"/>
                      <w:lang w:val="en-US"/>
                    </w:rPr>
                    <w:t>实验室</w:t>
                  </w:r>
                  <w:r>
                    <w:rPr>
                      <w:rFonts w:hint="eastAsia" w:eastAsia="宋体"/>
                      <w:color w:val="auto"/>
                      <w:sz w:val="18"/>
                      <w:szCs w:val="18"/>
                    </w:rPr>
                    <w:t>项目，涉及VOCs的试剂均储存于密闭容器中，并存放于化验室试剂柜中；实验过程均在密闭化验室内的通风柜内进行，工作时间均保持微负压状态，试验过程产生的VOCs经通风柜、万向集气罩收集后统一进入废气处理装置处理后经</w:t>
                  </w:r>
                  <w:r>
                    <w:rPr>
                      <w:rFonts w:eastAsia="宋体"/>
                      <w:color w:val="auto"/>
                      <w:sz w:val="18"/>
                      <w:szCs w:val="18"/>
                    </w:rPr>
                    <w:t>1</w:t>
                  </w:r>
                  <w:r>
                    <w:rPr>
                      <w:rFonts w:hint="eastAsia" w:eastAsia="宋体"/>
                      <w:color w:val="auto"/>
                      <w:sz w:val="18"/>
                      <w:szCs w:val="18"/>
                    </w:rPr>
                    <w:t>5m高排气筒有组织达标排放，与该文件要求相符。</w:t>
                  </w:r>
                </w:p>
              </w:tc>
            </w:tr>
            <w:tr w14:paraId="63AD6F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43" w:type="pct"/>
                  <w:vAlign w:val="center"/>
                </w:tcPr>
                <w:p w14:paraId="2B52999A">
                  <w:pPr>
                    <w:pStyle w:val="76"/>
                    <w:rPr>
                      <w:rFonts w:eastAsia="宋体"/>
                      <w:color w:val="auto"/>
                      <w:sz w:val="18"/>
                      <w:szCs w:val="18"/>
                    </w:rPr>
                  </w:pPr>
                  <w:r>
                    <w:rPr>
                      <w:rFonts w:hint="eastAsia" w:eastAsia="宋体"/>
                      <w:color w:val="auto"/>
                      <w:sz w:val="18"/>
                      <w:szCs w:val="18"/>
                      <w:lang w:val="en-US"/>
                    </w:rPr>
                    <w:t>3</w:t>
                  </w:r>
                </w:p>
              </w:tc>
              <w:tc>
                <w:tcPr>
                  <w:tcW w:w="1072" w:type="pct"/>
                  <w:vAlign w:val="center"/>
                </w:tcPr>
                <w:p w14:paraId="1ADB7048">
                  <w:pPr>
                    <w:pStyle w:val="76"/>
                    <w:rPr>
                      <w:rFonts w:eastAsia="宋体"/>
                      <w:color w:val="auto"/>
                      <w:sz w:val="18"/>
                      <w:szCs w:val="18"/>
                    </w:rPr>
                  </w:pPr>
                  <w:r>
                    <w:rPr>
                      <w:rFonts w:hint="eastAsia" w:eastAsia="宋体"/>
                      <w:color w:val="auto"/>
                      <w:sz w:val="18"/>
                      <w:szCs w:val="18"/>
                    </w:rPr>
                    <w:t>《挥发性有机物无组织排放控制标准》（GB37822—2019）</w:t>
                  </w:r>
                </w:p>
              </w:tc>
              <w:tc>
                <w:tcPr>
                  <w:tcW w:w="1872" w:type="pct"/>
                  <w:vAlign w:val="center"/>
                </w:tcPr>
                <w:p w14:paraId="6F6F2AA2">
                  <w:pPr>
                    <w:pStyle w:val="76"/>
                    <w:rPr>
                      <w:rFonts w:eastAsia="宋体"/>
                      <w:color w:val="auto"/>
                      <w:sz w:val="18"/>
                      <w:szCs w:val="18"/>
                    </w:rPr>
                  </w:pPr>
                  <w:r>
                    <w:rPr>
                      <w:rFonts w:hint="eastAsia" w:eastAsia="宋体"/>
                      <w:color w:val="auto"/>
                      <w:sz w:val="18"/>
                      <w:szCs w:val="18"/>
                    </w:rPr>
                    <w:t>VOCs质量占比大于等于10%的含VOCs产品，其使用过程应采用密闭设备或在密闭空间内操作，废气应排至VOCs废气收集处理系统；无法密闭的，应采取局部气体收集措施，废气应排至VOCs废气收集处理系统。</w:t>
                  </w:r>
                </w:p>
              </w:tc>
              <w:tc>
                <w:tcPr>
                  <w:tcW w:w="1811" w:type="pct"/>
                  <w:vAlign w:val="center"/>
                </w:tcPr>
                <w:p w14:paraId="16C376B3">
                  <w:pPr>
                    <w:pStyle w:val="76"/>
                    <w:rPr>
                      <w:rFonts w:eastAsia="宋体"/>
                      <w:color w:val="auto"/>
                      <w:sz w:val="18"/>
                      <w:szCs w:val="18"/>
                    </w:rPr>
                  </w:pPr>
                  <w:r>
                    <w:rPr>
                      <w:rFonts w:hint="eastAsia" w:eastAsia="宋体"/>
                      <w:color w:val="auto"/>
                      <w:sz w:val="18"/>
                      <w:szCs w:val="18"/>
                    </w:rPr>
                    <w:t>本项目生产涉及VOCs的试剂均储存于密闭容器中，并存放于化验室试剂柜中；化验过程均在通风橱内进行，工作时间均保持微负压状态，生产过程产生的VOCs经集气罩收集后统一进入废气处理装置处理后达标排放，与该文件要求相符。</w:t>
                  </w:r>
                </w:p>
              </w:tc>
            </w:tr>
          </w:tbl>
          <w:p w14:paraId="31137695">
            <w:pPr>
              <w:numPr>
                <w:ilvl w:val="0"/>
                <w:numId w:val="2"/>
              </w:numPr>
              <w:autoSpaceDE w:val="0"/>
              <w:autoSpaceDN w:val="0"/>
              <w:adjustRightInd w:val="0"/>
              <w:snapToGrid w:val="0"/>
              <w:spacing w:line="500" w:lineRule="exact"/>
              <w:ind w:firstLine="422" w:firstLineChars="200"/>
              <w:jc w:val="left"/>
              <w:rPr>
                <w:b/>
                <w:color w:val="auto"/>
                <w:kern w:val="0"/>
                <w:szCs w:val="21"/>
              </w:rPr>
            </w:pPr>
            <w:r>
              <w:rPr>
                <w:b/>
                <w:color w:val="auto"/>
                <w:kern w:val="0"/>
                <w:szCs w:val="21"/>
              </w:rPr>
              <w:t>与《实验室废气污染控制技术规范》（DB32</w:t>
            </w:r>
            <w:r>
              <w:rPr>
                <w:rFonts w:hint="eastAsia"/>
                <w:b/>
                <w:color w:val="auto"/>
                <w:kern w:val="0"/>
                <w:szCs w:val="21"/>
                <w:lang w:val="en-US" w:eastAsia="zh-CN"/>
              </w:rPr>
              <w:t>/</w:t>
            </w:r>
            <w:r>
              <w:rPr>
                <w:b/>
                <w:color w:val="auto"/>
                <w:kern w:val="0"/>
                <w:szCs w:val="21"/>
              </w:rPr>
              <w:t>T 4455-2023）的相符性分析</w:t>
            </w:r>
          </w:p>
          <w:p w14:paraId="290E3B91">
            <w:pPr>
              <w:spacing w:line="500" w:lineRule="exact"/>
              <w:ind w:firstLine="420" w:firstLineChars="200"/>
              <w:rPr>
                <w:b/>
                <w:color w:val="auto"/>
                <w:kern w:val="0"/>
                <w:szCs w:val="21"/>
              </w:rPr>
            </w:pPr>
            <w:r>
              <w:rPr>
                <w:rFonts w:hint="eastAsia"/>
                <w:color w:val="auto"/>
              </w:rPr>
              <w:t>本</w:t>
            </w:r>
            <w:r>
              <w:rPr>
                <w:bCs/>
                <w:color w:val="auto"/>
              </w:rPr>
              <w:t>项目与</w:t>
            </w:r>
            <w:r>
              <w:rPr>
                <w:rFonts w:hint="eastAsia"/>
                <w:bCs/>
                <w:color w:val="auto"/>
              </w:rPr>
              <w:t>《实验室废气污染控制技术规范》（DB32</w:t>
            </w:r>
            <w:r>
              <w:rPr>
                <w:rFonts w:hint="eastAsia"/>
                <w:bCs/>
                <w:color w:val="auto"/>
                <w:lang w:val="en-US" w:eastAsia="zh-CN"/>
              </w:rPr>
              <w:t>/</w:t>
            </w:r>
            <w:r>
              <w:rPr>
                <w:rFonts w:hint="eastAsia"/>
                <w:bCs/>
                <w:color w:val="auto"/>
              </w:rPr>
              <w:t>T 4455-2023）</w:t>
            </w:r>
            <w:r>
              <w:rPr>
                <w:bCs/>
                <w:color w:val="auto"/>
              </w:rPr>
              <w:t>相关要求的相符性见表1-</w:t>
            </w:r>
            <w:r>
              <w:rPr>
                <w:rFonts w:hint="eastAsia"/>
                <w:bCs/>
                <w:color w:val="auto"/>
              </w:rPr>
              <w:t>7</w:t>
            </w:r>
            <w:r>
              <w:rPr>
                <w:bCs/>
                <w:color w:val="auto"/>
              </w:rPr>
              <w:t>，</w:t>
            </w:r>
            <w:r>
              <w:rPr>
                <w:color w:val="auto"/>
              </w:rPr>
              <w:t>由表可见，本项目与</w:t>
            </w:r>
            <w:r>
              <w:rPr>
                <w:rFonts w:hint="eastAsia"/>
                <w:bCs/>
                <w:color w:val="auto"/>
              </w:rPr>
              <w:t>《实验室废气污染控制技术规范》（DB32</w:t>
            </w:r>
            <w:r>
              <w:rPr>
                <w:rFonts w:hint="eastAsia"/>
                <w:bCs/>
                <w:color w:val="auto"/>
                <w:lang w:val="en-US" w:eastAsia="zh-CN"/>
              </w:rPr>
              <w:t>/</w:t>
            </w:r>
            <w:r>
              <w:rPr>
                <w:rFonts w:hint="eastAsia"/>
                <w:bCs/>
                <w:color w:val="auto"/>
              </w:rPr>
              <w:t>T 4455-2023）</w:t>
            </w:r>
            <w:r>
              <w:rPr>
                <w:bCs/>
                <w:color w:val="auto"/>
              </w:rPr>
              <w:t>要求相符。</w:t>
            </w:r>
          </w:p>
          <w:p w14:paraId="2A256ABB">
            <w:pPr>
              <w:snapToGrid w:val="0"/>
              <w:spacing w:before="120" w:beforeLines="50" w:after="120" w:afterLines="50"/>
              <w:jc w:val="center"/>
              <w:rPr>
                <w:b/>
                <w:color w:val="auto"/>
                <w:szCs w:val="21"/>
              </w:rPr>
            </w:pPr>
            <w:r>
              <w:rPr>
                <w:b/>
                <w:color w:val="auto"/>
                <w:szCs w:val="21"/>
              </w:rPr>
              <w:t>表1-7  本项目与《实验室废气污染控制技术规范》（D</w:t>
            </w:r>
            <w:r>
              <w:rPr>
                <w:rFonts w:hint="eastAsia"/>
                <w:b/>
                <w:color w:val="auto"/>
                <w:szCs w:val="21"/>
              </w:rPr>
              <w:t>B32</w:t>
            </w:r>
            <w:r>
              <w:rPr>
                <w:rFonts w:hint="eastAsia"/>
                <w:b/>
                <w:color w:val="auto"/>
                <w:szCs w:val="21"/>
                <w:lang w:val="en-US" w:eastAsia="zh-CN"/>
              </w:rPr>
              <w:t>/</w:t>
            </w:r>
            <w:r>
              <w:rPr>
                <w:rFonts w:hint="eastAsia"/>
                <w:b/>
                <w:color w:val="auto"/>
                <w:szCs w:val="21"/>
              </w:rPr>
              <w:t>T 4455-2023）相符性分析</w:t>
            </w:r>
          </w:p>
          <w:tbl>
            <w:tblPr>
              <w:tblStyle w:val="22"/>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55"/>
              <w:gridCol w:w="3789"/>
              <w:gridCol w:w="2421"/>
              <w:gridCol w:w="841"/>
            </w:tblGrid>
            <w:tr w14:paraId="11538C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c>
                <w:tcPr>
                  <w:tcW w:w="303" w:type="pct"/>
                  <w:vAlign w:val="center"/>
                </w:tcPr>
                <w:p w14:paraId="6E69F351">
                  <w:pPr>
                    <w:pStyle w:val="76"/>
                    <w:jc w:val="center"/>
                    <w:rPr>
                      <w:rFonts w:eastAsia="宋体"/>
                      <w:b/>
                      <w:bCs/>
                      <w:color w:val="auto"/>
                      <w:sz w:val="18"/>
                      <w:szCs w:val="18"/>
                    </w:rPr>
                  </w:pPr>
                  <w:r>
                    <w:rPr>
                      <w:rFonts w:hint="eastAsia" w:eastAsia="宋体"/>
                      <w:b/>
                      <w:bCs/>
                      <w:color w:val="auto"/>
                      <w:sz w:val="18"/>
                      <w:szCs w:val="18"/>
                    </w:rPr>
                    <w:t>序号</w:t>
                  </w:r>
                </w:p>
              </w:tc>
              <w:tc>
                <w:tcPr>
                  <w:tcW w:w="2524" w:type="pct"/>
                  <w:vAlign w:val="center"/>
                </w:tcPr>
                <w:p w14:paraId="0A2875CB">
                  <w:pPr>
                    <w:pStyle w:val="76"/>
                    <w:jc w:val="center"/>
                    <w:rPr>
                      <w:rFonts w:eastAsia="宋体"/>
                      <w:b/>
                      <w:bCs/>
                      <w:color w:val="auto"/>
                      <w:sz w:val="18"/>
                      <w:szCs w:val="18"/>
                    </w:rPr>
                  </w:pPr>
                  <w:r>
                    <w:rPr>
                      <w:rFonts w:hint="eastAsia" w:eastAsia="宋体"/>
                      <w:b/>
                      <w:bCs/>
                      <w:color w:val="auto"/>
                      <w:sz w:val="18"/>
                      <w:szCs w:val="18"/>
                    </w:rPr>
                    <w:t>具体要求</w:t>
                  </w:r>
                </w:p>
              </w:tc>
              <w:tc>
                <w:tcPr>
                  <w:tcW w:w="1613" w:type="pct"/>
                  <w:vAlign w:val="center"/>
                </w:tcPr>
                <w:p w14:paraId="3CE9765C">
                  <w:pPr>
                    <w:pStyle w:val="76"/>
                    <w:jc w:val="center"/>
                    <w:rPr>
                      <w:rFonts w:eastAsia="宋体"/>
                      <w:b/>
                      <w:bCs/>
                      <w:color w:val="auto"/>
                      <w:sz w:val="18"/>
                      <w:szCs w:val="18"/>
                    </w:rPr>
                  </w:pPr>
                  <w:r>
                    <w:rPr>
                      <w:rFonts w:hint="eastAsia" w:eastAsia="宋体"/>
                      <w:b/>
                      <w:bCs/>
                      <w:color w:val="auto"/>
                      <w:sz w:val="18"/>
                      <w:szCs w:val="18"/>
                    </w:rPr>
                    <w:t>本项目情况</w:t>
                  </w:r>
                </w:p>
              </w:tc>
              <w:tc>
                <w:tcPr>
                  <w:tcW w:w="560" w:type="pct"/>
                  <w:vAlign w:val="center"/>
                </w:tcPr>
                <w:p w14:paraId="4148AC79">
                  <w:pPr>
                    <w:pStyle w:val="76"/>
                    <w:jc w:val="center"/>
                    <w:rPr>
                      <w:rFonts w:eastAsia="宋体"/>
                      <w:b/>
                      <w:bCs/>
                      <w:color w:val="auto"/>
                      <w:sz w:val="18"/>
                      <w:szCs w:val="18"/>
                    </w:rPr>
                  </w:pPr>
                  <w:r>
                    <w:rPr>
                      <w:rFonts w:hint="eastAsia" w:eastAsia="宋体"/>
                      <w:b/>
                      <w:bCs/>
                      <w:color w:val="auto"/>
                      <w:sz w:val="18"/>
                      <w:szCs w:val="18"/>
                    </w:rPr>
                    <w:t>是否相符</w:t>
                  </w:r>
                </w:p>
              </w:tc>
            </w:tr>
            <w:tr w14:paraId="75AE3F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03" w:type="pct"/>
                  <w:vAlign w:val="center"/>
                </w:tcPr>
                <w:p w14:paraId="24C42621">
                  <w:pPr>
                    <w:pStyle w:val="76"/>
                    <w:rPr>
                      <w:rFonts w:eastAsia="宋体"/>
                      <w:color w:val="auto"/>
                      <w:sz w:val="18"/>
                      <w:szCs w:val="18"/>
                    </w:rPr>
                  </w:pPr>
                  <w:r>
                    <w:rPr>
                      <w:rFonts w:hint="eastAsia" w:eastAsia="宋体"/>
                      <w:color w:val="auto"/>
                      <w:sz w:val="18"/>
                      <w:szCs w:val="18"/>
                    </w:rPr>
                    <w:t>1</w:t>
                  </w:r>
                </w:p>
              </w:tc>
              <w:tc>
                <w:tcPr>
                  <w:tcW w:w="2524" w:type="pct"/>
                  <w:vAlign w:val="center"/>
                </w:tcPr>
                <w:p w14:paraId="546136AF">
                  <w:pPr>
                    <w:pStyle w:val="76"/>
                    <w:rPr>
                      <w:rFonts w:eastAsia="宋体"/>
                      <w:color w:val="auto"/>
                      <w:sz w:val="18"/>
                      <w:szCs w:val="18"/>
                    </w:rPr>
                  </w:pPr>
                  <w:r>
                    <w:rPr>
                      <w:rFonts w:hint="eastAsia" w:eastAsia="宋体"/>
                      <w:color w:val="auto"/>
                      <w:sz w:val="18"/>
                      <w:szCs w:val="18"/>
                    </w:rPr>
                    <w:t>实验室单位产生的废气应经过排风柜或排风罩等方式收集，按照相关工程技术规范对净化工艺和设备进行科学设计和施工，排出室外的有机、无机废气应符合 GB14554和 DB32/4041的规定</w:t>
                  </w:r>
                  <w:r>
                    <w:rPr>
                      <w:rFonts w:hint="eastAsia" w:eastAsia="宋体"/>
                      <w:color w:val="auto"/>
                      <w:sz w:val="18"/>
                      <w:szCs w:val="18"/>
                      <w:lang w:eastAsia="zh-CN"/>
                    </w:rPr>
                    <w:t>（</w:t>
                  </w:r>
                  <w:r>
                    <w:rPr>
                      <w:rFonts w:hint="eastAsia" w:eastAsia="宋体"/>
                      <w:color w:val="auto"/>
                      <w:sz w:val="18"/>
                      <w:szCs w:val="18"/>
                    </w:rPr>
                    <w:t>国家或地方行业污染物排放标准中对实验室废气已作规定的，按相应行业排放标准规定执行</w:t>
                  </w:r>
                  <w:r>
                    <w:rPr>
                      <w:rFonts w:hint="eastAsia" w:eastAsia="宋体"/>
                      <w:color w:val="auto"/>
                      <w:sz w:val="18"/>
                      <w:szCs w:val="18"/>
                      <w:lang w:eastAsia="zh-CN"/>
                    </w:rPr>
                    <w:t>）</w:t>
                  </w:r>
                  <w:r>
                    <w:rPr>
                      <w:rFonts w:hint="eastAsia" w:eastAsia="宋体"/>
                      <w:color w:val="auto"/>
                      <w:sz w:val="18"/>
                      <w:szCs w:val="18"/>
                    </w:rPr>
                    <w:t>。</w:t>
                  </w:r>
                </w:p>
              </w:tc>
              <w:tc>
                <w:tcPr>
                  <w:tcW w:w="1613" w:type="pct"/>
                  <w:vAlign w:val="center"/>
                </w:tcPr>
                <w:p w14:paraId="419A7FFB">
                  <w:pPr>
                    <w:pStyle w:val="76"/>
                    <w:rPr>
                      <w:rFonts w:eastAsia="宋体"/>
                      <w:color w:val="auto"/>
                      <w:sz w:val="18"/>
                      <w:szCs w:val="18"/>
                    </w:rPr>
                  </w:pPr>
                  <w:r>
                    <w:rPr>
                      <w:rFonts w:hint="eastAsia" w:eastAsia="宋体"/>
                      <w:color w:val="auto"/>
                      <w:sz w:val="18"/>
                      <w:szCs w:val="18"/>
                      <w:lang w:val="en-US"/>
                    </w:rPr>
                    <w:t>本项目</w:t>
                  </w:r>
                  <w:r>
                    <w:rPr>
                      <w:rFonts w:hint="eastAsia" w:eastAsia="宋体"/>
                      <w:color w:val="auto"/>
                      <w:sz w:val="18"/>
                      <w:szCs w:val="18"/>
                    </w:rPr>
                    <w:t>按照相关工程技术规范对净化工艺和设备进行科学设计和施工，排出室外的有机、无机废气符合</w:t>
                  </w:r>
                  <w:r>
                    <w:rPr>
                      <w:rFonts w:hint="eastAsia" w:eastAsia="宋体"/>
                      <w:color w:val="auto"/>
                      <w:sz w:val="18"/>
                      <w:szCs w:val="18"/>
                      <w:lang w:val="en-US"/>
                    </w:rPr>
                    <w:t>相关排放标准</w:t>
                  </w:r>
                  <w:r>
                    <w:rPr>
                      <w:rFonts w:hint="eastAsia" w:eastAsia="宋体"/>
                      <w:color w:val="auto"/>
                      <w:sz w:val="18"/>
                      <w:szCs w:val="18"/>
                    </w:rPr>
                    <w:t>。</w:t>
                  </w:r>
                </w:p>
              </w:tc>
              <w:tc>
                <w:tcPr>
                  <w:tcW w:w="560" w:type="pct"/>
                  <w:vAlign w:val="center"/>
                </w:tcPr>
                <w:p w14:paraId="213ED74C">
                  <w:pPr>
                    <w:pStyle w:val="76"/>
                    <w:jc w:val="center"/>
                    <w:rPr>
                      <w:rFonts w:eastAsia="宋体"/>
                      <w:color w:val="auto"/>
                      <w:sz w:val="18"/>
                      <w:szCs w:val="18"/>
                    </w:rPr>
                  </w:pPr>
                  <w:r>
                    <w:rPr>
                      <w:rFonts w:hint="eastAsia" w:eastAsia="宋体"/>
                      <w:color w:val="auto"/>
                      <w:sz w:val="18"/>
                      <w:szCs w:val="18"/>
                    </w:rPr>
                    <w:t>相符</w:t>
                  </w:r>
                </w:p>
              </w:tc>
            </w:tr>
            <w:tr w14:paraId="21F307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03" w:type="pct"/>
                  <w:vAlign w:val="center"/>
                </w:tcPr>
                <w:p w14:paraId="700265A4">
                  <w:pPr>
                    <w:pStyle w:val="76"/>
                    <w:rPr>
                      <w:rFonts w:eastAsia="宋体"/>
                      <w:color w:val="auto"/>
                      <w:sz w:val="18"/>
                      <w:szCs w:val="18"/>
                    </w:rPr>
                  </w:pPr>
                  <w:r>
                    <w:rPr>
                      <w:rFonts w:hint="eastAsia" w:eastAsia="宋体"/>
                      <w:color w:val="auto"/>
                      <w:sz w:val="18"/>
                      <w:szCs w:val="18"/>
                    </w:rPr>
                    <w:t>2</w:t>
                  </w:r>
                </w:p>
              </w:tc>
              <w:tc>
                <w:tcPr>
                  <w:tcW w:w="1" w:type="pct"/>
                  <w:vAlign w:val="center"/>
                </w:tcPr>
                <w:p w14:paraId="14598396">
                  <w:pPr>
                    <w:pStyle w:val="76"/>
                    <w:rPr>
                      <w:rFonts w:eastAsia="宋体"/>
                      <w:color w:val="auto"/>
                      <w:sz w:val="18"/>
                      <w:szCs w:val="18"/>
                    </w:rPr>
                  </w:pPr>
                  <w:r>
                    <w:rPr>
                      <w:rFonts w:hint="eastAsia" w:eastAsia="宋体"/>
                      <w:color w:val="auto"/>
                      <w:sz w:val="18"/>
                      <w:szCs w:val="18"/>
                    </w:rPr>
                    <w:t>收集废气中NMHC初始排放速率大于或等于2kg/h的实验室单元，废气净化效率不低于80%；收集废气中NMHC初始排放速率在0.2 kg/h~2kg/h</w:t>
                  </w:r>
                  <w:r>
                    <w:rPr>
                      <w:rFonts w:hint="eastAsia" w:eastAsia="宋体"/>
                      <w:color w:val="auto"/>
                      <w:sz w:val="18"/>
                      <w:szCs w:val="18"/>
                      <w:lang w:eastAsia="zh-CN"/>
                    </w:rPr>
                    <w:t>（</w:t>
                  </w:r>
                  <w:r>
                    <w:rPr>
                      <w:rFonts w:hint="eastAsia" w:eastAsia="宋体"/>
                      <w:color w:val="auto"/>
                      <w:sz w:val="18"/>
                      <w:szCs w:val="18"/>
                    </w:rPr>
                    <w:t>含0.2 kg/h</w:t>
                  </w:r>
                  <w:r>
                    <w:rPr>
                      <w:rFonts w:hint="eastAsia" w:eastAsia="宋体"/>
                      <w:color w:val="auto"/>
                      <w:sz w:val="18"/>
                      <w:szCs w:val="18"/>
                      <w:lang w:eastAsia="zh-CN"/>
                    </w:rPr>
                    <w:t>）</w:t>
                  </w:r>
                  <w:r>
                    <w:rPr>
                      <w:rFonts w:hint="eastAsia" w:eastAsia="宋体"/>
                      <w:color w:val="auto"/>
                      <w:sz w:val="18"/>
                      <w:szCs w:val="18"/>
                    </w:rPr>
                    <w:t>范围内的实验室单元，废气净化效率不低于60%；收集废气中NMHC初始排放速率在 0.02 kg/h~0.2 kg/h</w:t>
                  </w:r>
                  <w:r>
                    <w:rPr>
                      <w:rFonts w:hint="eastAsia" w:eastAsia="宋体"/>
                      <w:color w:val="auto"/>
                      <w:sz w:val="18"/>
                      <w:szCs w:val="18"/>
                      <w:lang w:eastAsia="zh-CN"/>
                    </w:rPr>
                    <w:t>（</w:t>
                  </w:r>
                  <w:r>
                    <w:rPr>
                      <w:rFonts w:hint="eastAsia" w:eastAsia="宋体"/>
                      <w:color w:val="auto"/>
                      <w:sz w:val="18"/>
                      <w:szCs w:val="18"/>
                    </w:rPr>
                    <w:t>含0.02kg/h</w:t>
                  </w:r>
                  <w:r>
                    <w:rPr>
                      <w:rFonts w:hint="eastAsia" w:eastAsia="宋体"/>
                      <w:color w:val="auto"/>
                      <w:sz w:val="18"/>
                      <w:szCs w:val="18"/>
                      <w:lang w:eastAsia="zh-CN"/>
                    </w:rPr>
                    <w:t>）</w:t>
                  </w:r>
                  <w:r>
                    <w:rPr>
                      <w:rFonts w:hint="eastAsia" w:eastAsia="宋体"/>
                      <w:color w:val="auto"/>
                      <w:sz w:val="18"/>
                      <w:szCs w:val="18"/>
                    </w:rPr>
                    <w:t>范围内的实验室单元，废气净化效率不低于50%。</w:t>
                  </w:r>
                </w:p>
              </w:tc>
              <w:tc>
                <w:tcPr>
                  <w:tcW w:w="1613" w:type="pct"/>
                  <w:vAlign w:val="center"/>
                </w:tcPr>
                <w:p w14:paraId="533C92C6">
                  <w:pPr>
                    <w:pStyle w:val="76"/>
                    <w:rPr>
                      <w:rFonts w:eastAsia="宋体"/>
                      <w:color w:val="auto"/>
                      <w:sz w:val="18"/>
                      <w:szCs w:val="18"/>
                    </w:rPr>
                  </w:pPr>
                  <w:r>
                    <w:rPr>
                      <w:rFonts w:hint="eastAsia" w:eastAsia="宋体"/>
                      <w:color w:val="auto"/>
                      <w:sz w:val="18"/>
                      <w:szCs w:val="18"/>
                    </w:rPr>
                    <w:t>本项目</w:t>
                  </w:r>
                  <w:r>
                    <w:rPr>
                      <w:rFonts w:hint="eastAsia" w:eastAsia="宋体"/>
                      <w:color w:val="auto"/>
                      <w:sz w:val="18"/>
                      <w:szCs w:val="18"/>
                      <w:lang w:val="en-US"/>
                    </w:rPr>
                    <w:t>实验室</w:t>
                  </w:r>
                  <w:r>
                    <w:rPr>
                      <w:rFonts w:hint="eastAsia" w:eastAsia="宋体"/>
                      <w:color w:val="auto"/>
                      <w:sz w:val="18"/>
                      <w:szCs w:val="18"/>
                    </w:rPr>
                    <w:t>废气经收集采用</w:t>
                  </w:r>
                  <w:r>
                    <w:rPr>
                      <w:rFonts w:hint="eastAsia" w:eastAsia="宋体"/>
                      <w:color w:val="auto"/>
                      <w:sz w:val="18"/>
                      <w:szCs w:val="18"/>
                      <w:lang w:val="en-US" w:eastAsia="zh-CN"/>
                    </w:rPr>
                    <w:t>3套SDG吸附</w:t>
                  </w:r>
                  <w:r>
                    <w:rPr>
                      <w:rFonts w:hint="eastAsia" w:eastAsia="宋体"/>
                      <w:color w:val="auto"/>
                      <w:sz w:val="18"/>
                      <w:szCs w:val="18"/>
                      <w:lang w:val="en-US"/>
                    </w:rPr>
                    <w:t>+</w:t>
                  </w:r>
                  <w:r>
                    <w:rPr>
                      <w:rFonts w:hint="eastAsia" w:eastAsia="宋体"/>
                      <w:color w:val="auto"/>
                      <w:sz w:val="18"/>
                      <w:szCs w:val="18"/>
                    </w:rPr>
                    <w:t>活性炭吸附处理，收集废气中NMHC初始排放速率</w:t>
                  </w:r>
                  <w:r>
                    <w:rPr>
                      <w:rFonts w:hint="eastAsia" w:eastAsia="宋体"/>
                      <w:color w:val="auto"/>
                      <w:sz w:val="18"/>
                      <w:szCs w:val="18"/>
                      <w:lang w:val="en-US"/>
                    </w:rPr>
                    <w:t>小于</w:t>
                  </w:r>
                  <w:r>
                    <w:rPr>
                      <w:rFonts w:hint="eastAsia" w:eastAsia="宋体"/>
                      <w:color w:val="auto"/>
                      <w:sz w:val="18"/>
                      <w:szCs w:val="18"/>
                    </w:rPr>
                    <w:t>0.02 kg/h，本项目废气处理效率为5</w:t>
                  </w:r>
                  <w:r>
                    <w:rPr>
                      <w:rFonts w:eastAsia="宋体"/>
                      <w:color w:val="auto"/>
                      <w:sz w:val="18"/>
                      <w:szCs w:val="18"/>
                    </w:rPr>
                    <w:t>0</w:t>
                  </w:r>
                  <w:r>
                    <w:rPr>
                      <w:rFonts w:hint="eastAsia" w:eastAsia="宋体"/>
                      <w:color w:val="auto"/>
                      <w:sz w:val="18"/>
                      <w:szCs w:val="18"/>
                    </w:rPr>
                    <w:t>%。</w:t>
                  </w:r>
                </w:p>
              </w:tc>
              <w:tc>
                <w:tcPr>
                  <w:tcW w:w="560" w:type="pct"/>
                  <w:vAlign w:val="center"/>
                </w:tcPr>
                <w:p w14:paraId="32CACD4C">
                  <w:pPr>
                    <w:pStyle w:val="76"/>
                    <w:jc w:val="center"/>
                    <w:rPr>
                      <w:rFonts w:eastAsia="宋体"/>
                      <w:color w:val="auto"/>
                      <w:sz w:val="18"/>
                      <w:szCs w:val="18"/>
                    </w:rPr>
                  </w:pPr>
                  <w:r>
                    <w:rPr>
                      <w:rFonts w:hint="eastAsia" w:eastAsia="宋体"/>
                      <w:color w:val="auto"/>
                      <w:sz w:val="18"/>
                      <w:szCs w:val="18"/>
                    </w:rPr>
                    <w:t>相符</w:t>
                  </w:r>
                </w:p>
              </w:tc>
            </w:tr>
            <w:tr w14:paraId="158155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03" w:type="pct"/>
                  <w:vAlign w:val="center"/>
                </w:tcPr>
                <w:p w14:paraId="42878979">
                  <w:pPr>
                    <w:pStyle w:val="76"/>
                    <w:rPr>
                      <w:rFonts w:eastAsia="宋体"/>
                      <w:color w:val="auto"/>
                      <w:sz w:val="18"/>
                      <w:szCs w:val="18"/>
                    </w:rPr>
                  </w:pPr>
                  <w:r>
                    <w:rPr>
                      <w:rFonts w:hint="eastAsia" w:eastAsia="宋体"/>
                      <w:color w:val="auto"/>
                      <w:sz w:val="18"/>
                      <w:szCs w:val="18"/>
                    </w:rPr>
                    <w:t>3</w:t>
                  </w:r>
                </w:p>
              </w:tc>
              <w:tc>
                <w:tcPr>
                  <w:tcW w:w="1" w:type="pct"/>
                  <w:vAlign w:val="center"/>
                </w:tcPr>
                <w:p w14:paraId="320EC303">
                  <w:pPr>
                    <w:pStyle w:val="76"/>
                    <w:rPr>
                      <w:rFonts w:eastAsia="宋体"/>
                      <w:color w:val="auto"/>
                      <w:sz w:val="18"/>
                      <w:szCs w:val="18"/>
                    </w:rPr>
                  </w:pPr>
                  <w:r>
                    <w:rPr>
                      <w:rFonts w:hint="eastAsia" w:eastAsia="宋体"/>
                      <w:color w:val="auto"/>
                      <w:sz w:val="18"/>
                      <w:szCs w:val="18"/>
                    </w:rPr>
                    <w:t>产生和使用易挥发物质的仪器或操作工位，以及其他产生废气的实验室设备，未在排风柜中进行的，应在其上方安装废气收集排风罩，排风罩设置应符合 GB/T 16758 的规定。距排风罩开口面最远处废气无组织排放位置控制风速不应低于 0.3 m/s，控制风速的测量按照 GB/T 16758、WS/T 757 执行。</w:t>
                  </w:r>
                </w:p>
              </w:tc>
              <w:tc>
                <w:tcPr>
                  <w:tcW w:w="1613" w:type="pct"/>
                  <w:vAlign w:val="center"/>
                </w:tcPr>
                <w:p w14:paraId="29ABE08E">
                  <w:pPr>
                    <w:pStyle w:val="76"/>
                    <w:rPr>
                      <w:rFonts w:eastAsia="宋体"/>
                      <w:color w:val="auto"/>
                      <w:sz w:val="18"/>
                      <w:szCs w:val="18"/>
                    </w:rPr>
                  </w:pPr>
                  <w:r>
                    <w:rPr>
                      <w:rFonts w:hint="eastAsia" w:eastAsia="宋体"/>
                      <w:color w:val="auto"/>
                      <w:sz w:val="18"/>
                      <w:szCs w:val="18"/>
                    </w:rPr>
                    <w:t>实验台按照规范设置集风罩，距排风罩开口面最远处废气无组织排放位置控制风速不低于0.3m/s</w:t>
                  </w:r>
                </w:p>
              </w:tc>
              <w:tc>
                <w:tcPr>
                  <w:tcW w:w="560" w:type="pct"/>
                  <w:vAlign w:val="center"/>
                </w:tcPr>
                <w:p w14:paraId="4439B247">
                  <w:pPr>
                    <w:pStyle w:val="76"/>
                    <w:jc w:val="center"/>
                    <w:rPr>
                      <w:rFonts w:eastAsia="宋体"/>
                      <w:color w:val="auto"/>
                      <w:sz w:val="18"/>
                      <w:szCs w:val="18"/>
                    </w:rPr>
                  </w:pPr>
                  <w:r>
                    <w:rPr>
                      <w:rFonts w:hint="eastAsia" w:eastAsia="宋体"/>
                      <w:color w:val="auto"/>
                      <w:sz w:val="18"/>
                      <w:szCs w:val="18"/>
                    </w:rPr>
                    <w:t>相符</w:t>
                  </w:r>
                </w:p>
              </w:tc>
            </w:tr>
            <w:tr w14:paraId="162DA6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03" w:type="pct"/>
                  <w:vAlign w:val="center"/>
                </w:tcPr>
                <w:p w14:paraId="62029DCA">
                  <w:pPr>
                    <w:pStyle w:val="76"/>
                    <w:rPr>
                      <w:rFonts w:eastAsia="宋体"/>
                      <w:color w:val="auto"/>
                      <w:sz w:val="18"/>
                      <w:szCs w:val="18"/>
                    </w:rPr>
                  </w:pPr>
                  <w:r>
                    <w:rPr>
                      <w:rFonts w:hint="eastAsia" w:eastAsia="宋体"/>
                      <w:color w:val="auto"/>
                      <w:sz w:val="18"/>
                      <w:szCs w:val="18"/>
                    </w:rPr>
                    <w:t>4</w:t>
                  </w:r>
                </w:p>
              </w:tc>
              <w:tc>
                <w:tcPr>
                  <w:tcW w:w="1" w:type="pct"/>
                  <w:vAlign w:val="center"/>
                </w:tcPr>
                <w:p w14:paraId="63C05A53">
                  <w:pPr>
                    <w:pStyle w:val="76"/>
                    <w:rPr>
                      <w:rFonts w:eastAsia="宋体"/>
                      <w:color w:val="auto"/>
                      <w:sz w:val="18"/>
                      <w:szCs w:val="18"/>
                    </w:rPr>
                  </w:pPr>
                  <w:r>
                    <w:rPr>
                      <w:rFonts w:hint="eastAsia" w:eastAsia="宋体"/>
                      <w:color w:val="auto"/>
                      <w:sz w:val="18"/>
                      <w:szCs w:val="18"/>
                    </w:rPr>
                    <w:t>含易挥发物质的试剂库应设置废气收集装置，换气次数不应低于6次/h。</w:t>
                  </w:r>
                </w:p>
              </w:tc>
              <w:tc>
                <w:tcPr>
                  <w:tcW w:w="1613" w:type="pct"/>
                  <w:vAlign w:val="center"/>
                </w:tcPr>
                <w:p w14:paraId="7FA06355">
                  <w:pPr>
                    <w:pStyle w:val="76"/>
                    <w:rPr>
                      <w:rFonts w:eastAsia="宋体"/>
                      <w:color w:val="auto"/>
                      <w:sz w:val="18"/>
                      <w:szCs w:val="18"/>
                    </w:rPr>
                  </w:pPr>
                  <w:r>
                    <w:rPr>
                      <w:rFonts w:hint="eastAsia" w:eastAsia="宋体"/>
                      <w:color w:val="auto"/>
                      <w:sz w:val="18"/>
                      <w:szCs w:val="18"/>
                    </w:rPr>
                    <w:t>试剂库设置废气收集装置，换气次数不低于6次/h。</w:t>
                  </w:r>
                </w:p>
              </w:tc>
              <w:tc>
                <w:tcPr>
                  <w:tcW w:w="560" w:type="pct"/>
                  <w:vAlign w:val="center"/>
                </w:tcPr>
                <w:p w14:paraId="04D9657F">
                  <w:pPr>
                    <w:pStyle w:val="76"/>
                    <w:jc w:val="center"/>
                    <w:rPr>
                      <w:rFonts w:eastAsia="宋体"/>
                      <w:color w:val="auto"/>
                      <w:sz w:val="18"/>
                      <w:szCs w:val="18"/>
                    </w:rPr>
                  </w:pPr>
                  <w:r>
                    <w:rPr>
                      <w:rFonts w:hint="eastAsia" w:eastAsia="宋体"/>
                      <w:color w:val="auto"/>
                      <w:sz w:val="18"/>
                      <w:szCs w:val="18"/>
                    </w:rPr>
                    <w:t>相符</w:t>
                  </w:r>
                </w:p>
              </w:tc>
            </w:tr>
            <w:tr w14:paraId="086C1A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03" w:type="pct"/>
                  <w:vAlign w:val="center"/>
                </w:tcPr>
                <w:p w14:paraId="441CAD37">
                  <w:pPr>
                    <w:pStyle w:val="76"/>
                    <w:rPr>
                      <w:rFonts w:eastAsia="宋体"/>
                      <w:color w:val="auto"/>
                      <w:sz w:val="18"/>
                      <w:szCs w:val="18"/>
                    </w:rPr>
                  </w:pPr>
                  <w:r>
                    <w:rPr>
                      <w:rFonts w:hint="eastAsia" w:eastAsia="宋体"/>
                      <w:color w:val="auto"/>
                      <w:sz w:val="18"/>
                      <w:szCs w:val="18"/>
                    </w:rPr>
                    <w:t>5</w:t>
                  </w:r>
                </w:p>
              </w:tc>
              <w:tc>
                <w:tcPr>
                  <w:tcW w:w="1" w:type="pct"/>
                  <w:vAlign w:val="center"/>
                </w:tcPr>
                <w:p w14:paraId="4E145195">
                  <w:pPr>
                    <w:pStyle w:val="76"/>
                    <w:rPr>
                      <w:rFonts w:eastAsia="宋体"/>
                      <w:color w:val="auto"/>
                      <w:sz w:val="18"/>
                      <w:szCs w:val="18"/>
                    </w:rPr>
                  </w:pPr>
                  <w:r>
                    <w:rPr>
                      <w:rFonts w:hint="eastAsia" w:eastAsia="宋体"/>
                      <w:color w:val="auto"/>
                      <w:sz w:val="18"/>
                      <w:szCs w:val="18"/>
                    </w:rPr>
                    <w:t>吸附法处理有机废气可采用活性炭，活性炭纤维等作为吸附介质，并满足以下要求：</w:t>
                  </w:r>
                </w:p>
                <w:p w14:paraId="4F12F767">
                  <w:pPr>
                    <w:pStyle w:val="76"/>
                    <w:rPr>
                      <w:rFonts w:eastAsia="宋体"/>
                      <w:color w:val="auto"/>
                      <w:sz w:val="18"/>
                      <w:szCs w:val="18"/>
                    </w:rPr>
                  </w:pPr>
                  <w:r>
                    <w:rPr>
                      <w:rFonts w:hint="eastAsia" w:eastAsia="宋体"/>
                      <w:color w:val="auto"/>
                      <w:sz w:val="18"/>
                      <w:szCs w:val="18"/>
                    </w:rPr>
                    <w:t>a)选用的颗粒活性炭碘值不应低于 800mg/g，四氯化碳吸附率不应低于50%；选用的蜂窝活性炭碘值不应低于650 mg/g，四氯化碳吸附率不应低于35%；其他性能指标应符合GB/T 7701.1 的要求。选用的活性炭纤维比表面积不应低于1100 m</w:t>
                  </w:r>
                  <w:r>
                    <w:rPr>
                      <w:rFonts w:eastAsia="宋体"/>
                      <w:color w:val="auto"/>
                      <w:sz w:val="18"/>
                      <w:szCs w:val="18"/>
                      <w:vertAlign w:val="superscript"/>
                    </w:rPr>
                    <w:t>2</w:t>
                  </w:r>
                  <w:r>
                    <w:rPr>
                      <w:rFonts w:hint="eastAsia" w:eastAsia="宋体"/>
                      <w:color w:val="auto"/>
                      <w:sz w:val="18"/>
                      <w:szCs w:val="18"/>
                    </w:rPr>
                    <w:t>/g,其他性能指标应符合 HG/T 3922的要求。其他吸附剂的选择应符合 HJ2026 的相关规定。</w:t>
                  </w:r>
                </w:p>
                <w:p w14:paraId="4C41BA99">
                  <w:pPr>
                    <w:pStyle w:val="76"/>
                    <w:rPr>
                      <w:rFonts w:eastAsia="宋体"/>
                      <w:color w:val="auto"/>
                      <w:sz w:val="18"/>
                      <w:szCs w:val="18"/>
                    </w:rPr>
                  </w:pPr>
                  <w:r>
                    <w:rPr>
                      <w:rFonts w:hint="eastAsia" w:eastAsia="宋体"/>
                      <w:color w:val="auto"/>
                      <w:sz w:val="18"/>
                      <w:szCs w:val="18"/>
                    </w:rPr>
                    <w:t>b)吸附法处理有机废气的工艺设计应符合 HJ2026和 HJ/T 386的相关规定，废气在吸附装置中应有足够的停留时间，应大于0.3s。</w:t>
                  </w:r>
                </w:p>
                <w:p w14:paraId="305F10C6">
                  <w:pPr>
                    <w:pStyle w:val="76"/>
                    <w:rPr>
                      <w:rFonts w:eastAsia="宋体"/>
                      <w:color w:val="auto"/>
                      <w:sz w:val="18"/>
                      <w:szCs w:val="18"/>
                    </w:rPr>
                  </w:pPr>
                  <w:r>
                    <w:rPr>
                      <w:rFonts w:hint="eastAsia" w:eastAsia="宋体"/>
                      <w:color w:val="auto"/>
                      <w:sz w:val="18"/>
                      <w:szCs w:val="18"/>
                    </w:rPr>
                    <w:t>c)应根据废气排放特征，明确吸附剂更换周期，不宜超过6个月</w:t>
                  </w:r>
                  <w:r>
                    <w:rPr>
                      <w:rFonts w:hint="eastAsia" w:eastAsia="宋体"/>
                      <w:color w:val="auto"/>
                      <w:sz w:val="18"/>
                      <w:szCs w:val="18"/>
                      <w:lang w:eastAsia="zh-CN"/>
                    </w:rPr>
                    <w:t>，具</w:t>
                  </w:r>
                  <w:r>
                    <w:rPr>
                      <w:rFonts w:hint="eastAsia" w:eastAsia="宋体"/>
                      <w:color w:val="auto"/>
                      <w:sz w:val="18"/>
                      <w:szCs w:val="18"/>
                    </w:rPr>
                    <w:t>有环境影响评价或者排污许可证等法定文件的，可按其核定的更换周期执行，具有原位再生功能的吸附剂可根据再生后吸附性能情况适当延长更换周期。</w:t>
                  </w:r>
                </w:p>
              </w:tc>
              <w:tc>
                <w:tcPr>
                  <w:tcW w:w="1613" w:type="pct"/>
                  <w:vAlign w:val="center"/>
                </w:tcPr>
                <w:p w14:paraId="229AB82F">
                  <w:pPr>
                    <w:pStyle w:val="76"/>
                    <w:rPr>
                      <w:rFonts w:eastAsia="宋体"/>
                      <w:color w:val="auto"/>
                      <w:sz w:val="18"/>
                      <w:szCs w:val="18"/>
                    </w:rPr>
                  </w:pPr>
                  <w:r>
                    <w:rPr>
                      <w:rFonts w:hint="eastAsia" w:eastAsia="宋体"/>
                      <w:color w:val="auto"/>
                      <w:sz w:val="18"/>
                      <w:szCs w:val="18"/>
                    </w:rPr>
                    <w:t>本项目废气处理采用</w:t>
                  </w:r>
                  <w:r>
                    <w:rPr>
                      <w:rFonts w:hint="eastAsia" w:eastAsia="宋体"/>
                      <w:color w:val="auto"/>
                      <w:sz w:val="18"/>
                      <w:szCs w:val="18"/>
                      <w:lang w:val="en-US" w:eastAsia="zh-CN"/>
                    </w:rPr>
                    <w:t>SDG吸附</w:t>
                  </w:r>
                  <w:r>
                    <w:rPr>
                      <w:rFonts w:hint="eastAsia" w:eastAsia="宋体"/>
                      <w:color w:val="auto"/>
                      <w:sz w:val="18"/>
                      <w:szCs w:val="18"/>
                      <w:lang w:val="en-US"/>
                    </w:rPr>
                    <w:t>+</w:t>
                  </w:r>
                  <w:r>
                    <w:rPr>
                      <w:rFonts w:hint="eastAsia" w:eastAsia="宋体"/>
                      <w:color w:val="auto"/>
                      <w:sz w:val="18"/>
                      <w:szCs w:val="18"/>
                    </w:rPr>
                    <w:t>活性炭吸附处理，活性炭满足规范要求。</w:t>
                  </w:r>
                </w:p>
                <w:p w14:paraId="1429255F">
                  <w:pPr>
                    <w:pStyle w:val="76"/>
                    <w:rPr>
                      <w:rFonts w:eastAsia="宋体"/>
                      <w:color w:val="auto"/>
                      <w:sz w:val="18"/>
                      <w:szCs w:val="18"/>
                    </w:rPr>
                  </w:pPr>
                  <w:r>
                    <w:rPr>
                      <w:rFonts w:eastAsia="宋体"/>
                      <w:color w:val="auto"/>
                      <w:sz w:val="18"/>
                      <w:szCs w:val="18"/>
                    </w:rPr>
                    <w:t>a</w:t>
                  </w:r>
                  <w:r>
                    <w:rPr>
                      <w:rFonts w:hint="eastAsia" w:eastAsia="宋体"/>
                      <w:color w:val="auto"/>
                      <w:sz w:val="18"/>
                      <w:szCs w:val="18"/>
                    </w:rPr>
                    <w:t>）选用的蜂窝活性炭碘值大于650mg/g，其他性能指标符合GB/T 7701.1的要求。</w:t>
                  </w:r>
                </w:p>
                <w:p w14:paraId="26DA4B9A">
                  <w:pPr>
                    <w:pStyle w:val="76"/>
                    <w:rPr>
                      <w:rFonts w:eastAsia="宋体"/>
                      <w:color w:val="auto"/>
                      <w:sz w:val="18"/>
                      <w:szCs w:val="18"/>
                    </w:rPr>
                  </w:pPr>
                  <w:r>
                    <w:rPr>
                      <w:rFonts w:eastAsia="宋体"/>
                      <w:color w:val="auto"/>
                      <w:sz w:val="18"/>
                      <w:szCs w:val="18"/>
                    </w:rPr>
                    <w:t>b</w:t>
                  </w:r>
                  <w:r>
                    <w:rPr>
                      <w:rFonts w:hint="eastAsia" w:eastAsia="宋体"/>
                      <w:color w:val="auto"/>
                      <w:sz w:val="18"/>
                      <w:szCs w:val="18"/>
                    </w:rPr>
                    <w:t>）吸附法处理有机废气的工艺设计符合HJ2026和HJ/T 386的相关规定，废气在吸附装置中有足够的停留时间，大于0.3s。</w:t>
                  </w:r>
                </w:p>
                <w:p w14:paraId="7466DED6">
                  <w:pPr>
                    <w:pStyle w:val="76"/>
                    <w:rPr>
                      <w:rFonts w:eastAsia="宋体"/>
                      <w:color w:val="auto"/>
                      <w:sz w:val="18"/>
                      <w:szCs w:val="18"/>
                      <w:lang w:val="en-US"/>
                    </w:rPr>
                  </w:pPr>
                  <w:r>
                    <w:rPr>
                      <w:rFonts w:hint="eastAsia" w:eastAsia="宋体"/>
                      <w:color w:val="auto"/>
                      <w:sz w:val="18"/>
                      <w:szCs w:val="18"/>
                    </w:rPr>
                    <w:t>c）活性炭更换周期为</w:t>
                  </w:r>
                  <w:r>
                    <w:rPr>
                      <w:rFonts w:hint="eastAsia" w:eastAsia="宋体"/>
                      <w:color w:val="auto"/>
                      <w:sz w:val="18"/>
                      <w:szCs w:val="18"/>
                      <w:lang w:val="en-US"/>
                    </w:rPr>
                    <w:t>120</w:t>
                  </w:r>
                  <w:r>
                    <w:rPr>
                      <w:rFonts w:hint="eastAsia" w:eastAsia="宋体"/>
                      <w:color w:val="auto"/>
                      <w:sz w:val="18"/>
                      <w:szCs w:val="18"/>
                    </w:rPr>
                    <w:t>天，不超过6个月。</w:t>
                  </w:r>
                </w:p>
              </w:tc>
              <w:tc>
                <w:tcPr>
                  <w:tcW w:w="560" w:type="pct"/>
                  <w:vAlign w:val="center"/>
                </w:tcPr>
                <w:p w14:paraId="5F5A772B">
                  <w:pPr>
                    <w:pStyle w:val="76"/>
                    <w:jc w:val="center"/>
                    <w:rPr>
                      <w:rFonts w:eastAsia="宋体"/>
                      <w:color w:val="auto"/>
                      <w:sz w:val="18"/>
                      <w:szCs w:val="18"/>
                    </w:rPr>
                  </w:pPr>
                  <w:r>
                    <w:rPr>
                      <w:rFonts w:hint="eastAsia" w:eastAsia="宋体"/>
                      <w:color w:val="auto"/>
                      <w:sz w:val="18"/>
                      <w:szCs w:val="18"/>
                    </w:rPr>
                    <w:t>相符</w:t>
                  </w:r>
                </w:p>
              </w:tc>
            </w:tr>
            <w:tr w14:paraId="7589FA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03" w:type="pct"/>
                  <w:vAlign w:val="center"/>
                </w:tcPr>
                <w:p w14:paraId="4EA86224">
                  <w:pPr>
                    <w:pStyle w:val="76"/>
                    <w:rPr>
                      <w:rFonts w:eastAsia="宋体"/>
                      <w:color w:val="auto"/>
                      <w:sz w:val="18"/>
                      <w:szCs w:val="18"/>
                    </w:rPr>
                  </w:pPr>
                  <w:r>
                    <w:rPr>
                      <w:rFonts w:hint="eastAsia" w:eastAsia="宋体"/>
                      <w:color w:val="auto"/>
                      <w:sz w:val="18"/>
                      <w:szCs w:val="18"/>
                    </w:rPr>
                    <w:t>6</w:t>
                  </w:r>
                </w:p>
              </w:tc>
              <w:tc>
                <w:tcPr>
                  <w:tcW w:w="1" w:type="pct"/>
                  <w:vAlign w:val="center"/>
                </w:tcPr>
                <w:p w14:paraId="53C1B342">
                  <w:pPr>
                    <w:pStyle w:val="76"/>
                    <w:rPr>
                      <w:rFonts w:eastAsia="宋体"/>
                      <w:color w:val="auto"/>
                      <w:sz w:val="18"/>
                      <w:szCs w:val="18"/>
                    </w:rPr>
                  </w:pPr>
                  <w:r>
                    <w:rPr>
                      <w:rFonts w:hint="eastAsia" w:eastAsia="宋体"/>
                      <w:color w:val="auto"/>
                      <w:sz w:val="18"/>
                      <w:szCs w:val="18"/>
                    </w:rPr>
                    <w:t>实验室单位应加强对易挥发物质的采购、储存和使用管理。建立易挥发物质</w:t>
                  </w:r>
                  <w:r>
                    <w:rPr>
                      <w:rFonts w:hint="eastAsia" w:eastAsia="宋体"/>
                      <w:color w:val="auto"/>
                      <w:sz w:val="18"/>
                      <w:szCs w:val="18"/>
                      <w:lang w:eastAsia="zh-CN"/>
                    </w:rPr>
                    <w:t>（</w:t>
                  </w:r>
                  <w:r>
                    <w:rPr>
                      <w:rFonts w:hint="eastAsia" w:eastAsia="宋体"/>
                      <w:color w:val="auto"/>
                      <w:sz w:val="18"/>
                      <w:szCs w:val="18"/>
                    </w:rPr>
                    <w:t>常见种类见附录 A</w:t>
                  </w:r>
                  <w:r>
                    <w:rPr>
                      <w:rFonts w:hint="eastAsia" w:eastAsia="宋体"/>
                      <w:color w:val="auto"/>
                      <w:sz w:val="18"/>
                      <w:szCs w:val="18"/>
                      <w:lang w:eastAsia="zh-CN"/>
                    </w:rPr>
                    <w:t>）</w:t>
                  </w:r>
                  <w:r>
                    <w:rPr>
                      <w:rFonts w:hint="eastAsia"/>
                      <w:color w:val="auto"/>
                      <w:sz w:val="18"/>
                      <w:szCs w:val="18"/>
                    </w:rPr>
                    <w:t xml:space="preserve"> </w:t>
                  </w:r>
                  <w:r>
                    <w:rPr>
                      <w:rFonts w:hint="eastAsia" w:eastAsia="宋体"/>
                      <w:color w:val="auto"/>
                      <w:sz w:val="18"/>
                      <w:szCs w:val="18"/>
                    </w:rPr>
                    <w:t>购置和使用登记制度，记录所购买及使用的易挥发物质种类、采购量、使用量、回收量、废弃量及记录人等信息,易挥发物质采购、使用记录表详见附录 B，相关台账记录保存期限不应少于5年。</w:t>
                  </w:r>
                </w:p>
              </w:tc>
              <w:tc>
                <w:tcPr>
                  <w:tcW w:w="1613" w:type="pct"/>
                  <w:vAlign w:val="center"/>
                </w:tcPr>
                <w:p w14:paraId="4DC658D8">
                  <w:pPr>
                    <w:pStyle w:val="76"/>
                    <w:rPr>
                      <w:rFonts w:eastAsia="宋体"/>
                      <w:color w:val="auto"/>
                      <w:sz w:val="18"/>
                      <w:szCs w:val="18"/>
                    </w:rPr>
                  </w:pPr>
                  <w:r>
                    <w:rPr>
                      <w:rFonts w:hint="eastAsia" w:eastAsia="宋体"/>
                      <w:color w:val="auto"/>
                      <w:sz w:val="18"/>
                      <w:szCs w:val="18"/>
                    </w:rPr>
                    <w:t>项目建成后按照要求存放物料并建立易挥发物质的管理制度，相关台账记录保存期间不少于5年。</w:t>
                  </w:r>
                </w:p>
              </w:tc>
              <w:tc>
                <w:tcPr>
                  <w:tcW w:w="560" w:type="pct"/>
                  <w:vAlign w:val="center"/>
                </w:tcPr>
                <w:p w14:paraId="795625DC">
                  <w:pPr>
                    <w:pStyle w:val="76"/>
                    <w:jc w:val="center"/>
                    <w:rPr>
                      <w:rFonts w:eastAsia="宋体"/>
                      <w:color w:val="auto"/>
                      <w:sz w:val="18"/>
                      <w:szCs w:val="18"/>
                    </w:rPr>
                  </w:pPr>
                  <w:r>
                    <w:rPr>
                      <w:rFonts w:hint="eastAsia" w:eastAsia="宋体"/>
                      <w:color w:val="auto"/>
                      <w:sz w:val="18"/>
                      <w:szCs w:val="18"/>
                    </w:rPr>
                    <w:t>相符</w:t>
                  </w:r>
                </w:p>
              </w:tc>
            </w:tr>
            <w:tr w14:paraId="6B3DB8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03" w:type="pct"/>
                  <w:vAlign w:val="center"/>
                </w:tcPr>
                <w:p w14:paraId="4E77FC77">
                  <w:pPr>
                    <w:pStyle w:val="76"/>
                    <w:rPr>
                      <w:rFonts w:eastAsia="宋体"/>
                      <w:color w:val="auto"/>
                      <w:sz w:val="18"/>
                      <w:szCs w:val="18"/>
                    </w:rPr>
                  </w:pPr>
                  <w:r>
                    <w:rPr>
                      <w:rFonts w:hint="eastAsia" w:eastAsia="宋体"/>
                      <w:color w:val="auto"/>
                      <w:sz w:val="18"/>
                      <w:szCs w:val="18"/>
                    </w:rPr>
                    <w:t>7</w:t>
                  </w:r>
                </w:p>
              </w:tc>
              <w:tc>
                <w:tcPr>
                  <w:tcW w:w="1" w:type="pct"/>
                  <w:vAlign w:val="center"/>
                </w:tcPr>
                <w:p w14:paraId="15024790">
                  <w:pPr>
                    <w:pStyle w:val="76"/>
                    <w:rPr>
                      <w:rFonts w:eastAsia="宋体"/>
                      <w:color w:val="auto"/>
                      <w:sz w:val="18"/>
                      <w:szCs w:val="18"/>
                    </w:rPr>
                  </w:pPr>
                  <w:r>
                    <w:rPr>
                      <w:rFonts w:hint="eastAsia" w:eastAsia="宋体"/>
                      <w:color w:val="auto"/>
                      <w:sz w:val="18"/>
                      <w:szCs w:val="18"/>
                    </w:rPr>
                    <w:t>实验室单位应采用受影响人员易于获悉的方式及时公示吸附剂更换信息,包括更换日期、更换量、生产厂家、关键品质参数及相关人员等信息。废气净化装置产生的废吸收液和吸附剂再生时产生的废气应进行规范收集处理。废气收集和净化装置应采取措施降低噪声和振动对环境的影响。废气净化装置产生的危险废物，应按 GB 18597 和 HJ2025 等危险废物贮存、转移、处置等相关要求进行环境管理。实验室单位应将收集和净化装置的管理纳入日常管理中,对管理和技术人员进行培训,掌握必要的运行管理知识和应急情况下的处理措施。实验室单位应建立收集和净化装置的运行,维护和操作规程以及相关台账制度,明确设施的检查周期。</w:t>
                  </w:r>
                </w:p>
              </w:tc>
              <w:tc>
                <w:tcPr>
                  <w:tcW w:w="1613" w:type="pct"/>
                  <w:vAlign w:val="center"/>
                </w:tcPr>
                <w:p w14:paraId="5F7CD6FE">
                  <w:pPr>
                    <w:pStyle w:val="76"/>
                    <w:rPr>
                      <w:rFonts w:eastAsia="宋体"/>
                      <w:color w:val="auto"/>
                      <w:sz w:val="18"/>
                      <w:szCs w:val="18"/>
                    </w:rPr>
                  </w:pPr>
                  <w:r>
                    <w:rPr>
                      <w:rFonts w:hint="eastAsia" w:eastAsia="宋体"/>
                      <w:color w:val="auto"/>
                      <w:sz w:val="18"/>
                      <w:szCs w:val="18"/>
                    </w:rPr>
                    <w:t>按照规范要求对收集和净化装置进行运行维护。</w:t>
                  </w:r>
                </w:p>
              </w:tc>
              <w:tc>
                <w:tcPr>
                  <w:tcW w:w="560" w:type="pct"/>
                  <w:vAlign w:val="center"/>
                </w:tcPr>
                <w:p w14:paraId="7D17B59A">
                  <w:pPr>
                    <w:pStyle w:val="76"/>
                    <w:jc w:val="center"/>
                    <w:rPr>
                      <w:rFonts w:eastAsia="宋体"/>
                      <w:color w:val="auto"/>
                      <w:sz w:val="18"/>
                      <w:szCs w:val="18"/>
                    </w:rPr>
                  </w:pPr>
                  <w:r>
                    <w:rPr>
                      <w:rFonts w:hint="eastAsia" w:eastAsia="宋体"/>
                      <w:color w:val="auto"/>
                      <w:sz w:val="18"/>
                      <w:szCs w:val="18"/>
                    </w:rPr>
                    <w:t>相符</w:t>
                  </w:r>
                </w:p>
              </w:tc>
            </w:tr>
          </w:tbl>
          <w:p w14:paraId="12C7C933">
            <w:pPr>
              <w:autoSpaceDE w:val="0"/>
              <w:autoSpaceDN w:val="0"/>
              <w:adjustRightInd w:val="0"/>
              <w:snapToGrid w:val="0"/>
              <w:spacing w:line="500" w:lineRule="exact"/>
              <w:ind w:firstLine="422" w:firstLineChars="200"/>
              <w:jc w:val="left"/>
              <w:rPr>
                <w:rFonts w:ascii="宋体" w:hAnsi="宋体" w:cs="宋体"/>
                <w:b/>
                <w:color w:val="auto"/>
                <w:kern w:val="0"/>
                <w:szCs w:val="21"/>
              </w:rPr>
            </w:pPr>
            <w:r>
              <w:rPr>
                <w:rFonts w:hint="eastAsia" w:ascii="宋体" w:hAnsi="宋体" w:cs="宋体"/>
                <w:b/>
                <w:color w:val="auto"/>
                <w:kern w:val="0"/>
                <w:szCs w:val="21"/>
              </w:rPr>
              <w:t>（3）、与《关于进一步加强实验室危险废物管理工作的通知》（苏环办〔2020〕284号）、《实验室废弃化学品收集技术规范》（GB/T 31190-2014）、《危险废物贮存污染控制标准》（GB 18597-2023）、《江苏省实验室危险废物环境管理指南》的相符性分析。</w:t>
            </w:r>
          </w:p>
          <w:p w14:paraId="1085E973">
            <w:pPr>
              <w:autoSpaceDE w:val="0"/>
              <w:autoSpaceDN w:val="0"/>
              <w:adjustRightInd w:val="0"/>
              <w:snapToGrid w:val="0"/>
              <w:spacing w:line="500" w:lineRule="exact"/>
              <w:ind w:firstLine="420" w:firstLineChars="200"/>
              <w:jc w:val="left"/>
              <w:rPr>
                <w:rFonts w:ascii="宋体" w:hAnsi="宋体" w:cs="宋体"/>
                <w:b/>
                <w:color w:val="auto"/>
                <w:kern w:val="0"/>
                <w:szCs w:val="21"/>
              </w:rPr>
            </w:pPr>
            <w:r>
              <w:rPr>
                <w:rFonts w:hint="eastAsia"/>
                <w:color w:val="auto"/>
              </w:rPr>
              <w:t>本</w:t>
            </w:r>
            <w:r>
              <w:rPr>
                <w:bCs/>
                <w:color w:val="auto"/>
              </w:rPr>
              <w:t>项目与</w:t>
            </w:r>
            <w:r>
              <w:rPr>
                <w:rFonts w:hint="eastAsia"/>
                <w:bCs/>
                <w:color w:val="auto"/>
              </w:rPr>
              <w:t>《关于进一步加强实验室危险废物管理工作的通知》（苏环办〔2020〕284号）、《实验室废弃化学品收集技术规范》（GB/T 31190-2014）、《危险废物贮存污染控制标准》（GB 18597-2023）、《江苏省实验室危险废物环境管理指南》</w:t>
            </w:r>
            <w:r>
              <w:rPr>
                <w:bCs/>
                <w:color w:val="auto"/>
              </w:rPr>
              <w:t>相关要求的相符性见表1-</w:t>
            </w:r>
            <w:r>
              <w:rPr>
                <w:rFonts w:hint="eastAsia"/>
                <w:bCs/>
                <w:color w:val="auto"/>
              </w:rPr>
              <w:t>8</w:t>
            </w:r>
            <w:r>
              <w:rPr>
                <w:bCs/>
                <w:color w:val="auto"/>
              </w:rPr>
              <w:t>，</w:t>
            </w:r>
            <w:r>
              <w:rPr>
                <w:color w:val="auto"/>
              </w:rPr>
              <w:t>由表可见，本项</w:t>
            </w:r>
            <w:r>
              <w:rPr>
                <w:rFonts w:hint="eastAsia"/>
                <w:color w:val="auto"/>
                <w:lang w:eastAsia="zh-CN"/>
              </w:rPr>
              <w:t>目与</w:t>
            </w:r>
            <w:r>
              <w:rPr>
                <w:rFonts w:hint="eastAsia"/>
                <w:color w:val="auto"/>
              </w:rPr>
              <w:t>上述文件</w:t>
            </w:r>
            <w:r>
              <w:rPr>
                <w:bCs/>
                <w:color w:val="auto"/>
              </w:rPr>
              <w:t>要求相符。</w:t>
            </w:r>
          </w:p>
          <w:p w14:paraId="2B7DC424">
            <w:pPr>
              <w:spacing w:before="120" w:beforeLines="50"/>
              <w:jc w:val="center"/>
              <w:rPr>
                <w:b/>
                <w:color w:val="auto"/>
                <w:szCs w:val="21"/>
              </w:rPr>
            </w:pPr>
            <w:r>
              <w:rPr>
                <w:rFonts w:hint="eastAsia"/>
                <w:b/>
                <w:color w:val="auto"/>
                <w:szCs w:val="21"/>
              </w:rPr>
              <w:t>表1</w:t>
            </w:r>
            <w:r>
              <w:rPr>
                <w:b/>
                <w:color w:val="auto"/>
                <w:szCs w:val="21"/>
              </w:rPr>
              <w:t>-</w:t>
            </w:r>
            <w:r>
              <w:rPr>
                <w:rFonts w:hint="eastAsia"/>
                <w:b/>
                <w:color w:val="auto"/>
                <w:szCs w:val="21"/>
              </w:rPr>
              <w:t>8</w:t>
            </w:r>
            <w:r>
              <w:rPr>
                <w:b/>
                <w:color w:val="auto"/>
                <w:szCs w:val="21"/>
              </w:rPr>
              <w:t xml:space="preserve"> </w:t>
            </w:r>
            <w:r>
              <w:rPr>
                <w:rFonts w:hint="eastAsia"/>
                <w:b/>
                <w:color w:val="auto"/>
                <w:szCs w:val="21"/>
              </w:rPr>
              <w:t>本项目实验室相关危废管理要求的相符性分析</w:t>
            </w:r>
          </w:p>
          <w:tbl>
            <w:tblPr>
              <w:tblStyle w:val="21"/>
              <w:tblW w:w="4996"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937"/>
              <w:gridCol w:w="2982"/>
              <w:gridCol w:w="581"/>
            </w:tblGrid>
            <w:tr w14:paraId="3DBC85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2" w:hRule="atLeast"/>
                <w:jc w:val="center"/>
              </w:trPr>
              <w:tc>
                <w:tcPr>
                  <w:tcW w:w="2624" w:type="pct"/>
                  <w:tcBorders>
                    <w:left w:val="nil"/>
                  </w:tcBorders>
                  <w:vAlign w:val="center"/>
                </w:tcPr>
                <w:p w14:paraId="12DA6249">
                  <w:pPr>
                    <w:widowControl/>
                    <w:jc w:val="center"/>
                    <w:textAlignment w:val="center"/>
                    <w:rPr>
                      <w:b/>
                      <w:bCs/>
                      <w:color w:val="auto"/>
                      <w:sz w:val="18"/>
                      <w:szCs w:val="18"/>
                    </w:rPr>
                  </w:pPr>
                  <w:r>
                    <w:rPr>
                      <w:b/>
                      <w:bCs/>
                      <w:color w:val="auto"/>
                      <w:kern w:val="0"/>
                      <w:sz w:val="18"/>
                      <w:szCs w:val="18"/>
                      <w:lang w:bidi="ar"/>
                    </w:rPr>
                    <w:t>管理要求</w:t>
                  </w:r>
                </w:p>
              </w:tc>
              <w:tc>
                <w:tcPr>
                  <w:tcW w:w="1988" w:type="pct"/>
                  <w:vAlign w:val="center"/>
                </w:tcPr>
                <w:p w14:paraId="5EF94FC0">
                  <w:pPr>
                    <w:widowControl/>
                    <w:jc w:val="center"/>
                    <w:textAlignment w:val="center"/>
                    <w:rPr>
                      <w:b/>
                      <w:bCs/>
                      <w:color w:val="auto"/>
                      <w:sz w:val="18"/>
                      <w:szCs w:val="18"/>
                    </w:rPr>
                  </w:pPr>
                  <w:r>
                    <w:rPr>
                      <w:b/>
                      <w:bCs/>
                      <w:color w:val="auto"/>
                      <w:kern w:val="0"/>
                      <w:sz w:val="18"/>
                      <w:szCs w:val="18"/>
                      <w:lang w:bidi="ar"/>
                    </w:rPr>
                    <w:t>本项目</w:t>
                  </w:r>
                </w:p>
              </w:tc>
              <w:tc>
                <w:tcPr>
                  <w:tcW w:w="387" w:type="pct"/>
                  <w:tcBorders>
                    <w:right w:val="nil"/>
                  </w:tcBorders>
                  <w:vAlign w:val="center"/>
                </w:tcPr>
                <w:p w14:paraId="1D7572A9">
                  <w:pPr>
                    <w:widowControl/>
                    <w:jc w:val="center"/>
                    <w:textAlignment w:val="center"/>
                    <w:rPr>
                      <w:b/>
                      <w:bCs/>
                      <w:color w:val="auto"/>
                      <w:sz w:val="18"/>
                      <w:szCs w:val="18"/>
                    </w:rPr>
                  </w:pPr>
                  <w:r>
                    <w:rPr>
                      <w:b/>
                      <w:bCs/>
                      <w:color w:val="auto"/>
                      <w:kern w:val="0"/>
                      <w:sz w:val="18"/>
                      <w:szCs w:val="18"/>
                      <w:lang w:bidi="ar"/>
                    </w:rPr>
                    <w:t>相符性</w:t>
                  </w:r>
                </w:p>
              </w:tc>
            </w:tr>
            <w:tr w14:paraId="3C08E75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3"/>
                  <w:tcBorders>
                    <w:left w:val="nil"/>
                    <w:right w:val="nil"/>
                  </w:tcBorders>
                  <w:vAlign w:val="center"/>
                </w:tcPr>
                <w:p w14:paraId="044DE9A4">
                  <w:pPr>
                    <w:jc w:val="center"/>
                    <w:rPr>
                      <w:color w:val="auto"/>
                      <w:sz w:val="18"/>
                      <w:szCs w:val="18"/>
                    </w:rPr>
                  </w:pPr>
                  <w:r>
                    <w:rPr>
                      <w:b/>
                      <w:bCs/>
                      <w:color w:val="auto"/>
                      <w:kern w:val="0"/>
                      <w:sz w:val="18"/>
                      <w:szCs w:val="18"/>
                      <w:lang w:bidi="ar"/>
                    </w:rPr>
                    <w:t>《关于进一步加强实验室危险废物管理工作的通知》</w:t>
                  </w:r>
                  <w:r>
                    <w:rPr>
                      <w:rFonts w:hint="eastAsia"/>
                      <w:b/>
                      <w:bCs/>
                      <w:color w:val="auto"/>
                      <w:kern w:val="0"/>
                      <w:sz w:val="18"/>
                      <w:szCs w:val="18"/>
                      <w:lang w:bidi="ar"/>
                    </w:rPr>
                    <w:t>（</w:t>
                  </w:r>
                  <w:r>
                    <w:rPr>
                      <w:b/>
                      <w:bCs/>
                      <w:color w:val="auto"/>
                      <w:kern w:val="0"/>
                      <w:sz w:val="18"/>
                      <w:szCs w:val="18"/>
                      <w:lang w:bidi="ar"/>
                    </w:rPr>
                    <w:t>苏环办〔2020〕284号</w:t>
                  </w:r>
                  <w:r>
                    <w:rPr>
                      <w:rFonts w:hint="eastAsia"/>
                      <w:b/>
                      <w:bCs/>
                      <w:color w:val="auto"/>
                      <w:kern w:val="0"/>
                      <w:sz w:val="18"/>
                      <w:szCs w:val="18"/>
                      <w:lang w:bidi="ar"/>
                    </w:rPr>
                    <w:t>）</w:t>
                  </w:r>
                  <w:r>
                    <w:rPr>
                      <w:color w:val="auto"/>
                      <w:kern w:val="0"/>
                      <w:sz w:val="18"/>
                      <w:szCs w:val="18"/>
                      <w:lang w:bidi="ar"/>
                    </w:rPr>
                    <w:t>​</w:t>
                  </w:r>
                </w:p>
              </w:tc>
            </w:tr>
            <w:tr w14:paraId="71C1A7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2624" w:type="pct"/>
                  <w:tcBorders>
                    <w:left w:val="nil"/>
                  </w:tcBorders>
                  <w:vAlign w:val="center"/>
                </w:tcPr>
                <w:p w14:paraId="3C9F8EE8">
                  <w:pPr>
                    <w:widowControl/>
                    <w:jc w:val="center"/>
                    <w:textAlignment w:val="center"/>
                    <w:rPr>
                      <w:color w:val="auto"/>
                      <w:sz w:val="18"/>
                      <w:szCs w:val="18"/>
                    </w:rPr>
                  </w:pPr>
                  <w:r>
                    <w:rPr>
                      <w:color w:val="auto"/>
                      <w:kern w:val="0"/>
                      <w:sz w:val="18"/>
                      <w:szCs w:val="18"/>
                      <w:lang w:bidi="ar"/>
                    </w:rPr>
                    <w:t>各产废单位应加强实验室危险废物基础信息管理</w:t>
                  </w:r>
                  <w:r>
                    <w:rPr>
                      <w:rFonts w:hint="eastAsia"/>
                      <w:color w:val="auto"/>
                      <w:kern w:val="0"/>
                      <w:sz w:val="18"/>
                      <w:szCs w:val="18"/>
                      <w:lang w:bidi="ar"/>
                    </w:rPr>
                    <w:t>，</w:t>
                  </w:r>
                  <w:r>
                    <w:rPr>
                      <w:color w:val="auto"/>
                      <w:kern w:val="0"/>
                      <w:sz w:val="18"/>
                      <w:szCs w:val="18"/>
                      <w:lang w:bidi="ar"/>
                    </w:rPr>
                    <w:t>根据相关法律法规并对照环评审批文件，结合教学科研实际，理清产废环节，摸清危险废物产生种类、数量、危险特性、包装方式、贮存设施以及委托处置等情况，并登录省危险废物动态管理信息系统填报相关信息。</w:t>
                  </w:r>
                </w:p>
              </w:tc>
              <w:tc>
                <w:tcPr>
                  <w:tcW w:w="1988" w:type="pct"/>
                  <w:vAlign w:val="center"/>
                </w:tcPr>
                <w:p w14:paraId="503A2AC1">
                  <w:pPr>
                    <w:widowControl/>
                    <w:jc w:val="center"/>
                    <w:textAlignment w:val="center"/>
                    <w:rPr>
                      <w:color w:val="auto"/>
                      <w:sz w:val="18"/>
                      <w:szCs w:val="18"/>
                    </w:rPr>
                  </w:pPr>
                  <w:r>
                    <w:rPr>
                      <w:color w:val="auto"/>
                      <w:kern w:val="0"/>
                      <w:sz w:val="18"/>
                      <w:szCs w:val="18"/>
                      <w:lang w:bidi="ar"/>
                    </w:rPr>
                    <w:t>报告已根据相关法律法规并结合实际对项目产废环节、危险废物产生数量、危险特性、包装方式、贮存设施以及委托处置等情况进行分析。后期运营过</w:t>
                  </w:r>
                  <w:r>
                    <w:rPr>
                      <w:rFonts w:hint="eastAsia"/>
                      <w:color w:val="auto"/>
                      <w:kern w:val="0"/>
                      <w:sz w:val="18"/>
                      <w:szCs w:val="18"/>
                      <w:lang w:bidi="ar"/>
                    </w:rPr>
                    <w:t>程中</w:t>
                  </w:r>
                  <w:r>
                    <w:rPr>
                      <w:color w:val="auto"/>
                      <w:kern w:val="0"/>
                      <w:sz w:val="18"/>
                      <w:szCs w:val="18"/>
                      <w:lang w:bidi="ar"/>
                    </w:rPr>
                    <w:t>将登录省危险废物动态管理信息系统填报相关信息。</w:t>
                  </w:r>
                </w:p>
              </w:tc>
              <w:tc>
                <w:tcPr>
                  <w:tcW w:w="387" w:type="pct"/>
                  <w:tcBorders>
                    <w:right w:val="nil"/>
                  </w:tcBorders>
                  <w:vAlign w:val="center"/>
                </w:tcPr>
                <w:p w14:paraId="62870B19">
                  <w:pPr>
                    <w:widowControl/>
                    <w:jc w:val="center"/>
                    <w:textAlignment w:val="center"/>
                    <w:rPr>
                      <w:color w:val="auto"/>
                      <w:sz w:val="18"/>
                      <w:szCs w:val="18"/>
                    </w:rPr>
                  </w:pPr>
                  <w:r>
                    <w:rPr>
                      <w:color w:val="auto"/>
                      <w:kern w:val="0"/>
                      <w:sz w:val="18"/>
                      <w:szCs w:val="18"/>
                      <w:lang w:bidi="ar"/>
                    </w:rPr>
                    <w:t>符合</w:t>
                  </w:r>
                </w:p>
              </w:tc>
            </w:tr>
            <w:tr w14:paraId="49A82B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3"/>
                  <w:tcBorders>
                    <w:left w:val="nil"/>
                    <w:right w:val="nil"/>
                  </w:tcBorders>
                  <w:vAlign w:val="center"/>
                </w:tcPr>
                <w:p w14:paraId="2D524EDC">
                  <w:pPr>
                    <w:widowControl/>
                    <w:jc w:val="center"/>
                    <w:textAlignment w:val="center"/>
                    <w:rPr>
                      <w:color w:val="auto"/>
                      <w:kern w:val="0"/>
                      <w:sz w:val="18"/>
                      <w:szCs w:val="18"/>
                      <w:lang w:bidi="ar"/>
                    </w:rPr>
                  </w:pPr>
                  <w:r>
                    <w:rPr>
                      <w:b/>
                      <w:bCs/>
                      <w:color w:val="auto"/>
                      <w:kern w:val="0"/>
                      <w:sz w:val="18"/>
                      <w:szCs w:val="18"/>
                      <w:lang w:bidi="ar"/>
                    </w:rPr>
                    <w:t>《实验室废弃化学品收集技术规范》（GB/T 31190-2014）、《危险废物贮存污染控制标准》（GB 18597-2023）</w:t>
                  </w:r>
                </w:p>
              </w:tc>
            </w:tr>
            <w:tr w14:paraId="430546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2624" w:type="pct"/>
                  <w:tcBorders>
                    <w:left w:val="nil"/>
                  </w:tcBorders>
                  <w:vAlign w:val="center"/>
                </w:tcPr>
                <w:p w14:paraId="53AB2E45">
                  <w:pPr>
                    <w:widowControl/>
                    <w:jc w:val="center"/>
                    <w:textAlignment w:val="center"/>
                    <w:rPr>
                      <w:color w:val="auto"/>
                      <w:kern w:val="0"/>
                      <w:sz w:val="18"/>
                      <w:szCs w:val="18"/>
                      <w:lang w:bidi="ar"/>
                    </w:rPr>
                  </w:pPr>
                  <w:r>
                    <w:rPr>
                      <w:color w:val="auto"/>
                      <w:kern w:val="0"/>
                      <w:sz w:val="18"/>
                      <w:szCs w:val="18"/>
                      <w:lang w:bidi="ar"/>
                    </w:rPr>
                    <w:t>1.各产废单位要按照《实验室废弃化学品收集技术规范》</w:t>
                  </w:r>
                  <w:r>
                    <w:rPr>
                      <w:rFonts w:hint="eastAsia"/>
                      <w:color w:val="auto"/>
                      <w:kern w:val="0"/>
                      <w:sz w:val="18"/>
                      <w:szCs w:val="18"/>
                      <w:lang w:eastAsia="zh-CN" w:bidi="ar"/>
                    </w:rPr>
                    <w:t>（</w:t>
                  </w:r>
                  <w:r>
                    <w:rPr>
                      <w:color w:val="auto"/>
                      <w:kern w:val="0"/>
                      <w:sz w:val="18"/>
                      <w:szCs w:val="18"/>
                      <w:lang w:bidi="ar"/>
                    </w:rPr>
                    <w:t>GB/T 31190-2014</w:t>
                  </w:r>
                  <w:r>
                    <w:rPr>
                      <w:rFonts w:hint="eastAsia"/>
                      <w:color w:val="auto"/>
                      <w:kern w:val="0"/>
                      <w:sz w:val="18"/>
                      <w:szCs w:val="18"/>
                      <w:lang w:eastAsia="zh-CN" w:bidi="ar"/>
                    </w:rPr>
                    <w:t>）</w:t>
                  </w:r>
                  <w:r>
                    <w:rPr>
                      <w:color w:val="auto"/>
                      <w:kern w:val="0"/>
                      <w:sz w:val="18"/>
                      <w:szCs w:val="18"/>
                      <w:lang w:bidi="ar"/>
                    </w:rPr>
                    <w:t>、《危险废物贮存污染控制标准》</w:t>
                  </w:r>
                  <w:r>
                    <w:rPr>
                      <w:rFonts w:hint="eastAsia"/>
                      <w:color w:val="auto"/>
                      <w:kern w:val="0"/>
                      <w:sz w:val="18"/>
                      <w:szCs w:val="18"/>
                      <w:lang w:eastAsia="zh-CN" w:bidi="ar"/>
                    </w:rPr>
                    <w:t>（</w:t>
                  </w:r>
                  <w:r>
                    <w:rPr>
                      <w:color w:val="auto"/>
                      <w:kern w:val="0"/>
                      <w:sz w:val="18"/>
                      <w:szCs w:val="18"/>
                      <w:lang w:bidi="ar"/>
                    </w:rPr>
                    <w:t>GB 18597-2023</w:t>
                  </w:r>
                  <w:r>
                    <w:rPr>
                      <w:rFonts w:hint="eastAsia"/>
                      <w:color w:val="auto"/>
                      <w:kern w:val="0"/>
                      <w:sz w:val="18"/>
                      <w:szCs w:val="18"/>
                      <w:lang w:eastAsia="zh-CN" w:bidi="ar"/>
                    </w:rPr>
                    <w:t>）</w:t>
                  </w:r>
                  <w:r>
                    <w:rPr>
                      <w:color w:val="auto"/>
                      <w:kern w:val="0"/>
                      <w:sz w:val="18"/>
                      <w:szCs w:val="18"/>
                      <w:lang w:bidi="ar"/>
                    </w:rPr>
                    <w:t>等国家有关要求做好源头分类工作，建设规范且满足防渗漏需求的贮存设施。</w:t>
                  </w:r>
                </w:p>
                <w:p w14:paraId="691AE5DB">
                  <w:pPr>
                    <w:widowControl/>
                    <w:jc w:val="center"/>
                    <w:textAlignment w:val="center"/>
                    <w:rPr>
                      <w:color w:val="auto"/>
                      <w:sz w:val="18"/>
                      <w:szCs w:val="18"/>
                    </w:rPr>
                  </w:pPr>
                  <w:r>
                    <w:rPr>
                      <w:color w:val="auto"/>
                      <w:kern w:val="0"/>
                      <w:sz w:val="18"/>
                      <w:szCs w:val="18"/>
                      <w:lang w:bidi="ar"/>
                    </w:rPr>
                    <w:t>2.要建立分类收集管理制度，制定相应的台账流程、分类判定方法、包装标签要求以及相应的台账记录体系，健全实验室危险废物收集体系，落实规范化收集工作要求，确保合法合规运输处置。</w:t>
                  </w:r>
                </w:p>
                <w:p w14:paraId="47F0E5C3">
                  <w:pPr>
                    <w:widowControl/>
                    <w:jc w:val="center"/>
                    <w:textAlignment w:val="center"/>
                    <w:rPr>
                      <w:color w:val="auto"/>
                      <w:sz w:val="18"/>
                      <w:szCs w:val="18"/>
                    </w:rPr>
                  </w:pPr>
                  <w:r>
                    <w:rPr>
                      <w:color w:val="auto"/>
                      <w:kern w:val="0"/>
                      <w:sz w:val="18"/>
                      <w:szCs w:val="18"/>
                      <w:lang w:bidi="ar"/>
                    </w:rPr>
                    <w:t>3.要保留与产废单位间有关危险废物转移记录凭据，如实际属地生态环境部门申报经营记录情况。</w:t>
                  </w:r>
                </w:p>
              </w:tc>
              <w:tc>
                <w:tcPr>
                  <w:tcW w:w="1988" w:type="pct"/>
                  <w:vAlign w:val="center"/>
                </w:tcPr>
                <w:p w14:paraId="7FAB568F">
                  <w:pPr>
                    <w:widowControl/>
                    <w:jc w:val="center"/>
                    <w:textAlignment w:val="center"/>
                    <w:rPr>
                      <w:color w:val="auto"/>
                      <w:kern w:val="0"/>
                      <w:sz w:val="18"/>
                      <w:szCs w:val="18"/>
                      <w:lang w:bidi="ar"/>
                    </w:rPr>
                  </w:pPr>
                  <w:r>
                    <w:rPr>
                      <w:color w:val="auto"/>
                      <w:kern w:val="0"/>
                      <w:sz w:val="18"/>
                      <w:szCs w:val="18"/>
                      <w:lang w:bidi="ar"/>
                    </w:rPr>
                    <w:t>1.</w:t>
                  </w:r>
                  <w:r>
                    <w:rPr>
                      <w:rFonts w:hint="eastAsia"/>
                      <w:color w:val="auto"/>
                      <w:kern w:val="0"/>
                      <w:sz w:val="18"/>
                      <w:szCs w:val="18"/>
                      <w:lang w:bidi="ar"/>
                    </w:rPr>
                    <w:t>企业</w:t>
                  </w:r>
                  <w:r>
                    <w:rPr>
                      <w:color w:val="auto"/>
                      <w:kern w:val="0"/>
                      <w:sz w:val="18"/>
                      <w:szCs w:val="18"/>
                      <w:lang w:bidi="ar"/>
                    </w:rPr>
                    <w:t>按要求做好源头分类工作，</w:t>
                  </w:r>
                  <w:r>
                    <w:rPr>
                      <w:rFonts w:hint="eastAsia"/>
                      <w:color w:val="auto"/>
                      <w:kern w:val="0"/>
                      <w:sz w:val="18"/>
                      <w:szCs w:val="18"/>
                      <w:lang w:bidi="ar"/>
                    </w:rPr>
                    <w:t>已</w:t>
                  </w:r>
                  <w:r>
                    <w:rPr>
                      <w:color w:val="auto"/>
                      <w:kern w:val="0"/>
                      <w:sz w:val="18"/>
                      <w:szCs w:val="18"/>
                      <w:lang w:bidi="ar"/>
                    </w:rPr>
                    <w:t>建设满足防渗需求的</w:t>
                  </w:r>
                  <w:r>
                    <w:rPr>
                      <w:rFonts w:hint="eastAsia"/>
                      <w:color w:val="auto"/>
                      <w:kern w:val="0"/>
                      <w:sz w:val="18"/>
                      <w:szCs w:val="18"/>
                      <w:lang w:bidi="ar"/>
                    </w:rPr>
                    <w:t>危废库可供依托</w:t>
                  </w:r>
                  <w:r>
                    <w:rPr>
                      <w:color w:val="auto"/>
                      <w:kern w:val="0"/>
                      <w:sz w:val="18"/>
                      <w:szCs w:val="18"/>
                      <w:lang w:bidi="ar"/>
                    </w:rPr>
                    <w:t>。</w:t>
                  </w:r>
                </w:p>
                <w:p w14:paraId="6B249B4A">
                  <w:pPr>
                    <w:widowControl/>
                    <w:jc w:val="center"/>
                    <w:textAlignment w:val="center"/>
                    <w:rPr>
                      <w:color w:val="auto"/>
                      <w:sz w:val="18"/>
                      <w:szCs w:val="18"/>
                    </w:rPr>
                  </w:pPr>
                  <w:r>
                    <w:rPr>
                      <w:color w:val="auto"/>
                      <w:kern w:val="0"/>
                      <w:sz w:val="18"/>
                      <w:szCs w:val="18"/>
                      <w:lang w:bidi="ar"/>
                    </w:rPr>
                    <w:t>2.</w:t>
                  </w:r>
                  <w:r>
                    <w:rPr>
                      <w:rFonts w:hint="eastAsia"/>
                      <w:color w:val="auto"/>
                      <w:kern w:val="0"/>
                      <w:sz w:val="18"/>
                      <w:szCs w:val="18"/>
                      <w:lang w:bidi="ar"/>
                    </w:rPr>
                    <w:t>企业</w:t>
                  </w:r>
                  <w:r>
                    <w:rPr>
                      <w:color w:val="auto"/>
                      <w:kern w:val="0"/>
                      <w:sz w:val="18"/>
                      <w:szCs w:val="18"/>
                      <w:lang w:bidi="ar"/>
                    </w:rPr>
                    <w:t>按要求建立分类收集管理制度，制定相应的台账流程、分类判定方法、包装标签要求以及相应的台账记录体系，健全危险废物收集体系，落实规范化收集工作要求，确保合法合规运输处置。</w:t>
                  </w:r>
                </w:p>
                <w:p w14:paraId="76666316">
                  <w:pPr>
                    <w:widowControl/>
                    <w:jc w:val="center"/>
                    <w:textAlignment w:val="center"/>
                    <w:rPr>
                      <w:color w:val="auto"/>
                      <w:sz w:val="18"/>
                      <w:szCs w:val="18"/>
                    </w:rPr>
                  </w:pPr>
                  <w:r>
                    <w:rPr>
                      <w:color w:val="auto"/>
                      <w:kern w:val="0"/>
                      <w:sz w:val="18"/>
                      <w:szCs w:val="18"/>
                      <w:lang w:bidi="ar"/>
                    </w:rPr>
                    <w:t>3.</w:t>
                  </w:r>
                  <w:r>
                    <w:rPr>
                      <w:rFonts w:hint="eastAsia"/>
                      <w:color w:val="auto"/>
                      <w:kern w:val="0"/>
                      <w:sz w:val="18"/>
                      <w:szCs w:val="18"/>
                      <w:lang w:bidi="ar"/>
                    </w:rPr>
                    <w:t>企业</w:t>
                  </w:r>
                  <w:r>
                    <w:rPr>
                      <w:color w:val="auto"/>
                      <w:kern w:val="0"/>
                      <w:sz w:val="18"/>
                      <w:szCs w:val="18"/>
                      <w:lang w:bidi="ar"/>
                    </w:rPr>
                    <w:t>保留产废记录凭据，如实向属地生态环境部门申报经营记录情况。</w:t>
                  </w:r>
                </w:p>
              </w:tc>
              <w:tc>
                <w:tcPr>
                  <w:tcW w:w="387" w:type="pct"/>
                  <w:tcBorders>
                    <w:right w:val="nil"/>
                  </w:tcBorders>
                  <w:vAlign w:val="center"/>
                </w:tcPr>
                <w:p w14:paraId="50F430E9">
                  <w:pPr>
                    <w:widowControl/>
                    <w:jc w:val="center"/>
                    <w:textAlignment w:val="center"/>
                    <w:rPr>
                      <w:color w:val="auto"/>
                      <w:sz w:val="18"/>
                      <w:szCs w:val="18"/>
                    </w:rPr>
                  </w:pPr>
                  <w:r>
                    <w:rPr>
                      <w:color w:val="auto"/>
                      <w:kern w:val="0"/>
                      <w:sz w:val="18"/>
                      <w:szCs w:val="18"/>
                      <w:lang w:bidi="ar"/>
                    </w:rPr>
                    <w:t>符合</w:t>
                  </w:r>
                </w:p>
              </w:tc>
            </w:tr>
            <w:tr w14:paraId="5394EB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3"/>
                  <w:tcBorders>
                    <w:left w:val="nil"/>
                    <w:right w:val="nil"/>
                  </w:tcBorders>
                  <w:vAlign w:val="center"/>
                </w:tcPr>
                <w:p w14:paraId="609F1FD4">
                  <w:pPr>
                    <w:jc w:val="center"/>
                    <w:rPr>
                      <w:color w:val="auto"/>
                      <w:sz w:val="18"/>
                      <w:szCs w:val="18"/>
                    </w:rPr>
                  </w:pPr>
                  <w:r>
                    <w:rPr>
                      <w:b/>
                      <w:bCs/>
                      <w:color w:val="auto"/>
                      <w:kern w:val="0"/>
                      <w:sz w:val="18"/>
                      <w:szCs w:val="18"/>
                      <w:lang w:bidi="ar"/>
                    </w:rPr>
                    <w:t>《江苏省实验室危险废物环境管理指南》</w:t>
                  </w:r>
                  <w:r>
                    <w:rPr>
                      <w:color w:val="auto"/>
                      <w:kern w:val="0"/>
                      <w:sz w:val="18"/>
                      <w:szCs w:val="18"/>
                      <w:lang w:bidi="ar"/>
                    </w:rPr>
                    <w:t>​</w:t>
                  </w:r>
                </w:p>
              </w:tc>
            </w:tr>
            <w:tr w14:paraId="29628B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77" w:hRule="atLeast"/>
                <w:jc w:val="center"/>
              </w:trPr>
              <w:tc>
                <w:tcPr>
                  <w:tcW w:w="2624" w:type="pct"/>
                  <w:tcBorders>
                    <w:left w:val="nil"/>
                  </w:tcBorders>
                  <w:vAlign w:val="center"/>
                </w:tcPr>
                <w:p w14:paraId="131F0F6C">
                  <w:pPr>
                    <w:widowControl/>
                    <w:jc w:val="center"/>
                    <w:textAlignment w:val="center"/>
                    <w:rPr>
                      <w:b/>
                      <w:bCs/>
                      <w:color w:val="auto"/>
                      <w:kern w:val="0"/>
                      <w:sz w:val="18"/>
                      <w:szCs w:val="18"/>
                      <w:lang w:bidi="ar"/>
                    </w:rPr>
                  </w:pPr>
                  <w:r>
                    <w:rPr>
                      <w:b/>
                      <w:bCs/>
                      <w:color w:val="auto"/>
                      <w:kern w:val="0"/>
                      <w:sz w:val="18"/>
                      <w:szCs w:val="18"/>
                      <w:lang w:bidi="ar"/>
                    </w:rPr>
                    <w:t>一、包装管理</w:t>
                  </w:r>
                  <w:r>
                    <w:rPr>
                      <w:color w:val="auto"/>
                      <w:kern w:val="0"/>
                      <w:sz w:val="18"/>
                      <w:szCs w:val="18"/>
                      <w:lang w:bidi="ar"/>
                    </w:rPr>
                    <w:t>：</w:t>
                  </w:r>
                </w:p>
                <w:p w14:paraId="299F569C">
                  <w:pPr>
                    <w:widowControl/>
                    <w:jc w:val="center"/>
                    <w:textAlignment w:val="center"/>
                    <w:rPr>
                      <w:color w:val="auto"/>
                      <w:sz w:val="18"/>
                      <w:szCs w:val="18"/>
                    </w:rPr>
                  </w:pPr>
                  <w:r>
                    <w:rPr>
                      <w:color w:val="auto"/>
                      <w:kern w:val="0"/>
                      <w:sz w:val="18"/>
                      <w:szCs w:val="18"/>
                      <w:lang w:bidi="ar"/>
                    </w:rPr>
                    <w:t>(一)用于盛放实验室危险废物的容器和包装物应满足《危险废物贮存污染控制标准》</w:t>
                  </w:r>
                  <w:r>
                    <w:rPr>
                      <w:rFonts w:hint="eastAsia"/>
                      <w:color w:val="auto"/>
                      <w:kern w:val="0"/>
                      <w:sz w:val="18"/>
                      <w:szCs w:val="18"/>
                      <w:lang w:eastAsia="zh-CN" w:bidi="ar"/>
                    </w:rPr>
                    <w:t>（</w:t>
                  </w:r>
                  <w:r>
                    <w:rPr>
                      <w:color w:val="auto"/>
                      <w:kern w:val="0"/>
                      <w:sz w:val="18"/>
                      <w:szCs w:val="18"/>
                      <w:lang w:bidi="ar"/>
                    </w:rPr>
                    <w:t>GB18597-2023</w:t>
                  </w:r>
                  <w:r>
                    <w:rPr>
                      <w:rFonts w:hint="eastAsia"/>
                      <w:color w:val="auto"/>
                      <w:kern w:val="0"/>
                      <w:sz w:val="18"/>
                      <w:szCs w:val="18"/>
                      <w:lang w:eastAsia="zh-CN" w:bidi="ar"/>
                    </w:rPr>
                    <w:t>）</w:t>
                  </w:r>
                  <w:r>
                    <w:rPr>
                      <w:color w:val="auto"/>
                      <w:kern w:val="0"/>
                      <w:sz w:val="18"/>
                      <w:szCs w:val="18"/>
                      <w:lang w:bidi="ar"/>
                    </w:rPr>
                    <w:t>要求。</w:t>
                  </w:r>
                </w:p>
                <w:p w14:paraId="60CA773C">
                  <w:pPr>
                    <w:widowControl/>
                    <w:jc w:val="center"/>
                    <w:textAlignment w:val="center"/>
                    <w:rPr>
                      <w:color w:val="auto"/>
                      <w:sz w:val="18"/>
                      <w:szCs w:val="18"/>
                    </w:rPr>
                  </w:pPr>
                  <w:r>
                    <w:rPr>
                      <w:color w:val="auto"/>
                      <w:kern w:val="0"/>
                      <w:sz w:val="18"/>
                      <w:szCs w:val="18"/>
                      <w:lang w:bidi="ar"/>
                    </w:rPr>
                    <w:t>(二)废弃危险化学品应满足危险化学品包装要求。</w:t>
                  </w:r>
                </w:p>
                <w:p w14:paraId="524D2D76">
                  <w:pPr>
                    <w:widowControl/>
                    <w:jc w:val="center"/>
                    <w:textAlignment w:val="center"/>
                    <w:rPr>
                      <w:color w:val="auto"/>
                      <w:sz w:val="18"/>
                      <w:szCs w:val="18"/>
                    </w:rPr>
                  </w:pPr>
                  <w:r>
                    <w:rPr>
                      <w:color w:val="auto"/>
                      <w:kern w:val="0"/>
                      <w:sz w:val="18"/>
                      <w:szCs w:val="18"/>
                      <w:lang w:bidi="ar"/>
                    </w:rPr>
                    <w:t>(三)具有反应性的危险废物应经预处理</w:t>
                  </w:r>
                  <w:r>
                    <w:rPr>
                      <w:rFonts w:hint="eastAsia"/>
                      <w:color w:val="auto"/>
                      <w:kern w:val="0"/>
                      <w:sz w:val="18"/>
                      <w:szCs w:val="18"/>
                      <w:lang w:bidi="ar"/>
                    </w:rPr>
                    <w:t>，</w:t>
                  </w:r>
                  <w:r>
                    <w:rPr>
                      <w:color w:val="auto"/>
                      <w:kern w:val="0"/>
                      <w:sz w:val="18"/>
                      <w:szCs w:val="18"/>
                      <w:lang w:bidi="ar"/>
                    </w:rPr>
                    <w:t>消除反应性后方可投入容器或包装物内。不相容的危险废物不得投入同一容器或包装物内。</w:t>
                  </w:r>
                </w:p>
                <w:p w14:paraId="75D5DA96">
                  <w:pPr>
                    <w:widowControl/>
                    <w:jc w:val="center"/>
                    <w:textAlignment w:val="center"/>
                    <w:rPr>
                      <w:color w:val="auto"/>
                      <w:sz w:val="18"/>
                      <w:szCs w:val="18"/>
                    </w:rPr>
                  </w:pPr>
                  <w:r>
                    <w:rPr>
                      <w:color w:val="auto"/>
                      <w:kern w:val="0"/>
                      <w:sz w:val="18"/>
                      <w:szCs w:val="18"/>
                      <w:lang w:bidi="ar"/>
                    </w:rPr>
                    <w:t>(四)液态废物使用的塑料容器应符合《包装容器 危险品包装用塑料桶》</w:t>
                  </w:r>
                  <w:r>
                    <w:rPr>
                      <w:rFonts w:hint="eastAsia"/>
                      <w:color w:val="auto"/>
                      <w:kern w:val="0"/>
                      <w:sz w:val="18"/>
                      <w:szCs w:val="18"/>
                      <w:lang w:eastAsia="zh-CN" w:bidi="ar"/>
                    </w:rPr>
                    <w:t>（</w:t>
                  </w:r>
                  <w:r>
                    <w:rPr>
                      <w:color w:val="auto"/>
                      <w:kern w:val="0"/>
                      <w:sz w:val="18"/>
                      <w:szCs w:val="18"/>
                      <w:lang w:bidi="ar"/>
                    </w:rPr>
                    <w:t>GB18191-2008</w:t>
                  </w:r>
                  <w:r>
                    <w:rPr>
                      <w:rFonts w:hint="eastAsia"/>
                      <w:color w:val="auto"/>
                      <w:kern w:val="0"/>
                      <w:sz w:val="18"/>
                      <w:szCs w:val="18"/>
                      <w:lang w:eastAsia="zh-CN" w:bidi="ar"/>
                    </w:rPr>
                    <w:t>）</w:t>
                  </w:r>
                  <w:r>
                    <w:rPr>
                      <w:color w:val="auto"/>
                      <w:kern w:val="0"/>
                      <w:sz w:val="18"/>
                      <w:szCs w:val="18"/>
                      <w:lang w:bidi="ar"/>
                    </w:rPr>
                    <w:t>要求</w:t>
                  </w:r>
                  <w:r>
                    <w:rPr>
                      <w:rFonts w:hint="eastAsia"/>
                      <w:color w:val="auto"/>
                      <w:kern w:val="0"/>
                      <w:sz w:val="18"/>
                      <w:szCs w:val="18"/>
                      <w:lang w:bidi="ar"/>
                    </w:rPr>
                    <w:t>，</w:t>
                  </w:r>
                  <w:r>
                    <w:rPr>
                      <w:color w:val="auto"/>
                      <w:kern w:val="0"/>
                      <w:sz w:val="18"/>
                      <w:szCs w:val="18"/>
                      <w:lang w:bidi="ar"/>
                    </w:rPr>
                    <w:t>盛装不宜过满</w:t>
                  </w:r>
                  <w:r>
                    <w:rPr>
                      <w:rFonts w:hint="eastAsia"/>
                      <w:color w:val="auto"/>
                      <w:kern w:val="0"/>
                      <w:sz w:val="18"/>
                      <w:szCs w:val="18"/>
                      <w:lang w:bidi="ar"/>
                    </w:rPr>
                    <w:t>，</w:t>
                  </w:r>
                  <w:r>
                    <w:rPr>
                      <w:color w:val="auto"/>
                      <w:kern w:val="0"/>
                      <w:sz w:val="18"/>
                      <w:szCs w:val="18"/>
                      <w:lang w:bidi="ar"/>
                    </w:rPr>
                    <w:t>容器顶部与液面之间保留适当空间。</w:t>
                  </w:r>
                </w:p>
                <w:p w14:paraId="282F9AB7">
                  <w:pPr>
                    <w:widowControl/>
                    <w:jc w:val="center"/>
                    <w:textAlignment w:val="center"/>
                    <w:rPr>
                      <w:color w:val="auto"/>
                      <w:sz w:val="18"/>
                      <w:szCs w:val="18"/>
                    </w:rPr>
                  </w:pPr>
                  <w:r>
                    <w:rPr>
                      <w:color w:val="auto"/>
                      <w:kern w:val="0"/>
                      <w:sz w:val="18"/>
                      <w:szCs w:val="18"/>
                      <w:lang w:bidi="ar"/>
                    </w:rPr>
                    <w:t>(五)固态废物包装前应不含残留液体</w:t>
                  </w:r>
                  <w:r>
                    <w:rPr>
                      <w:rFonts w:hint="eastAsia"/>
                      <w:color w:val="auto"/>
                      <w:kern w:val="0"/>
                      <w:sz w:val="18"/>
                      <w:szCs w:val="18"/>
                      <w:lang w:bidi="ar"/>
                    </w:rPr>
                    <w:t>，</w:t>
                  </w:r>
                  <w:r>
                    <w:rPr>
                      <w:color w:val="auto"/>
                      <w:kern w:val="0"/>
                      <w:sz w:val="18"/>
                      <w:szCs w:val="18"/>
                      <w:lang w:bidi="ar"/>
                    </w:rPr>
                    <w:t>包装物应具有一定强度且可封闭。破碎玻璃器皿、针头等应存放于锐器盒内</w:t>
                  </w:r>
                  <w:r>
                    <w:rPr>
                      <w:rFonts w:hint="eastAsia"/>
                      <w:color w:val="auto"/>
                      <w:kern w:val="0"/>
                      <w:sz w:val="18"/>
                      <w:szCs w:val="18"/>
                      <w:lang w:bidi="ar"/>
                    </w:rPr>
                    <w:t>；</w:t>
                  </w:r>
                  <w:r>
                    <w:rPr>
                      <w:color w:val="auto"/>
                      <w:kern w:val="0"/>
                      <w:sz w:val="18"/>
                      <w:szCs w:val="18"/>
                      <w:lang w:bidi="ar"/>
                    </w:rPr>
                    <w:t>无法装入常用容器的固态废物可用防漏胶袋等存放。</w:t>
                  </w:r>
                </w:p>
                <w:p w14:paraId="454F1973">
                  <w:pPr>
                    <w:widowControl/>
                    <w:jc w:val="center"/>
                    <w:textAlignment w:val="center"/>
                    <w:rPr>
                      <w:color w:val="auto"/>
                      <w:sz w:val="18"/>
                      <w:szCs w:val="18"/>
                    </w:rPr>
                  </w:pPr>
                  <w:r>
                    <w:rPr>
                      <w:color w:val="auto"/>
                      <w:kern w:val="0"/>
                      <w:sz w:val="18"/>
                      <w:szCs w:val="18"/>
                      <w:lang w:bidi="ar"/>
                    </w:rPr>
                    <w:t>(六)废弃试剂瓶</w:t>
                  </w:r>
                  <w:r>
                    <w:rPr>
                      <w:rFonts w:hint="eastAsia"/>
                      <w:color w:val="auto"/>
                      <w:kern w:val="0"/>
                      <w:sz w:val="18"/>
                      <w:szCs w:val="18"/>
                      <w:lang w:eastAsia="zh-CN" w:bidi="ar"/>
                    </w:rPr>
                    <w:t>（</w:t>
                  </w:r>
                  <w:r>
                    <w:rPr>
                      <w:color w:val="auto"/>
                      <w:kern w:val="0"/>
                      <w:sz w:val="18"/>
                      <w:szCs w:val="18"/>
                      <w:lang w:bidi="ar"/>
                    </w:rPr>
                    <w:t>含空瓶</w:t>
                  </w:r>
                  <w:r>
                    <w:rPr>
                      <w:rFonts w:hint="eastAsia"/>
                      <w:color w:val="auto"/>
                      <w:kern w:val="0"/>
                      <w:sz w:val="18"/>
                      <w:szCs w:val="18"/>
                      <w:lang w:eastAsia="zh-CN" w:bidi="ar"/>
                    </w:rPr>
                    <w:t>）</w:t>
                  </w:r>
                  <w:r>
                    <w:rPr>
                      <w:color w:val="auto"/>
                      <w:kern w:val="0"/>
                      <w:sz w:val="18"/>
                      <w:szCs w:val="18"/>
                      <w:lang w:bidi="ar"/>
                    </w:rPr>
                    <w:t>应瓶口朝上码放于满足相应强度且可封闭的包装容器中</w:t>
                  </w:r>
                  <w:r>
                    <w:rPr>
                      <w:rFonts w:hint="eastAsia"/>
                      <w:color w:val="auto"/>
                      <w:kern w:val="0"/>
                      <w:sz w:val="18"/>
                      <w:szCs w:val="18"/>
                      <w:lang w:bidi="ar"/>
                    </w:rPr>
                    <w:t>，</w:t>
                  </w:r>
                  <w:r>
                    <w:rPr>
                      <w:color w:val="auto"/>
                      <w:kern w:val="0"/>
                      <w:sz w:val="18"/>
                      <w:szCs w:val="18"/>
                      <w:lang w:bidi="ar"/>
                    </w:rPr>
                    <w:t>确保稳固</w:t>
                  </w:r>
                  <w:r>
                    <w:rPr>
                      <w:rFonts w:hint="eastAsia"/>
                      <w:color w:val="auto"/>
                      <w:kern w:val="0"/>
                      <w:sz w:val="18"/>
                      <w:szCs w:val="18"/>
                      <w:lang w:bidi="ar"/>
                    </w:rPr>
                    <w:t>，</w:t>
                  </w:r>
                  <w:r>
                    <w:rPr>
                      <w:color w:val="auto"/>
                      <w:kern w:val="0"/>
                      <w:sz w:val="18"/>
                      <w:szCs w:val="18"/>
                      <w:lang w:bidi="ar"/>
                    </w:rPr>
                    <w:t>防止泄漏、磕碰</w:t>
                  </w:r>
                  <w:r>
                    <w:rPr>
                      <w:rFonts w:hint="eastAsia"/>
                      <w:color w:val="auto"/>
                      <w:kern w:val="0"/>
                      <w:sz w:val="18"/>
                      <w:szCs w:val="18"/>
                      <w:lang w:bidi="ar"/>
                    </w:rPr>
                    <w:t>，</w:t>
                  </w:r>
                  <w:r>
                    <w:rPr>
                      <w:color w:val="auto"/>
                      <w:kern w:val="0"/>
                      <w:sz w:val="18"/>
                      <w:szCs w:val="18"/>
                      <w:lang w:bidi="ar"/>
                    </w:rPr>
                    <w:t>并在容器外部标注朝上的方向标识。</w:t>
                  </w:r>
                </w:p>
              </w:tc>
              <w:tc>
                <w:tcPr>
                  <w:tcW w:w="1988" w:type="pct"/>
                  <w:vAlign w:val="center"/>
                </w:tcPr>
                <w:p w14:paraId="069028BF">
                  <w:pPr>
                    <w:widowControl/>
                    <w:jc w:val="center"/>
                    <w:textAlignment w:val="center"/>
                    <w:rPr>
                      <w:color w:val="auto"/>
                      <w:kern w:val="0"/>
                      <w:sz w:val="18"/>
                      <w:szCs w:val="18"/>
                      <w:lang w:bidi="ar"/>
                    </w:rPr>
                  </w:pPr>
                  <w:r>
                    <w:rPr>
                      <w:color w:val="auto"/>
                      <w:kern w:val="0"/>
                      <w:sz w:val="18"/>
                      <w:szCs w:val="18"/>
                      <w:lang w:bidi="ar"/>
                    </w:rPr>
                    <w:t>(一)本项目产生的实验室危险废物按照《危险废物贮存污染控制标准》</w:t>
                  </w:r>
                  <w:r>
                    <w:rPr>
                      <w:rFonts w:hint="eastAsia"/>
                      <w:color w:val="auto"/>
                      <w:kern w:val="0"/>
                      <w:sz w:val="18"/>
                      <w:szCs w:val="18"/>
                      <w:lang w:eastAsia="zh-CN" w:bidi="ar"/>
                    </w:rPr>
                    <w:t>（</w:t>
                  </w:r>
                  <w:r>
                    <w:rPr>
                      <w:color w:val="auto"/>
                      <w:kern w:val="0"/>
                      <w:sz w:val="18"/>
                      <w:szCs w:val="18"/>
                      <w:lang w:bidi="ar"/>
                    </w:rPr>
                    <w:t>GB18597-2023</w:t>
                  </w:r>
                  <w:r>
                    <w:rPr>
                      <w:rFonts w:hint="eastAsia"/>
                      <w:color w:val="auto"/>
                      <w:kern w:val="0"/>
                      <w:sz w:val="18"/>
                      <w:szCs w:val="18"/>
                      <w:lang w:eastAsia="zh-CN" w:bidi="ar"/>
                    </w:rPr>
                    <w:t>）</w:t>
                  </w:r>
                  <w:r>
                    <w:rPr>
                      <w:color w:val="auto"/>
                      <w:kern w:val="0"/>
                      <w:sz w:val="18"/>
                      <w:szCs w:val="18"/>
                      <w:lang w:bidi="ar"/>
                    </w:rPr>
                    <w:t>要求进行包装。</w:t>
                  </w:r>
                </w:p>
                <w:p w14:paraId="6377E44D">
                  <w:pPr>
                    <w:widowControl/>
                    <w:jc w:val="center"/>
                    <w:textAlignment w:val="center"/>
                    <w:rPr>
                      <w:color w:val="auto"/>
                      <w:sz w:val="18"/>
                      <w:szCs w:val="18"/>
                    </w:rPr>
                  </w:pPr>
                  <w:r>
                    <w:rPr>
                      <w:color w:val="auto"/>
                      <w:kern w:val="0"/>
                      <w:sz w:val="18"/>
                      <w:szCs w:val="18"/>
                      <w:lang w:bidi="ar"/>
                    </w:rPr>
                    <w:t>(二)废弃危险化学品满足危险化学品包装要求。</w:t>
                  </w:r>
                </w:p>
                <w:p w14:paraId="097E51AA">
                  <w:pPr>
                    <w:widowControl/>
                    <w:jc w:val="center"/>
                    <w:textAlignment w:val="center"/>
                    <w:rPr>
                      <w:color w:val="auto"/>
                      <w:sz w:val="18"/>
                      <w:szCs w:val="18"/>
                    </w:rPr>
                  </w:pPr>
                  <w:r>
                    <w:rPr>
                      <w:color w:val="auto"/>
                      <w:kern w:val="0"/>
                      <w:sz w:val="18"/>
                      <w:szCs w:val="18"/>
                      <w:lang w:bidi="ar"/>
                    </w:rPr>
                    <w:t>(三)本项目不相容的</w:t>
                  </w:r>
                  <w:r>
                    <w:rPr>
                      <w:rFonts w:hint="eastAsia"/>
                      <w:color w:val="auto"/>
                      <w:kern w:val="0"/>
                      <w:sz w:val="18"/>
                      <w:szCs w:val="18"/>
                      <w:lang w:bidi="ar"/>
                    </w:rPr>
                    <w:t>危废</w:t>
                  </w:r>
                  <w:r>
                    <w:rPr>
                      <w:color w:val="auto"/>
                      <w:kern w:val="0"/>
                      <w:sz w:val="18"/>
                      <w:szCs w:val="18"/>
                      <w:lang w:bidi="ar"/>
                    </w:rPr>
                    <w:t>分别</w:t>
                  </w:r>
                  <w:r>
                    <w:rPr>
                      <w:rFonts w:hint="eastAsia"/>
                      <w:color w:val="auto"/>
                      <w:kern w:val="0"/>
                      <w:sz w:val="18"/>
                      <w:szCs w:val="18"/>
                      <w:lang w:bidi="ar"/>
                    </w:rPr>
                    <w:t>在不同容器内</w:t>
                  </w:r>
                  <w:r>
                    <w:rPr>
                      <w:color w:val="auto"/>
                      <w:kern w:val="0"/>
                      <w:sz w:val="18"/>
                      <w:szCs w:val="18"/>
                      <w:lang w:bidi="ar"/>
                    </w:rPr>
                    <w:t>储存。</w:t>
                  </w:r>
                </w:p>
                <w:p w14:paraId="4E0FAB9E">
                  <w:pPr>
                    <w:widowControl/>
                    <w:jc w:val="center"/>
                    <w:textAlignment w:val="center"/>
                    <w:rPr>
                      <w:color w:val="auto"/>
                      <w:sz w:val="18"/>
                      <w:szCs w:val="18"/>
                    </w:rPr>
                  </w:pPr>
                  <w:r>
                    <w:rPr>
                      <w:color w:val="auto"/>
                      <w:kern w:val="0"/>
                      <w:sz w:val="18"/>
                      <w:szCs w:val="18"/>
                      <w:lang w:bidi="ar"/>
                    </w:rPr>
                    <w:t>(四)液体危险废物的包装符合《包装容器 危险品包装用塑料桶》</w:t>
                  </w:r>
                  <w:r>
                    <w:rPr>
                      <w:rFonts w:hint="eastAsia"/>
                      <w:color w:val="auto"/>
                      <w:kern w:val="0"/>
                      <w:sz w:val="18"/>
                      <w:szCs w:val="18"/>
                      <w:lang w:eastAsia="zh-CN" w:bidi="ar"/>
                    </w:rPr>
                    <w:t>（</w:t>
                  </w:r>
                  <w:r>
                    <w:rPr>
                      <w:color w:val="auto"/>
                      <w:kern w:val="0"/>
                      <w:sz w:val="18"/>
                      <w:szCs w:val="18"/>
                      <w:lang w:bidi="ar"/>
                    </w:rPr>
                    <w:t>GB18191-2008</w:t>
                  </w:r>
                  <w:r>
                    <w:rPr>
                      <w:rFonts w:hint="eastAsia"/>
                      <w:color w:val="auto"/>
                      <w:kern w:val="0"/>
                      <w:sz w:val="18"/>
                      <w:szCs w:val="18"/>
                      <w:lang w:eastAsia="zh-CN" w:bidi="ar"/>
                    </w:rPr>
                    <w:t>）</w:t>
                  </w:r>
                  <w:r>
                    <w:rPr>
                      <w:color w:val="auto"/>
                      <w:kern w:val="0"/>
                      <w:sz w:val="18"/>
                      <w:szCs w:val="18"/>
                      <w:lang w:bidi="ar"/>
                    </w:rPr>
                    <w:t>要求。</w:t>
                  </w:r>
                </w:p>
                <w:p w14:paraId="4A37A377">
                  <w:pPr>
                    <w:widowControl/>
                    <w:jc w:val="center"/>
                    <w:textAlignment w:val="center"/>
                    <w:rPr>
                      <w:color w:val="auto"/>
                      <w:sz w:val="18"/>
                      <w:szCs w:val="18"/>
                    </w:rPr>
                  </w:pPr>
                  <w:r>
                    <w:rPr>
                      <w:color w:val="auto"/>
                      <w:kern w:val="0"/>
                      <w:sz w:val="18"/>
                      <w:szCs w:val="18"/>
                      <w:lang w:bidi="ar"/>
                    </w:rPr>
                    <w:t>(五)固态废物包装前不含残留液体</w:t>
                  </w:r>
                  <w:r>
                    <w:rPr>
                      <w:rFonts w:hint="eastAsia"/>
                      <w:color w:val="auto"/>
                      <w:kern w:val="0"/>
                      <w:sz w:val="18"/>
                      <w:szCs w:val="18"/>
                      <w:lang w:bidi="ar"/>
                    </w:rPr>
                    <w:t>，</w:t>
                  </w:r>
                  <w:r>
                    <w:rPr>
                      <w:color w:val="auto"/>
                      <w:kern w:val="0"/>
                      <w:sz w:val="18"/>
                      <w:szCs w:val="18"/>
                      <w:lang w:bidi="ar"/>
                    </w:rPr>
                    <w:t>包装物具有一定强度且可封闭。破碎玻璃器皿、针头等存放于锐器盒内</w:t>
                  </w:r>
                  <w:r>
                    <w:rPr>
                      <w:rFonts w:hint="eastAsia"/>
                      <w:color w:val="auto"/>
                      <w:kern w:val="0"/>
                      <w:sz w:val="18"/>
                      <w:szCs w:val="18"/>
                      <w:lang w:bidi="ar"/>
                    </w:rPr>
                    <w:t>；</w:t>
                  </w:r>
                  <w:r>
                    <w:rPr>
                      <w:color w:val="auto"/>
                      <w:kern w:val="0"/>
                      <w:sz w:val="18"/>
                      <w:szCs w:val="18"/>
                      <w:lang w:bidi="ar"/>
                    </w:rPr>
                    <w:t>无法装入常用容器的固态废物可用防漏胶袋等存放。</w:t>
                  </w:r>
                </w:p>
                <w:p w14:paraId="5386E89E">
                  <w:pPr>
                    <w:widowControl/>
                    <w:jc w:val="center"/>
                    <w:textAlignment w:val="center"/>
                    <w:rPr>
                      <w:color w:val="auto"/>
                      <w:sz w:val="18"/>
                      <w:szCs w:val="18"/>
                    </w:rPr>
                  </w:pPr>
                  <w:r>
                    <w:rPr>
                      <w:color w:val="auto"/>
                      <w:kern w:val="0"/>
                      <w:sz w:val="18"/>
                      <w:szCs w:val="18"/>
                      <w:lang w:bidi="ar"/>
                    </w:rPr>
                    <w:t>(六)废弃试剂瓶</w:t>
                  </w:r>
                  <w:r>
                    <w:rPr>
                      <w:rFonts w:hint="eastAsia"/>
                      <w:color w:val="auto"/>
                      <w:kern w:val="0"/>
                      <w:sz w:val="18"/>
                      <w:szCs w:val="18"/>
                      <w:lang w:eastAsia="zh-CN" w:bidi="ar"/>
                    </w:rPr>
                    <w:t>（</w:t>
                  </w:r>
                  <w:r>
                    <w:rPr>
                      <w:color w:val="auto"/>
                      <w:kern w:val="0"/>
                      <w:sz w:val="18"/>
                      <w:szCs w:val="18"/>
                      <w:lang w:bidi="ar"/>
                    </w:rPr>
                    <w:t>含空瓶</w:t>
                  </w:r>
                  <w:r>
                    <w:rPr>
                      <w:rFonts w:hint="eastAsia"/>
                      <w:color w:val="auto"/>
                      <w:kern w:val="0"/>
                      <w:sz w:val="18"/>
                      <w:szCs w:val="18"/>
                      <w:lang w:eastAsia="zh-CN" w:bidi="ar"/>
                    </w:rPr>
                    <w:t>）</w:t>
                  </w:r>
                  <w:r>
                    <w:rPr>
                      <w:color w:val="auto"/>
                      <w:kern w:val="0"/>
                      <w:sz w:val="18"/>
                      <w:szCs w:val="18"/>
                      <w:lang w:bidi="ar"/>
                    </w:rPr>
                    <w:t>瓶口朝上码放于满足相应强度且可封闭的包装容器中。</w:t>
                  </w:r>
                </w:p>
              </w:tc>
              <w:tc>
                <w:tcPr>
                  <w:tcW w:w="387" w:type="pct"/>
                  <w:tcBorders>
                    <w:right w:val="nil"/>
                  </w:tcBorders>
                  <w:vAlign w:val="center"/>
                </w:tcPr>
                <w:p w14:paraId="7996CDD0">
                  <w:pPr>
                    <w:widowControl/>
                    <w:jc w:val="center"/>
                    <w:textAlignment w:val="center"/>
                    <w:rPr>
                      <w:color w:val="auto"/>
                      <w:sz w:val="18"/>
                      <w:szCs w:val="18"/>
                    </w:rPr>
                  </w:pPr>
                  <w:r>
                    <w:rPr>
                      <w:color w:val="auto"/>
                      <w:kern w:val="0"/>
                      <w:sz w:val="18"/>
                      <w:szCs w:val="18"/>
                      <w:lang w:bidi="ar"/>
                    </w:rPr>
                    <w:t>符合</w:t>
                  </w:r>
                </w:p>
              </w:tc>
            </w:tr>
            <w:tr w14:paraId="63244D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70" w:hRule="atLeast"/>
                <w:jc w:val="center"/>
              </w:trPr>
              <w:tc>
                <w:tcPr>
                  <w:tcW w:w="2624" w:type="pct"/>
                  <w:tcBorders>
                    <w:left w:val="nil"/>
                  </w:tcBorders>
                  <w:vAlign w:val="center"/>
                </w:tcPr>
                <w:p w14:paraId="448670EC">
                  <w:pPr>
                    <w:widowControl/>
                    <w:jc w:val="center"/>
                    <w:textAlignment w:val="center"/>
                    <w:rPr>
                      <w:b/>
                      <w:bCs/>
                      <w:color w:val="auto"/>
                      <w:kern w:val="0"/>
                      <w:sz w:val="18"/>
                      <w:szCs w:val="18"/>
                      <w:lang w:bidi="ar"/>
                    </w:rPr>
                  </w:pPr>
                  <w:r>
                    <w:rPr>
                      <w:b/>
                      <w:bCs/>
                      <w:color w:val="auto"/>
                      <w:kern w:val="0"/>
                      <w:sz w:val="18"/>
                      <w:szCs w:val="18"/>
                      <w:lang w:bidi="ar"/>
                    </w:rPr>
                    <w:t>二、贮存管理</w:t>
                  </w:r>
                  <w:r>
                    <w:rPr>
                      <w:color w:val="auto"/>
                      <w:kern w:val="0"/>
                      <w:sz w:val="18"/>
                      <w:szCs w:val="18"/>
                      <w:lang w:bidi="ar"/>
                    </w:rPr>
                    <w:t>：</w:t>
                  </w:r>
                </w:p>
                <w:p w14:paraId="74A6DBCF">
                  <w:pPr>
                    <w:widowControl/>
                    <w:jc w:val="center"/>
                    <w:textAlignment w:val="center"/>
                    <w:rPr>
                      <w:b/>
                      <w:bCs/>
                      <w:color w:val="auto"/>
                      <w:sz w:val="18"/>
                      <w:szCs w:val="18"/>
                    </w:rPr>
                  </w:pPr>
                  <w:r>
                    <w:rPr>
                      <w:b/>
                      <w:bCs/>
                      <w:color w:val="auto"/>
                      <w:kern w:val="0"/>
                      <w:sz w:val="18"/>
                      <w:szCs w:val="18"/>
                      <w:lang w:bidi="ar"/>
                    </w:rPr>
                    <w:t>(一)一般要求</w:t>
                  </w:r>
                </w:p>
                <w:p w14:paraId="404B7861">
                  <w:pPr>
                    <w:widowControl/>
                    <w:jc w:val="center"/>
                    <w:textAlignment w:val="center"/>
                    <w:rPr>
                      <w:color w:val="auto"/>
                      <w:sz w:val="18"/>
                      <w:szCs w:val="18"/>
                    </w:rPr>
                  </w:pPr>
                  <w:r>
                    <w:rPr>
                      <w:color w:val="auto"/>
                      <w:kern w:val="0"/>
                      <w:sz w:val="18"/>
                      <w:szCs w:val="18"/>
                      <w:lang w:bidi="ar"/>
                    </w:rPr>
                    <w:t>1.产生实验室危险废物的单位应根据需要建设危险废物贮存库或设置贮存点</w:t>
                  </w:r>
                  <w:r>
                    <w:rPr>
                      <w:rFonts w:hint="eastAsia"/>
                      <w:color w:val="auto"/>
                      <w:kern w:val="0"/>
                      <w:sz w:val="18"/>
                      <w:szCs w:val="18"/>
                      <w:lang w:bidi="ar"/>
                    </w:rPr>
                    <w:t>，</w:t>
                  </w:r>
                  <w:r>
                    <w:rPr>
                      <w:color w:val="auto"/>
                      <w:kern w:val="0"/>
                      <w:sz w:val="18"/>
                      <w:szCs w:val="18"/>
                      <w:lang w:bidi="ar"/>
                    </w:rPr>
                    <w:t>贮存库和贮存点应满足《危险废物贮存污染控制标准》</w:t>
                  </w:r>
                  <w:r>
                    <w:rPr>
                      <w:rFonts w:hint="eastAsia"/>
                      <w:color w:val="auto"/>
                      <w:kern w:val="0"/>
                      <w:sz w:val="18"/>
                      <w:szCs w:val="18"/>
                      <w:lang w:eastAsia="zh-CN" w:bidi="ar"/>
                    </w:rPr>
                    <w:t>（</w:t>
                  </w:r>
                  <w:r>
                    <w:rPr>
                      <w:color w:val="auto"/>
                      <w:kern w:val="0"/>
                      <w:sz w:val="18"/>
                      <w:szCs w:val="18"/>
                      <w:lang w:bidi="ar"/>
                    </w:rPr>
                    <w:t>GB18597-2023</w:t>
                  </w:r>
                  <w:r>
                    <w:rPr>
                      <w:rFonts w:hint="eastAsia"/>
                      <w:color w:val="auto"/>
                      <w:kern w:val="0"/>
                      <w:sz w:val="18"/>
                      <w:szCs w:val="18"/>
                      <w:lang w:eastAsia="zh-CN" w:bidi="ar"/>
                    </w:rPr>
                    <w:t>）</w:t>
                  </w:r>
                  <w:r>
                    <w:rPr>
                      <w:color w:val="auto"/>
                      <w:kern w:val="0"/>
                      <w:sz w:val="18"/>
                      <w:szCs w:val="18"/>
                      <w:lang w:bidi="ar"/>
                    </w:rPr>
                    <w:t>要求。</w:t>
                  </w:r>
                </w:p>
                <w:p w14:paraId="2A55F589">
                  <w:pPr>
                    <w:widowControl/>
                    <w:jc w:val="center"/>
                    <w:textAlignment w:val="center"/>
                    <w:rPr>
                      <w:color w:val="auto"/>
                      <w:sz w:val="18"/>
                      <w:szCs w:val="18"/>
                    </w:rPr>
                  </w:pPr>
                  <w:r>
                    <w:rPr>
                      <w:color w:val="auto"/>
                      <w:kern w:val="0"/>
                      <w:sz w:val="18"/>
                      <w:szCs w:val="18"/>
                      <w:lang w:bidi="ar"/>
                    </w:rPr>
                    <w:t>2.实验室危险废物应根据危险废物分类和污染防治要求进行分类贮存</w:t>
                  </w:r>
                  <w:r>
                    <w:rPr>
                      <w:rFonts w:hint="eastAsia"/>
                      <w:color w:val="auto"/>
                      <w:kern w:val="0"/>
                      <w:sz w:val="18"/>
                      <w:szCs w:val="18"/>
                      <w:lang w:bidi="ar"/>
                    </w:rPr>
                    <w:t>，</w:t>
                  </w:r>
                  <w:r>
                    <w:rPr>
                      <w:color w:val="auto"/>
                      <w:kern w:val="0"/>
                      <w:sz w:val="18"/>
                      <w:szCs w:val="18"/>
                      <w:lang w:bidi="ar"/>
                    </w:rPr>
                    <w:t>且应避免与不相容的物质、材料接触。</w:t>
                  </w:r>
                </w:p>
                <w:p w14:paraId="3EB94982">
                  <w:pPr>
                    <w:widowControl/>
                    <w:jc w:val="center"/>
                    <w:textAlignment w:val="center"/>
                    <w:rPr>
                      <w:color w:val="auto"/>
                      <w:sz w:val="18"/>
                      <w:szCs w:val="18"/>
                    </w:rPr>
                  </w:pPr>
                  <w:r>
                    <w:rPr>
                      <w:color w:val="auto"/>
                      <w:kern w:val="0"/>
                      <w:sz w:val="18"/>
                      <w:szCs w:val="18"/>
                      <w:lang w:bidi="ar"/>
                    </w:rPr>
                    <w:t>3.贮存库、贮存点、容器和包装物应按《危险废物识别标志设置技术规范》</w:t>
                  </w:r>
                  <w:r>
                    <w:rPr>
                      <w:rFonts w:hint="eastAsia"/>
                      <w:color w:val="auto"/>
                      <w:kern w:val="0"/>
                      <w:sz w:val="18"/>
                      <w:szCs w:val="18"/>
                      <w:lang w:eastAsia="zh-CN" w:bidi="ar"/>
                    </w:rPr>
                    <w:t>（</w:t>
                  </w:r>
                  <w:r>
                    <w:rPr>
                      <w:color w:val="auto"/>
                      <w:kern w:val="0"/>
                      <w:sz w:val="18"/>
                      <w:szCs w:val="18"/>
                      <w:lang w:bidi="ar"/>
                    </w:rPr>
                    <w:t>HJ 1276-2022</w:t>
                  </w:r>
                  <w:r>
                    <w:rPr>
                      <w:rFonts w:hint="eastAsia"/>
                      <w:color w:val="auto"/>
                      <w:kern w:val="0"/>
                      <w:sz w:val="18"/>
                      <w:szCs w:val="18"/>
                      <w:lang w:eastAsia="zh-CN" w:bidi="ar"/>
                    </w:rPr>
                    <w:t>）</w:t>
                  </w:r>
                  <w:r>
                    <w:rPr>
                      <w:color w:val="auto"/>
                      <w:kern w:val="0"/>
                      <w:sz w:val="18"/>
                      <w:szCs w:val="18"/>
                      <w:lang w:bidi="ar"/>
                    </w:rPr>
                    <w:t>和《省生态环境厅关于做好&lt;危险废物贮存污染控制标准&gt;等标准规范实施后危险废物环境管理衔接工作的通知》</w:t>
                  </w:r>
                  <w:r>
                    <w:rPr>
                      <w:rFonts w:hint="eastAsia"/>
                      <w:color w:val="auto"/>
                      <w:kern w:val="0"/>
                      <w:sz w:val="18"/>
                      <w:szCs w:val="18"/>
                      <w:lang w:eastAsia="zh-CN" w:bidi="ar"/>
                    </w:rPr>
                    <w:t>（</w:t>
                  </w:r>
                  <w:r>
                    <w:rPr>
                      <w:color w:val="auto"/>
                      <w:kern w:val="0"/>
                      <w:sz w:val="18"/>
                      <w:szCs w:val="18"/>
                      <w:lang w:bidi="ar"/>
                    </w:rPr>
                    <w:t>苏环办〔2023〕154号</w:t>
                  </w:r>
                  <w:r>
                    <w:rPr>
                      <w:rFonts w:hint="eastAsia"/>
                      <w:color w:val="auto"/>
                      <w:kern w:val="0"/>
                      <w:sz w:val="18"/>
                      <w:szCs w:val="18"/>
                      <w:lang w:eastAsia="zh-CN" w:bidi="ar"/>
                    </w:rPr>
                    <w:t>）</w:t>
                  </w:r>
                  <w:r>
                    <w:rPr>
                      <w:color w:val="auto"/>
                      <w:kern w:val="0"/>
                      <w:sz w:val="18"/>
                      <w:szCs w:val="18"/>
                      <w:lang w:bidi="ar"/>
                    </w:rPr>
                    <w:t>等要求设置危险废物贮存库或贮存点标志、危险废物贮存分区标志、危险废物标签等危险废物识别标志。</w:t>
                  </w:r>
                </w:p>
                <w:p w14:paraId="6545D7AA">
                  <w:pPr>
                    <w:widowControl/>
                    <w:jc w:val="center"/>
                    <w:textAlignment w:val="center"/>
                    <w:rPr>
                      <w:color w:val="auto"/>
                      <w:sz w:val="18"/>
                      <w:szCs w:val="18"/>
                    </w:rPr>
                  </w:pPr>
                  <w:r>
                    <w:rPr>
                      <w:color w:val="auto"/>
                      <w:kern w:val="0"/>
                      <w:sz w:val="18"/>
                      <w:szCs w:val="18"/>
                      <w:lang w:bidi="ar"/>
                    </w:rPr>
                    <w:t>4.废弃危险化学品应存放于符合安全要求的原危化品贮存设施内</w:t>
                  </w:r>
                  <w:r>
                    <w:rPr>
                      <w:rFonts w:hint="eastAsia"/>
                      <w:color w:val="auto"/>
                      <w:kern w:val="0"/>
                      <w:sz w:val="18"/>
                      <w:szCs w:val="18"/>
                      <w:lang w:bidi="ar"/>
                    </w:rPr>
                    <w:t>，</w:t>
                  </w:r>
                  <w:r>
                    <w:rPr>
                      <w:color w:val="auto"/>
                      <w:kern w:val="0"/>
                      <w:sz w:val="18"/>
                      <w:szCs w:val="18"/>
                      <w:lang w:bidi="ar"/>
                    </w:rPr>
                    <w:t>或经预处理使之稳定后贮存于危险废物贮存设施。</w:t>
                  </w:r>
                </w:p>
                <w:p w14:paraId="436F93FC">
                  <w:pPr>
                    <w:widowControl/>
                    <w:jc w:val="center"/>
                    <w:textAlignment w:val="center"/>
                    <w:rPr>
                      <w:color w:val="auto"/>
                      <w:sz w:val="18"/>
                      <w:szCs w:val="18"/>
                    </w:rPr>
                  </w:pPr>
                  <w:r>
                    <w:rPr>
                      <w:color w:val="auto"/>
                      <w:kern w:val="0"/>
                      <w:sz w:val="18"/>
                      <w:szCs w:val="18"/>
                      <w:lang w:bidi="ar"/>
                    </w:rPr>
                    <w:t>5.实验室产生的危险特性不明确的废弃危险化学品</w:t>
                  </w:r>
                  <w:r>
                    <w:rPr>
                      <w:rFonts w:hint="eastAsia"/>
                      <w:color w:val="auto"/>
                      <w:kern w:val="0"/>
                      <w:sz w:val="18"/>
                      <w:szCs w:val="18"/>
                      <w:lang w:bidi="ar"/>
                    </w:rPr>
                    <w:t>，</w:t>
                  </w:r>
                  <w:r>
                    <w:rPr>
                      <w:color w:val="auto"/>
                      <w:kern w:val="0"/>
                      <w:sz w:val="18"/>
                      <w:szCs w:val="18"/>
                      <w:lang w:bidi="ar"/>
                    </w:rPr>
                    <w:t>应按照《危险化学品安全管理条例》等有关规定进行相关危险特性判定或鉴别</w:t>
                  </w:r>
                  <w:r>
                    <w:rPr>
                      <w:rFonts w:hint="eastAsia"/>
                      <w:color w:val="auto"/>
                      <w:kern w:val="0"/>
                      <w:sz w:val="18"/>
                      <w:szCs w:val="18"/>
                      <w:lang w:bidi="ar"/>
                    </w:rPr>
                    <w:t>，</w:t>
                  </w:r>
                  <w:r>
                    <w:rPr>
                      <w:color w:val="auto"/>
                      <w:kern w:val="0"/>
                      <w:sz w:val="18"/>
                      <w:szCs w:val="18"/>
                      <w:lang w:bidi="ar"/>
                    </w:rPr>
                    <w:t>并经预处理稳定化后方可在贮存设施或场所内贮存。</w:t>
                  </w:r>
                </w:p>
                <w:p w14:paraId="2A8D14B9">
                  <w:pPr>
                    <w:widowControl/>
                    <w:jc w:val="center"/>
                    <w:textAlignment w:val="center"/>
                    <w:rPr>
                      <w:color w:val="auto"/>
                      <w:sz w:val="18"/>
                      <w:szCs w:val="18"/>
                    </w:rPr>
                  </w:pPr>
                  <w:r>
                    <w:rPr>
                      <w:color w:val="auto"/>
                      <w:kern w:val="0"/>
                      <w:sz w:val="18"/>
                      <w:szCs w:val="18"/>
                      <w:lang w:bidi="ar"/>
                    </w:rPr>
                    <w:t>6.贮存点、贮存库管理人员应每周对包装容器、防渗漏措施、标签标识、存放期限、投放记录表</w:t>
                  </w:r>
                  <w:r>
                    <w:rPr>
                      <w:rFonts w:hint="eastAsia"/>
                      <w:color w:val="auto"/>
                      <w:kern w:val="0"/>
                      <w:sz w:val="18"/>
                      <w:szCs w:val="18"/>
                      <w:lang w:eastAsia="zh-CN" w:bidi="ar"/>
                    </w:rPr>
                    <w:t>（</w:t>
                  </w:r>
                  <w:r>
                    <w:rPr>
                      <w:color w:val="auto"/>
                      <w:kern w:val="0"/>
                      <w:sz w:val="18"/>
                      <w:szCs w:val="18"/>
                      <w:lang w:bidi="ar"/>
                    </w:rPr>
                    <w:t>附件2</w:t>
                  </w:r>
                  <w:r>
                    <w:rPr>
                      <w:rFonts w:hint="eastAsia"/>
                      <w:color w:val="auto"/>
                      <w:kern w:val="0"/>
                      <w:sz w:val="18"/>
                      <w:szCs w:val="18"/>
                      <w:lang w:eastAsia="zh-CN" w:bidi="ar"/>
                    </w:rPr>
                    <w:t>）</w:t>
                  </w:r>
                  <w:r>
                    <w:rPr>
                      <w:color w:val="auto"/>
                      <w:kern w:val="0"/>
                      <w:sz w:val="18"/>
                      <w:szCs w:val="18"/>
                      <w:lang w:bidi="ar"/>
                    </w:rPr>
                    <w:t>、管理台账等进行检查</w:t>
                  </w:r>
                  <w:r>
                    <w:rPr>
                      <w:rFonts w:hint="eastAsia"/>
                      <w:color w:val="auto"/>
                      <w:kern w:val="0"/>
                      <w:sz w:val="18"/>
                      <w:szCs w:val="18"/>
                      <w:lang w:bidi="ar"/>
                    </w:rPr>
                    <w:t>，</w:t>
                  </w:r>
                  <w:r>
                    <w:rPr>
                      <w:color w:val="auto"/>
                      <w:kern w:val="0"/>
                      <w:sz w:val="18"/>
                      <w:szCs w:val="18"/>
                      <w:lang w:bidi="ar"/>
                    </w:rPr>
                    <w:t>并做好记录。</w:t>
                  </w:r>
                </w:p>
                <w:p w14:paraId="0160BF73">
                  <w:pPr>
                    <w:widowControl/>
                    <w:jc w:val="center"/>
                    <w:textAlignment w:val="center"/>
                    <w:rPr>
                      <w:color w:val="auto"/>
                      <w:sz w:val="18"/>
                      <w:szCs w:val="18"/>
                    </w:rPr>
                  </w:pPr>
                  <w:r>
                    <w:rPr>
                      <w:color w:val="auto"/>
                      <w:kern w:val="0"/>
                      <w:sz w:val="18"/>
                      <w:szCs w:val="18"/>
                      <w:lang w:bidi="ar"/>
                    </w:rPr>
                    <w:t>7.贮存库和实验室外部贮存点应安装24小时视频监控系统</w:t>
                  </w:r>
                  <w:r>
                    <w:rPr>
                      <w:rFonts w:hint="eastAsia"/>
                      <w:color w:val="auto"/>
                      <w:kern w:val="0"/>
                      <w:sz w:val="18"/>
                      <w:szCs w:val="18"/>
                      <w:lang w:bidi="ar"/>
                    </w:rPr>
                    <w:t>，</w:t>
                  </w:r>
                  <w:r>
                    <w:rPr>
                      <w:color w:val="auto"/>
                      <w:kern w:val="0"/>
                      <w:sz w:val="18"/>
                      <w:szCs w:val="18"/>
                      <w:lang w:bidi="ar"/>
                    </w:rPr>
                    <w:t>确保监控画面清晰。视频记录保存时间至少为3个月。</w:t>
                  </w:r>
                </w:p>
                <w:p w14:paraId="779D41C4">
                  <w:pPr>
                    <w:widowControl/>
                    <w:jc w:val="center"/>
                    <w:textAlignment w:val="center"/>
                    <w:rPr>
                      <w:color w:val="auto"/>
                      <w:sz w:val="18"/>
                      <w:szCs w:val="18"/>
                    </w:rPr>
                  </w:pPr>
                  <w:r>
                    <w:rPr>
                      <w:color w:val="auto"/>
                      <w:kern w:val="0"/>
                      <w:sz w:val="18"/>
                      <w:szCs w:val="18"/>
                      <w:lang w:bidi="ar"/>
                    </w:rPr>
                    <w:t>8.实验室危险废物贮存除应满足环境保护相关要求外</w:t>
                  </w:r>
                  <w:r>
                    <w:rPr>
                      <w:rFonts w:hint="eastAsia"/>
                      <w:color w:val="auto"/>
                      <w:kern w:val="0"/>
                      <w:sz w:val="18"/>
                      <w:szCs w:val="18"/>
                      <w:lang w:bidi="ar"/>
                    </w:rPr>
                    <w:t>，</w:t>
                  </w:r>
                  <w:r>
                    <w:rPr>
                      <w:color w:val="auto"/>
                      <w:kern w:val="0"/>
                      <w:sz w:val="18"/>
                      <w:szCs w:val="18"/>
                      <w:lang w:bidi="ar"/>
                    </w:rPr>
                    <w:t>还应执行国家安全生产、治安管理、消防、卫生健康等法律法规和标准的相关要求。</w:t>
                  </w:r>
                </w:p>
              </w:tc>
              <w:tc>
                <w:tcPr>
                  <w:tcW w:w="1988" w:type="pct"/>
                  <w:vAlign w:val="center"/>
                </w:tcPr>
                <w:p w14:paraId="66F0F5BC">
                  <w:pPr>
                    <w:widowControl/>
                    <w:jc w:val="center"/>
                    <w:textAlignment w:val="center"/>
                    <w:rPr>
                      <w:color w:val="auto"/>
                      <w:kern w:val="0"/>
                      <w:sz w:val="18"/>
                      <w:szCs w:val="18"/>
                      <w:lang w:bidi="ar"/>
                    </w:rPr>
                  </w:pPr>
                  <w:r>
                    <w:rPr>
                      <w:color w:val="auto"/>
                      <w:kern w:val="0"/>
                      <w:sz w:val="18"/>
                      <w:szCs w:val="18"/>
                      <w:lang w:bidi="ar"/>
                    </w:rPr>
                    <w:t>1.</w:t>
                  </w:r>
                  <w:r>
                    <w:rPr>
                      <w:rFonts w:hint="eastAsia"/>
                      <w:color w:val="auto"/>
                      <w:kern w:val="0"/>
                      <w:sz w:val="18"/>
                      <w:szCs w:val="18"/>
                      <w:lang w:bidi="ar"/>
                    </w:rPr>
                    <w:t>企业已</w:t>
                  </w:r>
                  <w:r>
                    <w:rPr>
                      <w:color w:val="auto"/>
                      <w:kern w:val="0"/>
                      <w:sz w:val="18"/>
                      <w:szCs w:val="18"/>
                      <w:lang w:bidi="ar"/>
                    </w:rPr>
                    <w:t>按照《危险废物贮存污染控制标准》</w:t>
                  </w:r>
                  <w:r>
                    <w:rPr>
                      <w:rFonts w:hint="eastAsia"/>
                      <w:color w:val="auto"/>
                      <w:kern w:val="0"/>
                      <w:sz w:val="18"/>
                      <w:szCs w:val="18"/>
                      <w:lang w:eastAsia="zh-CN" w:bidi="ar"/>
                    </w:rPr>
                    <w:t>（</w:t>
                  </w:r>
                  <w:r>
                    <w:rPr>
                      <w:color w:val="auto"/>
                      <w:kern w:val="0"/>
                      <w:sz w:val="18"/>
                      <w:szCs w:val="18"/>
                      <w:lang w:bidi="ar"/>
                    </w:rPr>
                    <w:t>GB18597-2023</w:t>
                  </w:r>
                  <w:r>
                    <w:rPr>
                      <w:rFonts w:hint="eastAsia"/>
                      <w:color w:val="auto"/>
                      <w:kern w:val="0"/>
                      <w:sz w:val="18"/>
                      <w:szCs w:val="18"/>
                      <w:lang w:eastAsia="zh-CN" w:bidi="ar"/>
                    </w:rPr>
                    <w:t>）</w:t>
                  </w:r>
                  <w:r>
                    <w:rPr>
                      <w:rFonts w:hint="eastAsia"/>
                      <w:color w:val="auto"/>
                      <w:kern w:val="0"/>
                      <w:sz w:val="18"/>
                      <w:szCs w:val="18"/>
                      <w:lang w:bidi="ar"/>
                    </w:rPr>
                    <w:t>建设危废贮存库，可供本项目依托</w:t>
                  </w:r>
                  <w:r>
                    <w:rPr>
                      <w:color w:val="auto"/>
                      <w:kern w:val="0"/>
                      <w:sz w:val="18"/>
                      <w:szCs w:val="18"/>
                      <w:lang w:bidi="ar"/>
                    </w:rPr>
                    <w:t>。</w:t>
                  </w:r>
                </w:p>
                <w:p w14:paraId="45102A81">
                  <w:pPr>
                    <w:widowControl/>
                    <w:jc w:val="center"/>
                    <w:textAlignment w:val="center"/>
                    <w:rPr>
                      <w:color w:val="auto"/>
                      <w:sz w:val="18"/>
                      <w:szCs w:val="18"/>
                    </w:rPr>
                  </w:pPr>
                  <w:r>
                    <w:rPr>
                      <w:color w:val="auto"/>
                      <w:kern w:val="0"/>
                      <w:sz w:val="18"/>
                      <w:szCs w:val="18"/>
                      <w:lang w:bidi="ar"/>
                    </w:rPr>
                    <w:t>2.实验室危险废物根据危险废物分类和污染防治要求进行分类贮存。</w:t>
                  </w:r>
                </w:p>
                <w:p w14:paraId="183B5E59">
                  <w:pPr>
                    <w:widowControl/>
                    <w:jc w:val="center"/>
                    <w:textAlignment w:val="center"/>
                    <w:rPr>
                      <w:color w:val="auto"/>
                      <w:sz w:val="18"/>
                      <w:szCs w:val="18"/>
                    </w:rPr>
                  </w:pPr>
                  <w:r>
                    <w:rPr>
                      <w:color w:val="auto"/>
                      <w:kern w:val="0"/>
                      <w:sz w:val="18"/>
                      <w:szCs w:val="18"/>
                      <w:lang w:bidi="ar"/>
                    </w:rPr>
                    <w:t>3.</w:t>
                  </w:r>
                  <w:r>
                    <w:rPr>
                      <w:rFonts w:hint="eastAsia"/>
                      <w:color w:val="auto"/>
                      <w:kern w:val="0"/>
                      <w:sz w:val="18"/>
                      <w:szCs w:val="18"/>
                      <w:lang w:bidi="ar"/>
                    </w:rPr>
                    <w:t>危废贮存库</w:t>
                  </w:r>
                  <w:r>
                    <w:rPr>
                      <w:color w:val="auto"/>
                      <w:kern w:val="0"/>
                      <w:sz w:val="18"/>
                      <w:szCs w:val="18"/>
                      <w:lang w:bidi="ar"/>
                    </w:rPr>
                    <w:t>、容器和包装物按《危险废物识别标志设置技术规范》</w:t>
                  </w:r>
                  <w:r>
                    <w:rPr>
                      <w:rFonts w:hint="eastAsia"/>
                      <w:color w:val="auto"/>
                      <w:kern w:val="0"/>
                      <w:sz w:val="18"/>
                      <w:szCs w:val="18"/>
                      <w:lang w:eastAsia="zh-CN" w:bidi="ar"/>
                    </w:rPr>
                    <w:t>（</w:t>
                  </w:r>
                  <w:r>
                    <w:rPr>
                      <w:color w:val="auto"/>
                      <w:kern w:val="0"/>
                      <w:sz w:val="18"/>
                      <w:szCs w:val="18"/>
                      <w:lang w:bidi="ar"/>
                    </w:rPr>
                    <w:t>HJ 1276-2022</w:t>
                  </w:r>
                  <w:r>
                    <w:rPr>
                      <w:rFonts w:hint="eastAsia"/>
                      <w:color w:val="auto"/>
                      <w:kern w:val="0"/>
                      <w:sz w:val="18"/>
                      <w:szCs w:val="18"/>
                      <w:lang w:eastAsia="zh-CN" w:bidi="ar"/>
                    </w:rPr>
                    <w:t>）</w:t>
                  </w:r>
                  <w:r>
                    <w:rPr>
                      <w:color w:val="auto"/>
                      <w:kern w:val="0"/>
                      <w:sz w:val="18"/>
                      <w:szCs w:val="18"/>
                      <w:lang w:bidi="ar"/>
                    </w:rPr>
                    <w:t>和《省生态环境厅关于做好&lt;危险废物贮存污染控制标准&gt;等标准规范实施后危险废物环境管理衔接工作的通知》</w:t>
                  </w:r>
                  <w:r>
                    <w:rPr>
                      <w:rFonts w:hint="eastAsia"/>
                      <w:color w:val="auto"/>
                      <w:kern w:val="0"/>
                      <w:sz w:val="18"/>
                      <w:szCs w:val="18"/>
                      <w:lang w:eastAsia="zh-CN" w:bidi="ar"/>
                    </w:rPr>
                    <w:t>（</w:t>
                  </w:r>
                  <w:r>
                    <w:rPr>
                      <w:color w:val="auto"/>
                      <w:kern w:val="0"/>
                      <w:sz w:val="18"/>
                      <w:szCs w:val="18"/>
                      <w:lang w:bidi="ar"/>
                    </w:rPr>
                    <w:t>苏环办〔2023〕154号</w:t>
                  </w:r>
                  <w:r>
                    <w:rPr>
                      <w:rFonts w:hint="eastAsia"/>
                      <w:color w:val="auto"/>
                      <w:kern w:val="0"/>
                      <w:sz w:val="18"/>
                      <w:szCs w:val="18"/>
                      <w:lang w:eastAsia="zh-CN" w:bidi="ar"/>
                    </w:rPr>
                    <w:t>）</w:t>
                  </w:r>
                  <w:r>
                    <w:rPr>
                      <w:color w:val="auto"/>
                      <w:kern w:val="0"/>
                      <w:sz w:val="18"/>
                      <w:szCs w:val="18"/>
                      <w:lang w:bidi="ar"/>
                    </w:rPr>
                    <w:t>等要求设置危险废物贮存库标志、危险废物贮存分区标志、危险废物标签等危险废物识别标志。</w:t>
                  </w:r>
                </w:p>
                <w:p w14:paraId="389F3AC0">
                  <w:pPr>
                    <w:widowControl/>
                    <w:jc w:val="center"/>
                    <w:textAlignment w:val="center"/>
                    <w:rPr>
                      <w:color w:val="auto"/>
                      <w:sz w:val="18"/>
                      <w:szCs w:val="18"/>
                    </w:rPr>
                  </w:pPr>
                  <w:r>
                    <w:rPr>
                      <w:color w:val="auto"/>
                      <w:kern w:val="0"/>
                      <w:sz w:val="18"/>
                      <w:szCs w:val="18"/>
                      <w:lang w:bidi="ar"/>
                    </w:rPr>
                    <w:t>4.废弃危险化学品</w:t>
                  </w:r>
                  <w:r>
                    <w:rPr>
                      <w:rFonts w:hint="eastAsia"/>
                      <w:color w:val="auto"/>
                      <w:kern w:val="0"/>
                      <w:sz w:val="18"/>
                      <w:szCs w:val="18"/>
                      <w:lang w:bidi="ar"/>
                    </w:rPr>
                    <w:t>稳定后</w:t>
                  </w:r>
                  <w:r>
                    <w:rPr>
                      <w:color w:val="auto"/>
                      <w:kern w:val="0"/>
                      <w:sz w:val="18"/>
                      <w:szCs w:val="18"/>
                      <w:lang w:bidi="ar"/>
                    </w:rPr>
                    <w:t>存放于符合安全要求</w:t>
                  </w:r>
                  <w:r>
                    <w:rPr>
                      <w:rFonts w:hint="eastAsia"/>
                      <w:color w:val="auto"/>
                      <w:kern w:val="0"/>
                      <w:sz w:val="18"/>
                      <w:szCs w:val="18"/>
                      <w:lang w:bidi="ar"/>
                    </w:rPr>
                    <w:t>危废贮存库</w:t>
                  </w:r>
                  <w:r>
                    <w:rPr>
                      <w:color w:val="auto"/>
                      <w:kern w:val="0"/>
                      <w:sz w:val="18"/>
                      <w:szCs w:val="18"/>
                      <w:lang w:bidi="ar"/>
                    </w:rPr>
                    <w:t>。</w:t>
                  </w:r>
                </w:p>
                <w:p w14:paraId="4F9D96FD">
                  <w:pPr>
                    <w:widowControl/>
                    <w:jc w:val="center"/>
                    <w:textAlignment w:val="center"/>
                    <w:rPr>
                      <w:color w:val="auto"/>
                      <w:sz w:val="18"/>
                      <w:szCs w:val="18"/>
                    </w:rPr>
                  </w:pPr>
                  <w:r>
                    <w:rPr>
                      <w:color w:val="auto"/>
                      <w:kern w:val="0"/>
                      <w:sz w:val="18"/>
                      <w:szCs w:val="18"/>
                      <w:lang w:bidi="ar"/>
                    </w:rPr>
                    <w:t>5.实验室产生的危险特性不明确的废弃危险化学品</w:t>
                  </w:r>
                  <w:r>
                    <w:rPr>
                      <w:rFonts w:hint="eastAsia"/>
                      <w:color w:val="auto"/>
                      <w:kern w:val="0"/>
                      <w:sz w:val="18"/>
                      <w:szCs w:val="18"/>
                      <w:lang w:bidi="ar"/>
                    </w:rPr>
                    <w:t>，</w:t>
                  </w:r>
                  <w:r>
                    <w:rPr>
                      <w:color w:val="auto"/>
                      <w:kern w:val="0"/>
                      <w:sz w:val="18"/>
                      <w:szCs w:val="18"/>
                      <w:lang w:bidi="ar"/>
                    </w:rPr>
                    <w:t>按照《危险化学品安全管理条例》等有关规定进行相关危险特性判定或鉴别</w:t>
                  </w:r>
                  <w:r>
                    <w:rPr>
                      <w:rFonts w:hint="eastAsia"/>
                      <w:color w:val="auto"/>
                      <w:kern w:val="0"/>
                      <w:sz w:val="18"/>
                      <w:szCs w:val="18"/>
                      <w:lang w:bidi="ar"/>
                    </w:rPr>
                    <w:t>，</w:t>
                  </w:r>
                  <w:r>
                    <w:rPr>
                      <w:color w:val="auto"/>
                      <w:kern w:val="0"/>
                      <w:sz w:val="18"/>
                      <w:szCs w:val="18"/>
                      <w:lang w:bidi="ar"/>
                    </w:rPr>
                    <w:t>并经预处理稳定化后方可在贮存设施或场所内贮存。</w:t>
                  </w:r>
                </w:p>
                <w:p w14:paraId="6BB64D70">
                  <w:pPr>
                    <w:widowControl/>
                    <w:jc w:val="center"/>
                    <w:textAlignment w:val="center"/>
                    <w:rPr>
                      <w:color w:val="auto"/>
                      <w:sz w:val="18"/>
                      <w:szCs w:val="18"/>
                    </w:rPr>
                  </w:pPr>
                  <w:r>
                    <w:rPr>
                      <w:color w:val="auto"/>
                      <w:kern w:val="0"/>
                      <w:sz w:val="18"/>
                      <w:szCs w:val="18"/>
                      <w:lang w:bidi="ar"/>
                    </w:rPr>
                    <w:t>6.</w:t>
                  </w:r>
                  <w:r>
                    <w:rPr>
                      <w:rFonts w:hint="eastAsia"/>
                      <w:color w:val="auto"/>
                      <w:kern w:val="0"/>
                      <w:sz w:val="18"/>
                      <w:szCs w:val="18"/>
                      <w:lang w:bidi="ar"/>
                    </w:rPr>
                    <w:t>危废贮存库</w:t>
                  </w:r>
                  <w:r>
                    <w:rPr>
                      <w:color w:val="auto"/>
                      <w:kern w:val="0"/>
                      <w:sz w:val="18"/>
                      <w:szCs w:val="18"/>
                      <w:lang w:bidi="ar"/>
                    </w:rPr>
                    <w:t>管理人员每周对包装容器、防渗漏措施、标签标识、存放期限、投放记录表、管理台账等进行检查</w:t>
                  </w:r>
                  <w:r>
                    <w:rPr>
                      <w:rFonts w:hint="eastAsia"/>
                      <w:color w:val="auto"/>
                      <w:kern w:val="0"/>
                      <w:sz w:val="18"/>
                      <w:szCs w:val="18"/>
                      <w:lang w:bidi="ar"/>
                    </w:rPr>
                    <w:t>，</w:t>
                  </w:r>
                  <w:r>
                    <w:rPr>
                      <w:color w:val="auto"/>
                      <w:kern w:val="0"/>
                      <w:sz w:val="18"/>
                      <w:szCs w:val="18"/>
                      <w:lang w:bidi="ar"/>
                    </w:rPr>
                    <w:t>并做好记录。</w:t>
                  </w:r>
                </w:p>
                <w:p w14:paraId="4BC5A03F">
                  <w:pPr>
                    <w:widowControl/>
                    <w:jc w:val="center"/>
                    <w:textAlignment w:val="center"/>
                    <w:rPr>
                      <w:color w:val="auto"/>
                      <w:sz w:val="18"/>
                      <w:szCs w:val="18"/>
                    </w:rPr>
                  </w:pPr>
                  <w:r>
                    <w:rPr>
                      <w:color w:val="auto"/>
                      <w:kern w:val="0"/>
                      <w:sz w:val="18"/>
                      <w:szCs w:val="18"/>
                      <w:lang w:bidi="ar"/>
                    </w:rPr>
                    <w:t>7.</w:t>
                  </w:r>
                  <w:r>
                    <w:rPr>
                      <w:rFonts w:hint="eastAsia"/>
                      <w:color w:val="auto"/>
                      <w:kern w:val="0"/>
                      <w:sz w:val="18"/>
                      <w:szCs w:val="18"/>
                      <w:lang w:bidi="ar"/>
                    </w:rPr>
                    <w:t>企业危废贮存库已安装</w:t>
                  </w:r>
                  <w:r>
                    <w:rPr>
                      <w:color w:val="auto"/>
                      <w:kern w:val="0"/>
                      <w:sz w:val="18"/>
                      <w:szCs w:val="18"/>
                      <w:lang w:bidi="ar"/>
                    </w:rPr>
                    <w:t>24小时视频监控系统</w:t>
                  </w:r>
                  <w:r>
                    <w:rPr>
                      <w:rFonts w:hint="eastAsia"/>
                      <w:color w:val="auto"/>
                      <w:kern w:val="0"/>
                      <w:sz w:val="18"/>
                      <w:szCs w:val="18"/>
                      <w:lang w:bidi="ar"/>
                    </w:rPr>
                    <w:t>，</w:t>
                  </w:r>
                  <w:r>
                    <w:rPr>
                      <w:color w:val="auto"/>
                      <w:kern w:val="0"/>
                      <w:sz w:val="18"/>
                      <w:szCs w:val="18"/>
                      <w:lang w:bidi="ar"/>
                    </w:rPr>
                    <w:t>确保监控画面清晰。视频记录保存时间至少为3个月。</w:t>
                  </w:r>
                </w:p>
                <w:p w14:paraId="77A173B7">
                  <w:pPr>
                    <w:widowControl/>
                    <w:jc w:val="center"/>
                    <w:textAlignment w:val="center"/>
                    <w:rPr>
                      <w:color w:val="auto"/>
                      <w:sz w:val="18"/>
                      <w:szCs w:val="18"/>
                    </w:rPr>
                  </w:pPr>
                  <w:r>
                    <w:rPr>
                      <w:color w:val="auto"/>
                      <w:kern w:val="0"/>
                      <w:sz w:val="18"/>
                      <w:szCs w:val="18"/>
                      <w:lang w:bidi="ar"/>
                    </w:rPr>
                    <w:t>8.实验室危险废物贮存除满足环境保护相关要求外</w:t>
                  </w:r>
                  <w:r>
                    <w:rPr>
                      <w:rFonts w:hint="eastAsia"/>
                      <w:color w:val="auto"/>
                      <w:kern w:val="0"/>
                      <w:sz w:val="18"/>
                      <w:szCs w:val="18"/>
                      <w:lang w:bidi="ar"/>
                    </w:rPr>
                    <w:t>，</w:t>
                  </w:r>
                  <w:r>
                    <w:rPr>
                      <w:color w:val="auto"/>
                      <w:kern w:val="0"/>
                      <w:sz w:val="18"/>
                      <w:szCs w:val="18"/>
                      <w:lang w:bidi="ar"/>
                    </w:rPr>
                    <w:t>还执行国家安全生产、治安管理、消防、卫生健康等法律法规和标准的相关要求。</w:t>
                  </w:r>
                </w:p>
              </w:tc>
              <w:tc>
                <w:tcPr>
                  <w:tcW w:w="387" w:type="pct"/>
                  <w:tcBorders>
                    <w:right w:val="nil"/>
                  </w:tcBorders>
                  <w:vAlign w:val="center"/>
                </w:tcPr>
                <w:p w14:paraId="07E123BA">
                  <w:pPr>
                    <w:widowControl/>
                    <w:jc w:val="center"/>
                    <w:textAlignment w:val="center"/>
                    <w:rPr>
                      <w:color w:val="auto"/>
                      <w:sz w:val="18"/>
                      <w:szCs w:val="18"/>
                    </w:rPr>
                  </w:pPr>
                  <w:r>
                    <w:rPr>
                      <w:color w:val="auto"/>
                      <w:kern w:val="0"/>
                      <w:sz w:val="18"/>
                      <w:szCs w:val="18"/>
                      <w:lang w:bidi="ar"/>
                    </w:rPr>
                    <w:t>符合</w:t>
                  </w:r>
                </w:p>
              </w:tc>
            </w:tr>
            <w:tr w14:paraId="3D0B33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79" w:hRule="atLeast"/>
                <w:jc w:val="center"/>
              </w:trPr>
              <w:tc>
                <w:tcPr>
                  <w:tcW w:w="2624" w:type="pct"/>
                  <w:tcBorders>
                    <w:left w:val="nil"/>
                  </w:tcBorders>
                  <w:vAlign w:val="center"/>
                </w:tcPr>
                <w:p w14:paraId="126009E7">
                  <w:pPr>
                    <w:widowControl/>
                    <w:jc w:val="center"/>
                    <w:textAlignment w:val="center"/>
                    <w:rPr>
                      <w:b/>
                      <w:bCs/>
                      <w:color w:val="auto"/>
                      <w:kern w:val="0"/>
                      <w:sz w:val="18"/>
                      <w:szCs w:val="18"/>
                      <w:lang w:bidi="ar"/>
                    </w:rPr>
                  </w:pPr>
                  <w:r>
                    <w:rPr>
                      <w:b/>
                      <w:bCs/>
                      <w:color w:val="auto"/>
                      <w:kern w:val="0"/>
                      <w:sz w:val="18"/>
                      <w:szCs w:val="18"/>
                      <w:lang w:bidi="ar"/>
                    </w:rPr>
                    <w:t>三、转运管理</w:t>
                  </w:r>
                  <w:r>
                    <w:rPr>
                      <w:color w:val="auto"/>
                      <w:kern w:val="0"/>
                      <w:sz w:val="18"/>
                      <w:szCs w:val="18"/>
                      <w:lang w:bidi="ar"/>
                    </w:rPr>
                    <w:t>：</w:t>
                  </w:r>
                </w:p>
                <w:p w14:paraId="09689247">
                  <w:pPr>
                    <w:widowControl/>
                    <w:jc w:val="center"/>
                    <w:textAlignment w:val="center"/>
                    <w:rPr>
                      <w:color w:val="auto"/>
                      <w:sz w:val="18"/>
                      <w:szCs w:val="18"/>
                    </w:rPr>
                  </w:pPr>
                  <w:r>
                    <w:rPr>
                      <w:color w:val="auto"/>
                      <w:kern w:val="0"/>
                      <w:sz w:val="18"/>
                      <w:szCs w:val="18"/>
                      <w:lang w:bidi="ar"/>
                    </w:rPr>
                    <w:t>(一)实验室产生的危险废物在贮存点收集后</w:t>
                  </w:r>
                  <w:r>
                    <w:rPr>
                      <w:rFonts w:hint="eastAsia"/>
                      <w:color w:val="auto"/>
                      <w:kern w:val="0"/>
                      <w:sz w:val="18"/>
                      <w:szCs w:val="18"/>
                      <w:lang w:bidi="ar"/>
                    </w:rPr>
                    <w:t>，</w:t>
                  </w:r>
                  <w:r>
                    <w:rPr>
                      <w:color w:val="auto"/>
                      <w:kern w:val="0"/>
                      <w:sz w:val="18"/>
                      <w:szCs w:val="18"/>
                      <w:lang w:bidi="ar"/>
                    </w:rPr>
                    <w:t>应及时转运至危险废物贮存库进行规范贮存或者转移至危险废物集中处置单位进行处置。</w:t>
                  </w:r>
                </w:p>
                <w:p w14:paraId="0BC0597B">
                  <w:pPr>
                    <w:widowControl/>
                    <w:jc w:val="center"/>
                    <w:textAlignment w:val="center"/>
                    <w:rPr>
                      <w:color w:val="auto"/>
                      <w:sz w:val="18"/>
                      <w:szCs w:val="18"/>
                    </w:rPr>
                  </w:pPr>
                  <w:r>
                    <w:rPr>
                      <w:color w:val="auto"/>
                      <w:kern w:val="0"/>
                      <w:sz w:val="18"/>
                      <w:szCs w:val="18"/>
                      <w:lang w:bidi="ar"/>
                    </w:rPr>
                    <w:t>(二)实验室危险废物在内部转运时</w:t>
                  </w:r>
                  <w:r>
                    <w:rPr>
                      <w:rFonts w:hint="eastAsia"/>
                      <w:color w:val="auto"/>
                      <w:kern w:val="0"/>
                      <w:sz w:val="18"/>
                      <w:szCs w:val="18"/>
                      <w:lang w:bidi="ar"/>
                    </w:rPr>
                    <w:t>，</w:t>
                  </w:r>
                  <w:r>
                    <w:rPr>
                      <w:color w:val="auto"/>
                      <w:kern w:val="0"/>
                      <w:sz w:val="18"/>
                      <w:szCs w:val="18"/>
                      <w:lang w:bidi="ar"/>
                    </w:rPr>
                    <w:t>应至少2名实验室管理人员参与转运</w:t>
                  </w:r>
                  <w:r>
                    <w:rPr>
                      <w:rFonts w:hint="eastAsia"/>
                      <w:color w:val="auto"/>
                      <w:kern w:val="0"/>
                      <w:sz w:val="18"/>
                      <w:szCs w:val="18"/>
                      <w:lang w:bidi="ar"/>
                    </w:rPr>
                    <w:t>，</w:t>
                  </w:r>
                  <w:r>
                    <w:rPr>
                      <w:color w:val="auto"/>
                      <w:kern w:val="0"/>
                      <w:sz w:val="18"/>
                      <w:szCs w:val="18"/>
                      <w:lang w:bidi="ar"/>
                    </w:rPr>
                    <w:t>并符合《危险废物收集贮存运输技术规范》</w:t>
                  </w:r>
                  <w:r>
                    <w:rPr>
                      <w:rFonts w:hint="eastAsia"/>
                      <w:color w:val="auto"/>
                      <w:kern w:val="0"/>
                      <w:sz w:val="18"/>
                      <w:szCs w:val="18"/>
                      <w:lang w:eastAsia="zh-CN" w:bidi="ar"/>
                    </w:rPr>
                    <w:t>（</w:t>
                  </w:r>
                  <w:r>
                    <w:rPr>
                      <w:color w:val="auto"/>
                      <w:kern w:val="0"/>
                      <w:sz w:val="18"/>
                      <w:szCs w:val="18"/>
                      <w:lang w:bidi="ar"/>
                    </w:rPr>
                    <w:t>HJ2025-2012</w:t>
                  </w:r>
                  <w:r>
                    <w:rPr>
                      <w:rFonts w:hint="eastAsia"/>
                      <w:color w:val="auto"/>
                      <w:kern w:val="0"/>
                      <w:sz w:val="18"/>
                      <w:szCs w:val="18"/>
                      <w:lang w:eastAsia="zh-CN" w:bidi="ar"/>
                    </w:rPr>
                    <w:t>）</w:t>
                  </w:r>
                  <w:r>
                    <w:rPr>
                      <w:color w:val="auto"/>
                      <w:kern w:val="0"/>
                      <w:sz w:val="18"/>
                      <w:szCs w:val="18"/>
                      <w:lang w:bidi="ar"/>
                    </w:rPr>
                    <w:t>有关收集和内部转运作业要求。</w:t>
                  </w:r>
                </w:p>
                <w:p w14:paraId="6D357330">
                  <w:pPr>
                    <w:widowControl/>
                    <w:jc w:val="center"/>
                    <w:textAlignment w:val="center"/>
                    <w:rPr>
                      <w:color w:val="auto"/>
                      <w:sz w:val="18"/>
                      <w:szCs w:val="18"/>
                    </w:rPr>
                  </w:pPr>
                  <w:r>
                    <w:rPr>
                      <w:color w:val="auto"/>
                      <w:kern w:val="0"/>
                      <w:sz w:val="18"/>
                      <w:szCs w:val="18"/>
                      <w:lang w:bidi="ar"/>
                    </w:rPr>
                    <w:t>(三)实验室内部运输危险废物的车辆应使用符合安全环保要求的运输工具</w:t>
                  </w:r>
                  <w:r>
                    <w:rPr>
                      <w:rFonts w:hint="eastAsia"/>
                      <w:color w:val="auto"/>
                      <w:kern w:val="0"/>
                      <w:sz w:val="18"/>
                      <w:szCs w:val="18"/>
                      <w:lang w:bidi="ar"/>
                    </w:rPr>
                    <w:t>，</w:t>
                  </w:r>
                  <w:r>
                    <w:rPr>
                      <w:color w:val="auto"/>
                      <w:kern w:val="0"/>
                      <w:sz w:val="18"/>
                      <w:szCs w:val="18"/>
                      <w:lang w:bidi="ar"/>
                    </w:rPr>
                    <w:t>车内需设置泄漏液体收集装置并配备环境应急物资。</w:t>
                  </w:r>
                </w:p>
                <w:p w14:paraId="3690D86C">
                  <w:pPr>
                    <w:widowControl/>
                    <w:jc w:val="center"/>
                    <w:textAlignment w:val="center"/>
                    <w:rPr>
                      <w:color w:val="auto"/>
                      <w:sz w:val="18"/>
                      <w:szCs w:val="18"/>
                    </w:rPr>
                  </w:pPr>
                  <w:r>
                    <w:rPr>
                      <w:color w:val="auto"/>
                      <w:kern w:val="0"/>
                      <w:sz w:val="18"/>
                      <w:szCs w:val="18"/>
                      <w:lang w:bidi="ar"/>
                    </w:rPr>
                    <w:t>(四)实验室危险废物转运前应提前确定传输路线</w:t>
                  </w:r>
                  <w:r>
                    <w:rPr>
                      <w:rFonts w:hint="eastAsia"/>
                      <w:color w:val="auto"/>
                      <w:kern w:val="0"/>
                      <w:sz w:val="18"/>
                      <w:szCs w:val="18"/>
                      <w:lang w:bidi="ar"/>
                    </w:rPr>
                    <w:t>，</w:t>
                  </w:r>
                  <w:r>
                    <w:rPr>
                      <w:color w:val="auto"/>
                      <w:kern w:val="0"/>
                      <w:sz w:val="18"/>
                      <w:szCs w:val="18"/>
                      <w:lang w:bidi="ar"/>
                    </w:rPr>
                    <w:t>运输路线应避开人员聚集地</w:t>
                  </w:r>
                  <w:r>
                    <w:rPr>
                      <w:rFonts w:hint="eastAsia"/>
                      <w:color w:val="auto"/>
                      <w:kern w:val="0"/>
                      <w:sz w:val="18"/>
                      <w:szCs w:val="18"/>
                      <w:lang w:bidi="ar"/>
                    </w:rPr>
                    <w:t>，</w:t>
                  </w:r>
                  <w:r>
                    <w:rPr>
                      <w:color w:val="auto"/>
                      <w:kern w:val="0"/>
                      <w:sz w:val="18"/>
                      <w:szCs w:val="18"/>
                      <w:lang w:bidi="ar"/>
                    </w:rPr>
                    <w:t>转运人员需携带必要的个人防护用品和应急物资。</w:t>
                  </w:r>
                </w:p>
                <w:p w14:paraId="6DCB74EF">
                  <w:pPr>
                    <w:widowControl/>
                    <w:jc w:val="center"/>
                    <w:textAlignment w:val="center"/>
                    <w:rPr>
                      <w:color w:val="auto"/>
                      <w:sz w:val="18"/>
                      <w:szCs w:val="18"/>
                    </w:rPr>
                  </w:pPr>
                  <w:r>
                    <w:rPr>
                      <w:color w:val="auto"/>
                      <w:kern w:val="0"/>
                      <w:sz w:val="18"/>
                      <w:szCs w:val="18"/>
                      <w:lang w:bidi="ar"/>
                    </w:rPr>
                    <w:t>(五)实验室危险废物的运输要使用符合安全环保要求的运输工具</w:t>
                  </w:r>
                  <w:r>
                    <w:rPr>
                      <w:rFonts w:hint="eastAsia"/>
                      <w:color w:val="auto"/>
                      <w:kern w:val="0"/>
                      <w:sz w:val="18"/>
                      <w:szCs w:val="18"/>
                      <w:lang w:bidi="ar"/>
                    </w:rPr>
                    <w:t>，</w:t>
                  </w:r>
                  <w:r>
                    <w:rPr>
                      <w:color w:val="auto"/>
                      <w:kern w:val="0"/>
                      <w:sz w:val="18"/>
                      <w:szCs w:val="18"/>
                      <w:lang w:bidi="ar"/>
                    </w:rPr>
                    <w:t>且有封闭的吨袋</w:t>
                  </w:r>
                  <w:r>
                    <w:rPr>
                      <w:rFonts w:hint="eastAsia"/>
                      <w:color w:val="auto"/>
                      <w:kern w:val="0"/>
                      <w:sz w:val="18"/>
                      <w:szCs w:val="18"/>
                      <w:lang w:bidi="ar"/>
                    </w:rPr>
                    <w:t>，</w:t>
                  </w:r>
                  <w:r>
                    <w:rPr>
                      <w:color w:val="auto"/>
                      <w:kern w:val="0"/>
                      <w:sz w:val="18"/>
                      <w:szCs w:val="18"/>
                      <w:lang w:bidi="ar"/>
                    </w:rPr>
                    <w:t>液态废物进行二次包装时</w:t>
                  </w:r>
                  <w:r>
                    <w:rPr>
                      <w:rFonts w:hint="eastAsia"/>
                      <w:color w:val="auto"/>
                      <w:kern w:val="0"/>
                      <w:sz w:val="18"/>
                      <w:szCs w:val="18"/>
                      <w:lang w:bidi="ar"/>
                    </w:rPr>
                    <w:t>，</w:t>
                  </w:r>
                  <w:r>
                    <w:rPr>
                      <w:color w:val="auto"/>
                      <w:kern w:val="0"/>
                      <w:sz w:val="18"/>
                      <w:szCs w:val="18"/>
                      <w:lang w:bidi="ar"/>
                    </w:rPr>
                    <w:t>应具有液体泄漏包装设备</w:t>
                  </w:r>
                  <w:r>
                    <w:rPr>
                      <w:rFonts w:hint="eastAsia"/>
                      <w:color w:val="auto"/>
                      <w:kern w:val="0"/>
                      <w:sz w:val="18"/>
                      <w:szCs w:val="18"/>
                      <w:lang w:bidi="ar"/>
                    </w:rPr>
                    <w:t>，</w:t>
                  </w:r>
                  <w:r>
                    <w:rPr>
                      <w:color w:val="auto"/>
                      <w:kern w:val="0"/>
                      <w:sz w:val="18"/>
                      <w:szCs w:val="18"/>
                      <w:lang w:bidi="ar"/>
                    </w:rPr>
                    <w:t>固液废物与液态废物不得混放包装</w:t>
                  </w:r>
                  <w:r>
                    <w:rPr>
                      <w:rFonts w:hint="eastAsia"/>
                      <w:color w:val="auto"/>
                      <w:kern w:val="0"/>
                      <w:sz w:val="18"/>
                      <w:szCs w:val="18"/>
                      <w:lang w:bidi="ar"/>
                    </w:rPr>
                    <w:t>；</w:t>
                  </w:r>
                  <w:r>
                    <w:rPr>
                      <w:color w:val="auto"/>
                      <w:kern w:val="0"/>
                      <w:sz w:val="18"/>
                      <w:szCs w:val="18"/>
                      <w:lang w:bidi="ar"/>
                    </w:rPr>
                    <w:t>危险化学品需单独包装和符合安全要求。二次包装标签应符合HJ 1276—2022中包装识别标签要求。</w:t>
                  </w:r>
                </w:p>
              </w:tc>
              <w:tc>
                <w:tcPr>
                  <w:tcW w:w="1988" w:type="pct"/>
                  <w:vAlign w:val="center"/>
                </w:tcPr>
                <w:p w14:paraId="3151DC87">
                  <w:pPr>
                    <w:widowControl/>
                    <w:jc w:val="center"/>
                    <w:textAlignment w:val="center"/>
                    <w:rPr>
                      <w:color w:val="auto"/>
                      <w:kern w:val="0"/>
                      <w:sz w:val="18"/>
                      <w:szCs w:val="18"/>
                      <w:lang w:bidi="ar"/>
                    </w:rPr>
                  </w:pPr>
                  <w:r>
                    <w:rPr>
                      <w:color w:val="auto"/>
                      <w:kern w:val="0"/>
                      <w:sz w:val="18"/>
                      <w:szCs w:val="18"/>
                      <w:lang w:bidi="ar"/>
                    </w:rPr>
                    <w:t>(一)实验室产生的危险废物及时转运至危险废物贮存库进行规范贮存或者转移至危险废物集中处置单位进行处置。</w:t>
                  </w:r>
                </w:p>
                <w:p w14:paraId="2C85E982">
                  <w:pPr>
                    <w:widowControl/>
                    <w:jc w:val="center"/>
                    <w:textAlignment w:val="center"/>
                    <w:rPr>
                      <w:color w:val="auto"/>
                      <w:sz w:val="18"/>
                      <w:szCs w:val="18"/>
                    </w:rPr>
                  </w:pPr>
                  <w:r>
                    <w:rPr>
                      <w:color w:val="auto"/>
                      <w:kern w:val="0"/>
                      <w:sz w:val="18"/>
                      <w:szCs w:val="18"/>
                      <w:lang w:bidi="ar"/>
                    </w:rPr>
                    <w:t>(二)实验室危险废物在内部转运时</w:t>
                  </w:r>
                  <w:r>
                    <w:rPr>
                      <w:rFonts w:hint="eastAsia"/>
                      <w:color w:val="auto"/>
                      <w:kern w:val="0"/>
                      <w:sz w:val="18"/>
                      <w:szCs w:val="18"/>
                      <w:lang w:bidi="ar"/>
                    </w:rPr>
                    <w:t>，</w:t>
                  </w:r>
                  <w:r>
                    <w:rPr>
                      <w:color w:val="auto"/>
                      <w:kern w:val="0"/>
                      <w:sz w:val="18"/>
                      <w:szCs w:val="18"/>
                      <w:lang w:bidi="ar"/>
                    </w:rPr>
                    <w:t>至少2名实验室管理人员参与转运</w:t>
                  </w:r>
                  <w:r>
                    <w:rPr>
                      <w:rFonts w:hint="eastAsia"/>
                      <w:color w:val="auto"/>
                      <w:kern w:val="0"/>
                      <w:sz w:val="18"/>
                      <w:szCs w:val="18"/>
                      <w:lang w:bidi="ar"/>
                    </w:rPr>
                    <w:t>，</w:t>
                  </w:r>
                  <w:r>
                    <w:rPr>
                      <w:color w:val="auto"/>
                      <w:kern w:val="0"/>
                      <w:sz w:val="18"/>
                      <w:szCs w:val="18"/>
                      <w:lang w:bidi="ar"/>
                    </w:rPr>
                    <w:t>并符合《危险废物收集贮存运输技术规范》</w:t>
                  </w:r>
                  <w:r>
                    <w:rPr>
                      <w:rFonts w:hint="eastAsia"/>
                      <w:color w:val="auto"/>
                      <w:kern w:val="0"/>
                      <w:sz w:val="18"/>
                      <w:szCs w:val="18"/>
                      <w:lang w:eastAsia="zh-CN" w:bidi="ar"/>
                    </w:rPr>
                    <w:t>（</w:t>
                  </w:r>
                  <w:r>
                    <w:rPr>
                      <w:color w:val="auto"/>
                      <w:kern w:val="0"/>
                      <w:sz w:val="18"/>
                      <w:szCs w:val="18"/>
                      <w:lang w:bidi="ar"/>
                    </w:rPr>
                    <w:t>HJ2025-2012</w:t>
                  </w:r>
                  <w:r>
                    <w:rPr>
                      <w:rFonts w:hint="eastAsia"/>
                      <w:color w:val="auto"/>
                      <w:kern w:val="0"/>
                      <w:sz w:val="18"/>
                      <w:szCs w:val="18"/>
                      <w:lang w:eastAsia="zh-CN" w:bidi="ar"/>
                    </w:rPr>
                    <w:t>）</w:t>
                  </w:r>
                  <w:r>
                    <w:rPr>
                      <w:color w:val="auto"/>
                      <w:kern w:val="0"/>
                      <w:sz w:val="18"/>
                      <w:szCs w:val="18"/>
                      <w:lang w:bidi="ar"/>
                    </w:rPr>
                    <w:t>有关收集和内部转运作业要求。</w:t>
                  </w:r>
                </w:p>
                <w:p w14:paraId="285BD820">
                  <w:pPr>
                    <w:widowControl/>
                    <w:jc w:val="center"/>
                    <w:textAlignment w:val="center"/>
                    <w:rPr>
                      <w:color w:val="auto"/>
                      <w:sz w:val="18"/>
                      <w:szCs w:val="18"/>
                    </w:rPr>
                  </w:pPr>
                  <w:r>
                    <w:rPr>
                      <w:color w:val="auto"/>
                      <w:kern w:val="0"/>
                      <w:sz w:val="18"/>
                      <w:szCs w:val="18"/>
                      <w:lang w:bidi="ar"/>
                    </w:rPr>
                    <w:t>(三)实验室内部运输危险废物的车辆使用符合安全环保要求的运输工具</w:t>
                  </w:r>
                  <w:r>
                    <w:rPr>
                      <w:rFonts w:hint="eastAsia"/>
                      <w:color w:val="auto"/>
                      <w:kern w:val="0"/>
                      <w:sz w:val="18"/>
                      <w:szCs w:val="18"/>
                      <w:lang w:bidi="ar"/>
                    </w:rPr>
                    <w:t>，</w:t>
                  </w:r>
                  <w:r>
                    <w:rPr>
                      <w:color w:val="auto"/>
                      <w:kern w:val="0"/>
                      <w:sz w:val="18"/>
                      <w:szCs w:val="18"/>
                      <w:lang w:bidi="ar"/>
                    </w:rPr>
                    <w:t>车内设置泄漏液体收集装置并配备环境应急物资。</w:t>
                  </w:r>
                </w:p>
                <w:p w14:paraId="667F0A6E">
                  <w:pPr>
                    <w:widowControl/>
                    <w:jc w:val="center"/>
                    <w:textAlignment w:val="center"/>
                    <w:rPr>
                      <w:color w:val="auto"/>
                      <w:sz w:val="18"/>
                      <w:szCs w:val="18"/>
                    </w:rPr>
                  </w:pPr>
                  <w:r>
                    <w:rPr>
                      <w:color w:val="auto"/>
                      <w:kern w:val="0"/>
                      <w:sz w:val="18"/>
                      <w:szCs w:val="18"/>
                      <w:lang w:bidi="ar"/>
                    </w:rPr>
                    <w:t>(四)实验室危险废物转运前提前确定传输路线</w:t>
                  </w:r>
                  <w:r>
                    <w:rPr>
                      <w:rFonts w:hint="eastAsia"/>
                      <w:color w:val="auto"/>
                      <w:kern w:val="0"/>
                      <w:sz w:val="18"/>
                      <w:szCs w:val="18"/>
                      <w:lang w:bidi="ar"/>
                    </w:rPr>
                    <w:t>，</w:t>
                  </w:r>
                  <w:r>
                    <w:rPr>
                      <w:color w:val="auto"/>
                      <w:kern w:val="0"/>
                      <w:sz w:val="18"/>
                      <w:szCs w:val="18"/>
                      <w:lang w:bidi="ar"/>
                    </w:rPr>
                    <w:t>运输路线避开人员聚集地</w:t>
                  </w:r>
                  <w:r>
                    <w:rPr>
                      <w:rFonts w:hint="eastAsia"/>
                      <w:color w:val="auto"/>
                      <w:kern w:val="0"/>
                      <w:sz w:val="18"/>
                      <w:szCs w:val="18"/>
                      <w:lang w:bidi="ar"/>
                    </w:rPr>
                    <w:t>，</w:t>
                  </w:r>
                  <w:r>
                    <w:rPr>
                      <w:color w:val="auto"/>
                      <w:kern w:val="0"/>
                      <w:sz w:val="18"/>
                      <w:szCs w:val="18"/>
                      <w:lang w:bidi="ar"/>
                    </w:rPr>
                    <w:t>转运人员携带必要的个人防护用品和应急物资。</w:t>
                  </w:r>
                </w:p>
                <w:p w14:paraId="32C010C1">
                  <w:pPr>
                    <w:widowControl/>
                    <w:jc w:val="center"/>
                    <w:textAlignment w:val="center"/>
                    <w:rPr>
                      <w:color w:val="auto"/>
                      <w:sz w:val="18"/>
                      <w:szCs w:val="18"/>
                    </w:rPr>
                  </w:pPr>
                  <w:r>
                    <w:rPr>
                      <w:color w:val="auto"/>
                      <w:kern w:val="0"/>
                      <w:sz w:val="18"/>
                      <w:szCs w:val="18"/>
                      <w:lang w:bidi="ar"/>
                    </w:rPr>
                    <w:t>(五)实验室危险废物的运输使用符合安全环保要求的运输工具</w:t>
                  </w:r>
                  <w:r>
                    <w:rPr>
                      <w:rFonts w:hint="eastAsia"/>
                      <w:color w:val="auto"/>
                      <w:kern w:val="0"/>
                      <w:sz w:val="18"/>
                      <w:szCs w:val="18"/>
                      <w:lang w:bidi="ar"/>
                    </w:rPr>
                    <w:t>，</w:t>
                  </w:r>
                  <w:r>
                    <w:rPr>
                      <w:color w:val="auto"/>
                      <w:kern w:val="0"/>
                      <w:sz w:val="18"/>
                      <w:szCs w:val="18"/>
                      <w:lang w:bidi="ar"/>
                    </w:rPr>
                    <w:t>且有封闭的吨袋</w:t>
                  </w:r>
                  <w:r>
                    <w:rPr>
                      <w:rFonts w:hint="eastAsia"/>
                      <w:color w:val="auto"/>
                      <w:kern w:val="0"/>
                      <w:sz w:val="18"/>
                      <w:szCs w:val="18"/>
                      <w:lang w:bidi="ar"/>
                    </w:rPr>
                    <w:t>，</w:t>
                  </w:r>
                  <w:r>
                    <w:rPr>
                      <w:color w:val="auto"/>
                      <w:kern w:val="0"/>
                      <w:sz w:val="18"/>
                      <w:szCs w:val="18"/>
                      <w:lang w:bidi="ar"/>
                    </w:rPr>
                    <w:t>液态废物进行二次包装时</w:t>
                  </w:r>
                  <w:r>
                    <w:rPr>
                      <w:rFonts w:hint="eastAsia"/>
                      <w:color w:val="auto"/>
                      <w:kern w:val="0"/>
                      <w:sz w:val="18"/>
                      <w:szCs w:val="18"/>
                      <w:lang w:bidi="ar"/>
                    </w:rPr>
                    <w:t>，</w:t>
                  </w:r>
                  <w:r>
                    <w:rPr>
                      <w:color w:val="auto"/>
                      <w:kern w:val="0"/>
                      <w:sz w:val="18"/>
                      <w:szCs w:val="18"/>
                      <w:lang w:bidi="ar"/>
                    </w:rPr>
                    <w:t>具有液体泄漏包装设备</w:t>
                  </w:r>
                  <w:r>
                    <w:rPr>
                      <w:rFonts w:hint="eastAsia"/>
                      <w:color w:val="auto"/>
                      <w:kern w:val="0"/>
                      <w:sz w:val="18"/>
                      <w:szCs w:val="18"/>
                      <w:lang w:bidi="ar"/>
                    </w:rPr>
                    <w:t>，</w:t>
                  </w:r>
                  <w:r>
                    <w:rPr>
                      <w:color w:val="auto"/>
                      <w:kern w:val="0"/>
                      <w:sz w:val="18"/>
                      <w:szCs w:val="18"/>
                      <w:lang w:bidi="ar"/>
                    </w:rPr>
                    <w:t>固液废物与液态废物不混放包装</w:t>
                  </w:r>
                  <w:r>
                    <w:rPr>
                      <w:rFonts w:hint="eastAsia"/>
                      <w:color w:val="auto"/>
                      <w:kern w:val="0"/>
                      <w:sz w:val="18"/>
                      <w:szCs w:val="18"/>
                      <w:lang w:bidi="ar"/>
                    </w:rPr>
                    <w:t>；</w:t>
                  </w:r>
                  <w:r>
                    <w:rPr>
                      <w:color w:val="auto"/>
                      <w:kern w:val="0"/>
                      <w:sz w:val="18"/>
                      <w:szCs w:val="18"/>
                      <w:lang w:bidi="ar"/>
                    </w:rPr>
                    <w:t>危险化学品单独包装</w:t>
                  </w:r>
                  <w:r>
                    <w:rPr>
                      <w:rFonts w:hint="eastAsia"/>
                      <w:color w:val="auto"/>
                      <w:kern w:val="0"/>
                      <w:sz w:val="18"/>
                      <w:szCs w:val="18"/>
                      <w:lang w:bidi="ar"/>
                    </w:rPr>
                    <w:t>并</w:t>
                  </w:r>
                  <w:r>
                    <w:rPr>
                      <w:color w:val="auto"/>
                      <w:kern w:val="0"/>
                      <w:sz w:val="18"/>
                      <w:szCs w:val="18"/>
                      <w:lang w:bidi="ar"/>
                    </w:rPr>
                    <w:t>符合安全要求。二次包装标签符合HJ 1276—2022中包装识别标签要求。</w:t>
                  </w:r>
                </w:p>
              </w:tc>
              <w:tc>
                <w:tcPr>
                  <w:tcW w:w="387" w:type="pct"/>
                  <w:tcBorders>
                    <w:right w:val="nil"/>
                  </w:tcBorders>
                  <w:vAlign w:val="center"/>
                </w:tcPr>
                <w:p w14:paraId="0D4F7A15">
                  <w:pPr>
                    <w:widowControl/>
                    <w:jc w:val="center"/>
                    <w:textAlignment w:val="center"/>
                    <w:rPr>
                      <w:color w:val="auto"/>
                      <w:sz w:val="18"/>
                      <w:szCs w:val="18"/>
                    </w:rPr>
                  </w:pPr>
                  <w:r>
                    <w:rPr>
                      <w:color w:val="auto"/>
                      <w:kern w:val="0"/>
                      <w:sz w:val="18"/>
                      <w:szCs w:val="18"/>
                      <w:lang w:bidi="ar"/>
                    </w:rPr>
                    <w:t>符合</w:t>
                  </w:r>
                </w:p>
              </w:tc>
            </w:tr>
          </w:tbl>
          <w:p w14:paraId="1C122C2D">
            <w:pPr>
              <w:numPr>
                <w:ilvl w:val="0"/>
                <w:numId w:val="3"/>
              </w:numPr>
              <w:autoSpaceDE w:val="0"/>
              <w:autoSpaceDN w:val="0"/>
              <w:adjustRightInd w:val="0"/>
              <w:snapToGrid w:val="0"/>
              <w:spacing w:line="500" w:lineRule="exact"/>
              <w:ind w:firstLine="422" w:firstLineChars="200"/>
              <w:jc w:val="left"/>
              <w:rPr>
                <w:rFonts w:ascii="宋体" w:hAnsi="宋体" w:cs="宋体"/>
                <w:b/>
                <w:color w:val="auto"/>
                <w:kern w:val="0"/>
                <w:szCs w:val="21"/>
              </w:rPr>
            </w:pPr>
            <w:r>
              <w:rPr>
                <w:rFonts w:hint="eastAsia" w:ascii="宋体" w:hAnsi="宋体" w:cs="宋体"/>
                <w:b/>
                <w:color w:val="auto"/>
                <w:kern w:val="0"/>
                <w:szCs w:val="21"/>
              </w:rPr>
              <w:t>与《重点管控新污染物清单（2023年版）》、《优先控制化学品名录（第一批）》、《优先控制化学品名录（第二批）》、《优先控制化学品名录（第一批）》、《优先控制化学品名录（第三批）》《有毒有害大气污染物名录（2018年）》、《有毒有害水污染物名录（第一批）》、《有毒有害水污染物名录（第二批）》、</w:t>
            </w:r>
            <w:r>
              <w:rPr>
                <w:rFonts w:hint="eastAsia" w:ascii="宋体" w:hAnsi="宋体" w:cs="宋体"/>
                <w:b/>
                <w:color w:val="auto"/>
                <w:kern w:val="0"/>
                <w:szCs w:val="21"/>
                <w:lang w:eastAsia="zh-CN"/>
              </w:rPr>
              <w:t>《重点控制的土壤有毒有害物质名录（第一批）》、《江苏省重点管控新污染物补充清单（第一批）》、</w:t>
            </w:r>
            <w:r>
              <w:rPr>
                <w:rFonts w:hint="eastAsia" w:ascii="宋体" w:hAnsi="宋体" w:cs="宋体"/>
                <w:b/>
                <w:color w:val="auto"/>
                <w:kern w:val="0"/>
                <w:szCs w:val="21"/>
              </w:rPr>
              <w:t>《省生态环境厅关于加强重点管控新污染物和优先控制化学品环境管理工作的通知》（苏环办〔2023〕314号）的相符性分析</w:t>
            </w:r>
          </w:p>
          <w:p w14:paraId="662E4C38">
            <w:pPr>
              <w:adjustRightInd w:val="0"/>
              <w:snapToGrid w:val="0"/>
              <w:spacing w:line="500" w:lineRule="exact"/>
              <w:ind w:firstLine="420" w:firstLineChars="200"/>
              <w:rPr>
                <w:rFonts w:hint="eastAsia"/>
                <w:bCs/>
                <w:color w:val="auto"/>
                <w:kern w:val="0"/>
                <w:szCs w:val="21"/>
              </w:rPr>
            </w:pPr>
            <w:r>
              <w:rPr>
                <w:rFonts w:hint="eastAsia"/>
                <w:bCs/>
                <w:color w:val="auto"/>
                <w:kern w:val="0"/>
                <w:szCs w:val="21"/>
              </w:rPr>
              <w:t>经对照《重点管控新污染物清单（2023年版）》、《优先控制化学品名录（第一批）》、《优先控制化学品名录（第二批）》、《优先控制化学品名录（第一批）》、《优先控制化学品名录（第三批）》《有毒有害大气污染物名录（2018年）》、《有毒有害水污染物名录（第一批）》、《有毒有害水污染物名录（第二批）》、《重点控制的土壤有毒有害物质名录（第一批）》、《江苏省重点管控新污染物补充清单（第一批）》名录，本项目不涉及新污染物。</w:t>
            </w:r>
          </w:p>
          <w:p w14:paraId="6766E1BE">
            <w:pPr>
              <w:adjustRightInd w:val="0"/>
              <w:snapToGrid w:val="0"/>
              <w:spacing w:line="500" w:lineRule="exact"/>
              <w:ind w:firstLine="422" w:firstLineChars="200"/>
              <w:rPr>
                <w:rFonts w:hint="eastAsia"/>
                <w:b/>
                <w:bCs w:val="0"/>
                <w:color w:val="auto"/>
                <w:kern w:val="0"/>
                <w:szCs w:val="21"/>
                <w:lang w:val="en-US" w:eastAsia="zh-CN"/>
              </w:rPr>
            </w:pPr>
            <w:r>
              <w:rPr>
                <w:rFonts w:hint="eastAsia"/>
                <w:b/>
                <w:bCs w:val="0"/>
                <w:color w:val="auto"/>
                <w:kern w:val="0"/>
                <w:szCs w:val="21"/>
                <w:lang w:eastAsia="zh-CN"/>
              </w:rPr>
              <w:t>（</w:t>
            </w:r>
            <w:r>
              <w:rPr>
                <w:rFonts w:hint="eastAsia"/>
                <w:b/>
                <w:bCs w:val="0"/>
                <w:color w:val="auto"/>
                <w:kern w:val="0"/>
                <w:szCs w:val="21"/>
                <w:lang w:val="en-US" w:eastAsia="zh-CN"/>
              </w:rPr>
              <w:t>5</w:t>
            </w:r>
            <w:r>
              <w:rPr>
                <w:rFonts w:hint="eastAsia"/>
                <w:b/>
                <w:bCs w:val="0"/>
                <w:color w:val="auto"/>
                <w:kern w:val="0"/>
                <w:szCs w:val="21"/>
                <w:lang w:eastAsia="zh-CN"/>
              </w:rPr>
              <w:t>）</w:t>
            </w:r>
            <w:r>
              <w:rPr>
                <w:rFonts w:hint="eastAsia"/>
                <w:b/>
                <w:bCs w:val="0"/>
                <w:color w:val="auto"/>
                <w:kern w:val="0"/>
                <w:szCs w:val="21"/>
                <w:lang w:val="en-US" w:eastAsia="zh-CN"/>
              </w:rPr>
              <w:t>与《消耗臭氧层物质管理条例》、《中国受控消耗臭氧层物质清单》的相符性分析</w:t>
            </w:r>
          </w:p>
          <w:p w14:paraId="65BE428A">
            <w:pPr>
              <w:adjustRightInd w:val="0"/>
              <w:snapToGrid w:val="0"/>
              <w:spacing w:line="500" w:lineRule="exact"/>
              <w:ind w:firstLine="420" w:firstLineChars="200"/>
              <w:rPr>
                <w:rFonts w:hint="default"/>
                <w:bCs/>
                <w:color w:val="auto"/>
                <w:kern w:val="0"/>
                <w:szCs w:val="21"/>
                <w:lang w:val="en-US" w:eastAsia="zh-CN"/>
              </w:rPr>
            </w:pPr>
            <w:r>
              <w:rPr>
                <w:rFonts w:hint="eastAsia"/>
                <w:bCs/>
                <w:color w:val="auto"/>
                <w:kern w:val="0"/>
                <w:szCs w:val="21"/>
                <w:lang w:val="en-US" w:eastAsia="zh-CN"/>
              </w:rPr>
              <w:t>对照《中国受控消耗臭氧层物质清单》（生态环境部、发展改革委、工业和信息化部公告2021年第44号）、《消耗臭氧层物质管理条例》（2023年12月29日国务院令第770号修订），本项目质检实验室少量使用的四氯化碳属于受控消耗臭氧层物质。依据条例第十条，实验室为实验分析少量使用消耗臭氧层物质，不需要申请领取使用配额许可证。项目外购商品化四氯化碳试剂建立试剂出入库台账，含四氯化碳废液、废试剂瓶全部密闭收集，委托有资质单位作为危险废物处置，不直接外排。</w:t>
            </w:r>
          </w:p>
          <w:p w14:paraId="0F9EE766">
            <w:pPr>
              <w:adjustRightInd w:val="0"/>
              <w:snapToGrid w:val="0"/>
              <w:spacing w:line="500" w:lineRule="exact"/>
              <w:ind w:firstLine="422" w:firstLineChars="200"/>
              <w:rPr>
                <w:rFonts w:hint="eastAsia"/>
                <w:b/>
                <w:bCs w:val="0"/>
                <w:color w:val="auto"/>
                <w:kern w:val="0"/>
                <w:szCs w:val="21"/>
                <w:lang w:val="en-US" w:eastAsia="zh-CN"/>
              </w:rPr>
            </w:pPr>
            <w:r>
              <w:rPr>
                <w:rFonts w:hint="eastAsia"/>
                <w:b/>
                <w:bCs w:val="0"/>
                <w:color w:val="auto"/>
                <w:kern w:val="0"/>
                <w:szCs w:val="21"/>
                <w:lang w:val="en-US" w:eastAsia="zh-CN"/>
              </w:rPr>
              <w:t>（6）与《关于做好生态环境和应急管理部门联动工作的意见》（苏环办〔2020〕101）的相符性分析</w:t>
            </w:r>
          </w:p>
          <w:p w14:paraId="29B2CE4F">
            <w:pPr>
              <w:spacing w:line="500" w:lineRule="exact"/>
              <w:ind w:firstLine="420" w:firstLineChars="200"/>
              <w:rPr>
                <w:rFonts w:ascii="宋体" w:hAnsi="宋体" w:cs="宋体"/>
                <w:b/>
                <w:color w:val="auto"/>
                <w:kern w:val="0"/>
                <w:szCs w:val="21"/>
              </w:rPr>
            </w:pPr>
            <w:r>
              <w:rPr>
                <w:rFonts w:hint="eastAsia"/>
                <w:color w:val="auto"/>
              </w:rPr>
              <w:t>本</w:t>
            </w:r>
            <w:r>
              <w:rPr>
                <w:bCs/>
                <w:color w:val="auto"/>
              </w:rPr>
              <w:t>项目与</w:t>
            </w:r>
            <w:r>
              <w:rPr>
                <w:rFonts w:hint="eastAsia"/>
                <w:bCs/>
                <w:color w:val="auto"/>
              </w:rPr>
              <w:t>《关于做好生态环境和应急管理部门联动工作的意见》（苏环办</w:t>
            </w:r>
            <w:r>
              <w:rPr>
                <w:rFonts w:hint="eastAsia"/>
                <w:bCs/>
                <w:color w:val="auto"/>
                <w:lang w:eastAsia="zh-CN"/>
              </w:rPr>
              <w:t>〔2020〕</w:t>
            </w:r>
            <w:r>
              <w:rPr>
                <w:rFonts w:hint="eastAsia"/>
                <w:bCs/>
                <w:color w:val="auto"/>
              </w:rPr>
              <w:t>101）</w:t>
            </w:r>
            <w:r>
              <w:rPr>
                <w:bCs/>
                <w:color w:val="auto"/>
              </w:rPr>
              <w:t>相关要求的相符性见表1-</w:t>
            </w:r>
            <w:r>
              <w:rPr>
                <w:rFonts w:hint="eastAsia"/>
                <w:bCs/>
                <w:color w:val="auto"/>
              </w:rPr>
              <w:t>9</w:t>
            </w:r>
            <w:r>
              <w:rPr>
                <w:bCs/>
                <w:color w:val="auto"/>
              </w:rPr>
              <w:t>，</w:t>
            </w:r>
            <w:r>
              <w:rPr>
                <w:color w:val="auto"/>
              </w:rPr>
              <w:t>由表可见，本项目与</w:t>
            </w:r>
            <w:r>
              <w:rPr>
                <w:rFonts w:hint="eastAsia"/>
                <w:bCs/>
                <w:color w:val="auto"/>
              </w:rPr>
              <w:t>《关于做好生态环境和应急管理部门联动工作的意见》（苏环办</w:t>
            </w:r>
            <w:r>
              <w:rPr>
                <w:rFonts w:hint="eastAsia"/>
                <w:bCs/>
                <w:color w:val="auto"/>
                <w:lang w:eastAsia="zh-CN"/>
              </w:rPr>
              <w:t>〔2020〕</w:t>
            </w:r>
            <w:r>
              <w:rPr>
                <w:rFonts w:hint="eastAsia"/>
                <w:bCs/>
                <w:color w:val="auto"/>
              </w:rPr>
              <w:t>101）</w:t>
            </w:r>
            <w:r>
              <w:rPr>
                <w:bCs/>
                <w:color w:val="auto"/>
              </w:rPr>
              <w:t>要求相符。</w:t>
            </w:r>
          </w:p>
          <w:p w14:paraId="5E1FEAFA">
            <w:pPr>
              <w:snapToGrid w:val="0"/>
              <w:spacing w:line="500" w:lineRule="exact"/>
              <w:jc w:val="center"/>
              <w:rPr>
                <w:b/>
                <w:color w:val="auto"/>
                <w:szCs w:val="21"/>
              </w:rPr>
            </w:pPr>
            <w:r>
              <w:rPr>
                <w:rFonts w:hint="eastAsia"/>
                <w:b/>
                <w:color w:val="auto"/>
                <w:szCs w:val="21"/>
              </w:rPr>
              <w:t>表1</w:t>
            </w:r>
            <w:r>
              <w:rPr>
                <w:b/>
                <w:color w:val="auto"/>
                <w:szCs w:val="21"/>
              </w:rPr>
              <w:t>-</w:t>
            </w:r>
            <w:r>
              <w:rPr>
                <w:rFonts w:hint="eastAsia"/>
                <w:b/>
                <w:color w:val="auto"/>
                <w:szCs w:val="21"/>
              </w:rPr>
              <w:t>9</w:t>
            </w:r>
            <w:r>
              <w:rPr>
                <w:b/>
                <w:color w:val="auto"/>
                <w:szCs w:val="21"/>
              </w:rPr>
              <w:t xml:space="preserve">  </w:t>
            </w:r>
            <w:r>
              <w:rPr>
                <w:rFonts w:hint="eastAsia"/>
                <w:b/>
                <w:color w:val="auto"/>
                <w:szCs w:val="21"/>
              </w:rPr>
              <w:t>本项目与苏环办</w:t>
            </w:r>
            <w:r>
              <w:rPr>
                <w:rFonts w:hint="eastAsia"/>
                <w:b/>
                <w:color w:val="auto"/>
                <w:szCs w:val="21"/>
                <w:lang w:eastAsia="zh-CN"/>
              </w:rPr>
              <w:t>〔2020〕101号</w:t>
            </w:r>
            <w:r>
              <w:rPr>
                <w:rFonts w:hint="eastAsia"/>
                <w:b/>
                <w:color w:val="auto"/>
                <w:szCs w:val="21"/>
              </w:rPr>
              <w:t>文相符性分析</w:t>
            </w:r>
          </w:p>
          <w:tbl>
            <w:tblPr>
              <w:tblStyle w:val="22"/>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54"/>
              <w:gridCol w:w="1043"/>
              <w:gridCol w:w="2747"/>
              <w:gridCol w:w="2421"/>
              <w:gridCol w:w="841"/>
            </w:tblGrid>
            <w:tr w14:paraId="57BD4A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02" w:type="pct"/>
                  <w:vAlign w:val="center"/>
                </w:tcPr>
                <w:p w14:paraId="09865822">
                  <w:pPr>
                    <w:pStyle w:val="76"/>
                    <w:jc w:val="center"/>
                    <w:rPr>
                      <w:rFonts w:eastAsia="宋体"/>
                      <w:b/>
                      <w:bCs/>
                      <w:color w:val="auto"/>
                      <w:sz w:val="18"/>
                      <w:szCs w:val="18"/>
                    </w:rPr>
                  </w:pPr>
                  <w:r>
                    <w:rPr>
                      <w:rFonts w:hint="eastAsia" w:eastAsia="宋体"/>
                      <w:b/>
                      <w:bCs/>
                      <w:color w:val="auto"/>
                      <w:sz w:val="18"/>
                      <w:szCs w:val="18"/>
                    </w:rPr>
                    <w:t>序号</w:t>
                  </w:r>
                </w:p>
              </w:tc>
              <w:tc>
                <w:tcPr>
                  <w:tcW w:w="2524" w:type="pct"/>
                  <w:gridSpan w:val="2"/>
                  <w:vAlign w:val="center"/>
                </w:tcPr>
                <w:p w14:paraId="01EFC5A1">
                  <w:pPr>
                    <w:pStyle w:val="76"/>
                    <w:jc w:val="center"/>
                    <w:rPr>
                      <w:rFonts w:eastAsia="宋体"/>
                      <w:b/>
                      <w:bCs/>
                      <w:color w:val="auto"/>
                      <w:sz w:val="18"/>
                      <w:szCs w:val="18"/>
                    </w:rPr>
                  </w:pPr>
                  <w:r>
                    <w:rPr>
                      <w:rFonts w:hint="eastAsia" w:eastAsia="宋体"/>
                      <w:b/>
                      <w:bCs/>
                      <w:color w:val="auto"/>
                      <w:sz w:val="18"/>
                      <w:szCs w:val="18"/>
                    </w:rPr>
                    <w:t>具体要求</w:t>
                  </w:r>
                </w:p>
              </w:tc>
              <w:tc>
                <w:tcPr>
                  <w:tcW w:w="1613" w:type="pct"/>
                  <w:vAlign w:val="center"/>
                </w:tcPr>
                <w:p w14:paraId="667D6A95">
                  <w:pPr>
                    <w:pStyle w:val="76"/>
                    <w:jc w:val="center"/>
                    <w:rPr>
                      <w:rFonts w:eastAsia="宋体"/>
                      <w:b/>
                      <w:bCs/>
                      <w:color w:val="auto"/>
                      <w:sz w:val="18"/>
                      <w:szCs w:val="18"/>
                    </w:rPr>
                  </w:pPr>
                  <w:r>
                    <w:rPr>
                      <w:rFonts w:hint="eastAsia" w:eastAsia="宋体"/>
                      <w:b/>
                      <w:bCs/>
                      <w:color w:val="auto"/>
                      <w:sz w:val="18"/>
                      <w:szCs w:val="18"/>
                    </w:rPr>
                    <w:t>本项目情况</w:t>
                  </w:r>
                </w:p>
              </w:tc>
              <w:tc>
                <w:tcPr>
                  <w:tcW w:w="560" w:type="pct"/>
                  <w:vAlign w:val="center"/>
                </w:tcPr>
                <w:p w14:paraId="746EBFB4">
                  <w:pPr>
                    <w:pStyle w:val="76"/>
                    <w:jc w:val="center"/>
                    <w:rPr>
                      <w:rFonts w:eastAsia="宋体"/>
                      <w:b/>
                      <w:bCs/>
                      <w:color w:val="auto"/>
                      <w:sz w:val="18"/>
                      <w:szCs w:val="18"/>
                    </w:rPr>
                  </w:pPr>
                  <w:r>
                    <w:rPr>
                      <w:rFonts w:hint="eastAsia" w:eastAsia="宋体"/>
                      <w:b/>
                      <w:bCs/>
                      <w:color w:val="auto"/>
                      <w:sz w:val="18"/>
                      <w:szCs w:val="18"/>
                    </w:rPr>
                    <w:t>是否相符</w:t>
                  </w:r>
                </w:p>
              </w:tc>
            </w:tr>
            <w:tr w14:paraId="3876B0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02" w:type="pct"/>
                  <w:vAlign w:val="center"/>
                </w:tcPr>
                <w:p w14:paraId="13E42402">
                  <w:pPr>
                    <w:pStyle w:val="76"/>
                    <w:rPr>
                      <w:rFonts w:eastAsia="宋体"/>
                      <w:color w:val="auto"/>
                      <w:sz w:val="18"/>
                      <w:szCs w:val="18"/>
                    </w:rPr>
                  </w:pPr>
                  <w:r>
                    <w:rPr>
                      <w:rFonts w:hint="eastAsia" w:eastAsia="宋体"/>
                      <w:color w:val="auto"/>
                      <w:sz w:val="18"/>
                      <w:szCs w:val="18"/>
                    </w:rPr>
                    <w:t>1</w:t>
                  </w:r>
                </w:p>
              </w:tc>
              <w:tc>
                <w:tcPr>
                  <w:tcW w:w="695" w:type="pct"/>
                  <w:vAlign w:val="center"/>
                </w:tcPr>
                <w:p w14:paraId="32461255">
                  <w:pPr>
                    <w:pStyle w:val="76"/>
                    <w:rPr>
                      <w:rFonts w:eastAsia="宋体"/>
                      <w:color w:val="auto"/>
                      <w:sz w:val="18"/>
                      <w:szCs w:val="18"/>
                    </w:rPr>
                  </w:pPr>
                  <w:r>
                    <w:rPr>
                      <w:rFonts w:hint="eastAsia" w:eastAsia="宋体"/>
                      <w:color w:val="auto"/>
                      <w:sz w:val="18"/>
                      <w:szCs w:val="18"/>
                    </w:rPr>
                    <w:t>建立危险废物监管联动机制</w:t>
                  </w:r>
                </w:p>
              </w:tc>
              <w:tc>
                <w:tcPr>
                  <w:tcW w:w="1830" w:type="pct"/>
                  <w:vAlign w:val="center"/>
                </w:tcPr>
                <w:p w14:paraId="453A03CC">
                  <w:pPr>
                    <w:pStyle w:val="76"/>
                    <w:rPr>
                      <w:rFonts w:eastAsia="宋体"/>
                      <w:color w:val="auto"/>
                      <w:sz w:val="18"/>
                      <w:szCs w:val="18"/>
                    </w:rPr>
                  </w:pPr>
                  <w:r>
                    <w:rPr>
                      <w:rFonts w:hint="eastAsia" w:eastAsia="宋体"/>
                      <w:color w:val="auto"/>
                      <w:sz w:val="18"/>
                      <w:szCs w:val="18"/>
                    </w:rPr>
                    <w:t>企业法定代表人和实际控制人是企业废弃危险化学品等危险废物安全环保全过程管理的第一责任人。企业要切实履行好从危险废物产生、收集、贮存、运输、利用、处置等环节各项环保和安全职责；要制定危险废物管理计划并报属地生态环境部门备案。申请备案时，对废弃危险化学品、物理危险性尚不确定、根据相关文件无法认定达到稳定化要求的，要提供有资质单位出具的化学品物理危险性报告及其他证明材料，认定达到稳定化要求。</w:t>
                  </w:r>
                </w:p>
              </w:tc>
              <w:tc>
                <w:tcPr>
                  <w:tcW w:w="1613" w:type="pct"/>
                  <w:vAlign w:val="center"/>
                </w:tcPr>
                <w:p w14:paraId="5DB0766F">
                  <w:pPr>
                    <w:pStyle w:val="76"/>
                    <w:rPr>
                      <w:rFonts w:eastAsia="宋体"/>
                      <w:color w:val="auto"/>
                      <w:sz w:val="18"/>
                      <w:szCs w:val="18"/>
                    </w:rPr>
                  </w:pPr>
                  <w:r>
                    <w:rPr>
                      <w:rFonts w:hint="eastAsia" w:eastAsia="宋体"/>
                      <w:color w:val="auto"/>
                      <w:sz w:val="18"/>
                      <w:szCs w:val="18"/>
                    </w:rPr>
                    <w:t>企业将履行好从危废产生、收集、贮存、运输、利用、处置等各环节安全和环保职责，并制定危废管理计划，同时报生态环境部门备案。</w:t>
                  </w:r>
                </w:p>
              </w:tc>
              <w:tc>
                <w:tcPr>
                  <w:tcW w:w="560" w:type="pct"/>
                  <w:vAlign w:val="center"/>
                </w:tcPr>
                <w:p w14:paraId="55BC6B8C">
                  <w:pPr>
                    <w:pStyle w:val="76"/>
                    <w:rPr>
                      <w:rFonts w:eastAsia="宋体"/>
                      <w:color w:val="auto"/>
                      <w:sz w:val="18"/>
                      <w:szCs w:val="18"/>
                    </w:rPr>
                  </w:pPr>
                  <w:r>
                    <w:rPr>
                      <w:rFonts w:hint="eastAsia" w:eastAsia="宋体"/>
                      <w:color w:val="auto"/>
                      <w:sz w:val="18"/>
                      <w:szCs w:val="18"/>
                    </w:rPr>
                    <w:t>相符</w:t>
                  </w:r>
                </w:p>
              </w:tc>
            </w:tr>
            <w:tr w14:paraId="45B1A8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02" w:type="pct"/>
                  <w:vAlign w:val="center"/>
                </w:tcPr>
                <w:p w14:paraId="3C6E507C">
                  <w:pPr>
                    <w:pStyle w:val="76"/>
                    <w:rPr>
                      <w:rFonts w:eastAsia="宋体"/>
                      <w:color w:val="auto"/>
                      <w:sz w:val="18"/>
                      <w:szCs w:val="18"/>
                    </w:rPr>
                  </w:pPr>
                  <w:r>
                    <w:rPr>
                      <w:rFonts w:hint="eastAsia" w:eastAsia="宋体"/>
                      <w:color w:val="auto"/>
                      <w:sz w:val="18"/>
                      <w:szCs w:val="18"/>
                    </w:rPr>
                    <w:t>2</w:t>
                  </w:r>
                </w:p>
              </w:tc>
              <w:tc>
                <w:tcPr>
                  <w:tcW w:w="695" w:type="pct"/>
                  <w:vAlign w:val="center"/>
                </w:tcPr>
                <w:p w14:paraId="6F127D76">
                  <w:pPr>
                    <w:pStyle w:val="76"/>
                    <w:rPr>
                      <w:rFonts w:eastAsia="宋体"/>
                      <w:color w:val="auto"/>
                      <w:sz w:val="18"/>
                      <w:szCs w:val="18"/>
                    </w:rPr>
                  </w:pPr>
                  <w:r>
                    <w:rPr>
                      <w:rFonts w:hint="eastAsia" w:eastAsia="宋体"/>
                      <w:color w:val="auto"/>
                      <w:sz w:val="18"/>
                      <w:szCs w:val="18"/>
                    </w:rPr>
                    <w:t>建立环境治理设施监管联动机制</w:t>
                  </w:r>
                </w:p>
              </w:tc>
              <w:tc>
                <w:tcPr>
                  <w:tcW w:w="1830" w:type="pct"/>
                  <w:vAlign w:val="center"/>
                </w:tcPr>
                <w:p w14:paraId="3363FE98">
                  <w:pPr>
                    <w:pStyle w:val="76"/>
                    <w:rPr>
                      <w:rFonts w:eastAsia="宋体"/>
                      <w:color w:val="auto"/>
                      <w:sz w:val="18"/>
                      <w:szCs w:val="18"/>
                    </w:rPr>
                  </w:pPr>
                  <w:r>
                    <w:rPr>
                      <w:rFonts w:hint="eastAsia" w:eastAsia="宋体"/>
                      <w:color w:val="auto"/>
                      <w:sz w:val="18"/>
                      <w:szCs w:val="18"/>
                    </w:rPr>
                    <w:t>企业是各类环境治理设施建设、运行、维护、拆除的责任主体。企业要对脱硫脱硝、煤改气、挥发性有机物回收、污水处理、粉尘治理、RTO焚烧炉等六类环境治理设施开展安全风险辨识管控，要健全内部污染防治设施稳定运行和管理责任制度，严格依据标准规范建设环境治理设施，确保环境治理设施安全、稳定、有效运行。</w:t>
                  </w:r>
                </w:p>
              </w:tc>
              <w:tc>
                <w:tcPr>
                  <w:tcW w:w="1613" w:type="pct"/>
                  <w:vAlign w:val="center"/>
                </w:tcPr>
                <w:p w14:paraId="1E2AE842">
                  <w:pPr>
                    <w:pStyle w:val="76"/>
                    <w:rPr>
                      <w:rFonts w:eastAsia="宋体"/>
                      <w:color w:val="auto"/>
                      <w:sz w:val="18"/>
                      <w:szCs w:val="18"/>
                    </w:rPr>
                  </w:pPr>
                  <w:r>
                    <w:rPr>
                      <w:rFonts w:hint="eastAsia" w:eastAsia="宋体"/>
                      <w:color w:val="auto"/>
                      <w:sz w:val="18"/>
                      <w:szCs w:val="18"/>
                    </w:rPr>
                    <w:t>建立污染防治设施稳定运行和管理责任制度，严格依据标准规范建设环境治理设施，确保环境治理设施安全、稳定、有效运行。</w:t>
                  </w:r>
                </w:p>
              </w:tc>
              <w:tc>
                <w:tcPr>
                  <w:tcW w:w="560" w:type="pct"/>
                  <w:vAlign w:val="center"/>
                </w:tcPr>
                <w:p w14:paraId="6F1CFA0D">
                  <w:pPr>
                    <w:pStyle w:val="76"/>
                    <w:rPr>
                      <w:rFonts w:eastAsia="宋体"/>
                      <w:color w:val="auto"/>
                      <w:sz w:val="18"/>
                      <w:szCs w:val="18"/>
                    </w:rPr>
                  </w:pPr>
                  <w:r>
                    <w:rPr>
                      <w:rFonts w:hint="eastAsia" w:eastAsia="宋体"/>
                      <w:color w:val="auto"/>
                      <w:sz w:val="18"/>
                      <w:szCs w:val="18"/>
                    </w:rPr>
                    <w:t>相符</w:t>
                  </w:r>
                </w:p>
              </w:tc>
            </w:tr>
          </w:tbl>
          <w:p w14:paraId="2EE8699B">
            <w:pPr>
              <w:autoSpaceDE w:val="0"/>
              <w:autoSpaceDN w:val="0"/>
              <w:adjustRightInd w:val="0"/>
              <w:snapToGrid w:val="0"/>
              <w:spacing w:line="500" w:lineRule="exact"/>
              <w:ind w:firstLine="422" w:firstLineChars="200"/>
              <w:jc w:val="left"/>
              <w:rPr>
                <w:rFonts w:ascii="宋体" w:hAnsi="宋体" w:cs="宋体"/>
                <w:b/>
                <w:color w:val="auto"/>
                <w:kern w:val="0"/>
                <w:szCs w:val="21"/>
              </w:rPr>
            </w:pPr>
            <w:r>
              <w:rPr>
                <w:rFonts w:hint="eastAsia" w:ascii="宋体" w:hAnsi="宋体" w:cs="宋体"/>
                <w:b/>
                <w:color w:val="auto"/>
                <w:kern w:val="0"/>
                <w:szCs w:val="21"/>
              </w:rPr>
              <w:t>（7）与《全省生态环境安全与应急管理强基提能三年行动计划》（苏环发〔2023〕5号）相符性分析</w:t>
            </w:r>
          </w:p>
          <w:p w14:paraId="6C215EE4">
            <w:pPr>
              <w:spacing w:line="500" w:lineRule="exact"/>
              <w:ind w:firstLine="420" w:firstLineChars="200"/>
              <w:rPr>
                <w:b/>
                <w:color w:val="auto"/>
                <w:szCs w:val="21"/>
              </w:rPr>
            </w:pPr>
            <w:r>
              <w:rPr>
                <w:rFonts w:hint="eastAsia"/>
                <w:color w:val="auto"/>
              </w:rPr>
              <w:t>本</w:t>
            </w:r>
            <w:r>
              <w:rPr>
                <w:bCs/>
                <w:color w:val="auto"/>
              </w:rPr>
              <w:t>项目与</w:t>
            </w:r>
            <w:r>
              <w:rPr>
                <w:rFonts w:hint="eastAsia"/>
                <w:bCs/>
                <w:color w:val="auto"/>
              </w:rPr>
              <w:t>《全省生态环境安全与应急管理强基提能三年行动计划》（苏环发〔2023〕5号）</w:t>
            </w:r>
            <w:r>
              <w:rPr>
                <w:bCs/>
                <w:color w:val="auto"/>
              </w:rPr>
              <w:t>相关要求的相符性见表1-1</w:t>
            </w:r>
            <w:r>
              <w:rPr>
                <w:rFonts w:hint="eastAsia"/>
                <w:bCs/>
                <w:color w:val="auto"/>
              </w:rPr>
              <w:t>0</w:t>
            </w:r>
            <w:r>
              <w:rPr>
                <w:bCs/>
                <w:color w:val="auto"/>
              </w:rPr>
              <w:t>，</w:t>
            </w:r>
            <w:r>
              <w:rPr>
                <w:color w:val="auto"/>
              </w:rPr>
              <w:t>由表可见，本项目与</w:t>
            </w:r>
            <w:r>
              <w:rPr>
                <w:rFonts w:hint="eastAsia"/>
                <w:bCs/>
                <w:color w:val="auto"/>
              </w:rPr>
              <w:t>《全省生态环境安全与应急管理强基提能三年行动计划》（苏环发〔2023〕5号）</w:t>
            </w:r>
            <w:r>
              <w:rPr>
                <w:bCs/>
                <w:color w:val="auto"/>
              </w:rPr>
              <w:t>要求相符。</w:t>
            </w:r>
          </w:p>
          <w:p w14:paraId="1C1F59D6">
            <w:pPr>
              <w:snapToGrid w:val="0"/>
              <w:spacing w:line="500" w:lineRule="exact"/>
              <w:jc w:val="center"/>
              <w:rPr>
                <w:b/>
                <w:color w:val="auto"/>
                <w:szCs w:val="21"/>
              </w:rPr>
            </w:pPr>
            <w:r>
              <w:rPr>
                <w:rFonts w:hint="eastAsia"/>
                <w:b/>
                <w:color w:val="auto"/>
                <w:szCs w:val="21"/>
              </w:rPr>
              <w:t>表1-10 与《全省生态环境安全与应急管理强基提能三年行动计划》（苏环发〔2023〕5号）相符性</w:t>
            </w:r>
          </w:p>
          <w:tbl>
            <w:tblPr>
              <w:tblStyle w:val="21"/>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07"/>
              <w:gridCol w:w="4284"/>
              <w:gridCol w:w="1603"/>
              <w:gridCol w:w="712"/>
            </w:tblGrid>
            <w:tr w14:paraId="4BCC3D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04" w:type="pct"/>
                  <w:vAlign w:val="center"/>
                </w:tcPr>
                <w:p w14:paraId="664B90A1">
                  <w:pPr>
                    <w:adjustRightInd w:val="0"/>
                    <w:snapToGrid w:val="0"/>
                    <w:jc w:val="center"/>
                    <w:rPr>
                      <w:b/>
                      <w:color w:val="auto"/>
                      <w:sz w:val="18"/>
                      <w:szCs w:val="18"/>
                    </w:rPr>
                  </w:pPr>
                  <w:r>
                    <w:rPr>
                      <w:b/>
                      <w:color w:val="auto"/>
                      <w:sz w:val="18"/>
                      <w:szCs w:val="18"/>
                    </w:rPr>
                    <w:t>项目</w:t>
                  </w:r>
                </w:p>
              </w:tc>
              <w:tc>
                <w:tcPr>
                  <w:tcW w:w="2854" w:type="pct"/>
                  <w:vAlign w:val="center"/>
                </w:tcPr>
                <w:p w14:paraId="187194CC">
                  <w:pPr>
                    <w:tabs>
                      <w:tab w:val="left" w:pos="0"/>
                      <w:tab w:val="left" w:pos="870"/>
                      <w:tab w:val="left" w:pos="3150"/>
                    </w:tabs>
                    <w:autoSpaceDE w:val="0"/>
                    <w:autoSpaceDN w:val="0"/>
                    <w:adjustRightInd w:val="0"/>
                    <w:snapToGrid w:val="0"/>
                    <w:jc w:val="center"/>
                    <w:rPr>
                      <w:b/>
                      <w:color w:val="auto"/>
                      <w:sz w:val="18"/>
                      <w:szCs w:val="18"/>
                    </w:rPr>
                  </w:pPr>
                  <w:r>
                    <w:rPr>
                      <w:b/>
                      <w:color w:val="auto"/>
                      <w:sz w:val="18"/>
                      <w:szCs w:val="18"/>
                    </w:rPr>
                    <w:t>文件要求</w:t>
                  </w:r>
                </w:p>
              </w:tc>
              <w:tc>
                <w:tcPr>
                  <w:tcW w:w="1068" w:type="pct"/>
                  <w:vAlign w:val="center"/>
                </w:tcPr>
                <w:p w14:paraId="4174B7F2">
                  <w:pPr>
                    <w:tabs>
                      <w:tab w:val="left" w:pos="0"/>
                      <w:tab w:val="left" w:pos="870"/>
                      <w:tab w:val="left" w:pos="3150"/>
                    </w:tabs>
                    <w:autoSpaceDE w:val="0"/>
                    <w:autoSpaceDN w:val="0"/>
                    <w:adjustRightInd w:val="0"/>
                    <w:snapToGrid w:val="0"/>
                    <w:jc w:val="center"/>
                    <w:rPr>
                      <w:b/>
                      <w:color w:val="auto"/>
                      <w:sz w:val="18"/>
                      <w:szCs w:val="18"/>
                    </w:rPr>
                  </w:pPr>
                  <w:r>
                    <w:rPr>
                      <w:b/>
                      <w:color w:val="auto"/>
                      <w:sz w:val="18"/>
                      <w:szCs w:val="18"/>
                    </w:rPr>
                    <w:t>本项目情况</w:t>
                  </w:r>
                </w:p>
              </w:tc>
              <w:tc>
                <w:tcPr>
                  <w:tcW w:w="474" w:type="pct"/>
                  <w:vAlign w:val="center"/>
                </w:tcPr>
                <w:p w14:paraId="3A428203">
                  <w:pPr>
                    <w:tabs>
                      <w:tab w:val="left" w:pos="0"/>
                      <w:tab w:val="left" w:pos="870"/>
                      <w:tab w:val="left" w:pos="3150"/>
                    </w:tabs>
                    <w:autoSpaceDE w:val="0"/>
                    <w:autoSpaceDN w:val="0"/>
                    <w:adjustRightInd w:val="0"/>
                    <w:snapToGrid w:val="0"/>
                    <w:jc w:val="center"/>
                    <w:rPr>
                      <w:b/>
                      <w:color w:val="auto"/>
                      <w:sz w:val="18"/>
                      <w:szCs w:val="18"/>
                    </w:rPr>
                  </w:pPr>
                  <w:r>
                    <w:rPr>
                      <w:b/>
                      <w:color w:val="auto"/>
                      <w:sz w:val="18"/>
                      <w:szCs w:val="18"/>
                    </w:rPr>
                    <w:t>符合性</w:t>
                  </w:r>
                </w:p>
              </w:tc>
            </w:tr>
            <w:tr w14:paraId="2C2F83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04" w:type="pct"/>
                  <w:vMerge w:val="restart"/>
                  <w:vAlign w:val="center"/>
                </w:tcPr>
                <w:p w14:paraId="0EAEDAE8">
                  <w:pPr>
                    <w:adjustRightInd w:val="0"/>
                    <w:snapToGrid w:val="0"/>
                    <w:jc w:val="center"/>
                    <w:rPr>
                      <w:color w:val="auto"/>
                      <w:sz w:val="18"/>
                      <w:szCs w:val="18"/>
                    </w:rPr>
                  </w:pPr>
                  <w:r>
                    <w:rPr>
                      <w:color w:val="auto"/>
                      <w:sz w:val="18"/>
                      <w:szCs w:val="18"/>
                    </w:rPr>
                    <w:t>二、重点任务</w:t>
                  </w:r>
                </w:p>
              </w:tc>
              <w:tc>
                <w:tcPr>
                  <w:tcW w:w="2854" w:type="pct"/>
                  <w:vAlign w:val="center"/>
                </w:tcPr>
                <w:p w14:paraId="12854334">
                  <w:pPr>
                    <w:adjustRightInd w:val="0"/>
                    <w:snapToGrid w:val="0"/>
                    <w:jc w:val="center"/>
                    <w:rPr>
                      <w:color w:val="auto"/>
                      <w:sz w:val="18"/>
                      <w:szCs w:val="18"/>
                    </w:rPr>
                  </w:pPr>
                  <w:r>
                    <w:rPr>
                      <w:color w:val="auto"/>
                      <w:sz w:val="18"/>
                      <w:szCs w:val="18"/>
                    </w:rPr>
                    <w:t>（一）开展风险企业“三推动一强化”行动，有效提升本质环境安全水平</w:t>
                  </w:r>
                </w:p>
                <w:p w14:paraId="1824F3D7">
                  <w:pPr>
                    <w:adjustRightInd w:val="0"/>
                    <w:snapToGrid w:val="0"/>
                    <w:jc w:val="center"/>
                    <w:rPr>
                      <w:color w:val="auto"/>
                      <w:sz w:val="18"/>
                      <w:szCs w:val="18"/>
                    </w:rPr>
                  </w:pPr>
                  <w:r>
                    <w:rPr>
                      <w:color w:val="auto"/>
                      <w:sz w:val="18"/>
                      <w:szCs w:val="18"/>
                    </w:rPr>
                    <w:t>1.推动环境安全主体责任落实。建立企业环境安全责任“三落实三必须”机制。落实主要负责人环境安全第一责任人责任，必须对企业环境风险物质和点位全部知晓、风险防控体系全部明晰；落实环保负责人主管责任，必须对企业风险源防控应对措施、应急物资和救援力量情况全部知晓；落实岗位人员直接责任，必须对应急处置措施、应急设施设备操作规程熟练掌握。企业“三落实三必须”执行情况纳入常态化环境安全隐患排查内容，执行不到位的，作为重大隐患进行整治。</w:t>
                  </w:r>
                </w:p>
              </w:tc>
              <w:tc>
                <w:tcPr>
                  <w:tcW w:w="1068" w:type="pct"/>
                  <w:vAlign w:val="center"/>
                </w:tcPr>
                <w:p w14:paraId="4AB3B8C9">
                  <w:pPr>
                    <w:adjustRightInd w:val="0"/>
                    <w:snapToGrid w:val="0"/>
                    <w:jc w:val="center"/>
                    <w:rPr>
                      <w:color w:val="auto"/>
                      <w:sz w:val="18"/>
                      <w:szCs w:val="18"/>
                    </w:rPr>
                  </w:pPr>
                  <w:r>
                    <w:rPr>
                      <w:rFonts w:hint="eastAsia"/>
                      <w:color w:val="auto"/>
                      <w:sz w:val="18"/>
                      <w:szCs w:val="18"/>
                    </w:rPr>
                    <w:t>瑞兆科</w:t>
                  </w:r>
                  <w:r>
                    <w:rPr>
                      <w:color w:val="auto"/>
                      <w:sz w:val="18"/>
                      <w:szCs w:val="18"/>
                    </w:rPr>
                    <w:t>公司已建立企业环境安全责任“三落实三必须”机制，落实主要负责人环境安全第一责任人责任，对企业环境风险物质和点位全部知晓、风险防控体系全部明晰。</w:t>
                  </w:r>
                </w:p>
              </w:tc>
              <w:tc>
                <w:tcPr>
                  <w:tcW w:w="474" w:type="pct"/>
                  <w:vAlign w:val="center"/>
                </w:tcPr>
                <w:p w14:paraId="575C9B23">
                  <w:pPr>
                    <w:adjustRightInd w:val="0"/>
                    <w:snapToGrid w:val="0"/>
                    <w:jc w:val="center"/>
                    <w:rPr>
                      <w:color w:val="auto"/>
                      <w:sz w:val="18"/>
                      <w:szCs w:val="18"/>
                    </w:rPr>
                  </w:pPr>
                  <w:r>
                    <w:rPr>
                      <w:color w:val="auto"/>
                      <w:sz w:val="18"/>
                      <w:szCs w:val="18"/>
                    </w:rPr>
                    <w:t>符合</w:t>
                  </w:r>
                </w:p>
              </w:tc>
            </w:tr>
            <w:tr w14:paraId="744D59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04" w:type="pct"/>
                  <w:vMerge w:val="continue"/>
                  <w:vAlign w:val="center"/>
                </w:tcPr>
                <w:p w14:paraId="3DB6F20D">
                  <w:pPr>
                    <w:adjustRightInd w:val="0"/>
                    <w:snapToGrid w:val="0"/>
                    <w:jc w:val="center"/>
                    <w:rPr>
                      <w:color w:val="auto"/>
                      <w:sz w:val="18"/>
                      <w:szCs w:val="18"/>
                    </w:rPr>
                  </w:pPr>
                </w:p>
              </w:tc>
              <w:tc>
                <w:tcPr>
                  <w:tcW w:w="2854" w:type="pct"/>
                  <w:vAlign w:val="center"/>
                </w:tcPr>
                <w:p w14:paraId="11DF764A">
                  <w:pPr>
                    <w:adjustRightInd w:val="0"/>
                    <w:snapToGrid w:val="0"/>
                    <w:jc w:val="center"/>
                    <w:rPr>
                      <w:color w:val="auto"/>
                      <w:sz w:val="18"/>
                      <w:szCs w:val="18"/>
                    </w:rPr>
                  </w:pPr>
                  <w:r>
                    <w:rPr>
                      <w:color w:val="auto"/>
                      <w:sz w:val="18"/>
                      <w:szCs w:val="18"/>
                    </w:rPr>
                    <w:t>3.推动环境应急基础设施建设。构筑企业“风险单元-管网、应急池-厂界”的突发水污染事件“三道防线”，设置环境风险单元初期雨水及事故水截流、导流措施，建设排水管网雨污分流系统和事故应急池等事故水收集设施，厂区雨水排口配备手自一体开关切换装置，上述点位均接入企业自动化监控系统。重大、较大风险企业分别于2024年底、2025年底前完成改造。排放有毒有害大气污染物的企业要建立环境风险预警体系，将在线监测数据接入重大危险源监测监控系统。</w:t>
                  </w:r>
                </w:p>
              </w:tc>
              <w:tc>
                <w:tcPr>
                  <w:tcW w:w="1068" w:type="pct"/>
                  <w:vAlign w:val="center"/>
                </w:tcPr>
                <w:p w14:paraId="135D2015">
                  <w:pPr>
                    <w:adjustRightInd w:val="0"/>
                    <w:snapToGrid w:val="0"/>
                    <w:jc w:val="center"/>
                    <w:rPr>
                      <w:color w:val="auto"/>
                      <w:sz w:val="18"/>
                      <w:szCs w:val="18"/>
                    </w:rPr>
                  </w:pPr>
                  <w:r>
                    <w:rPr>
                      <w:color w:val="auto"/>
                      <w:sz w:val="18"/>
                      <w:szCs w:val="18"/>
                    </w:rPr>
                    <w:t>现有项目建有1座</w:t>
                  </w:r>
                  <w:r>
                    <w:rPr>
                      <w:rFonts w:hint="eastAsia"/>
                      <w:color w:val="auto"/>
                      <w:sz w:val="18"/>
                      <w:szCs w:val="18"/>
                    </w:rPr>
                    <w:t>17</w:t>
                  </w:r>
                  <w:r>
                    <w:rPr>
                      <w:color w:val="auto"/>
                      <w:sz w:val="18"/>
                      <w:szCs w:val="18"/>
                    </w:rPr>
                    <w:t>00m</w:t>
                  </w:r>
                  <w:r>
                    <w:rPr>
                      <w:color w:val="auto"/>
                      <w:sz w:val="18"/>
                      <w:szCs w:val="18"/>
                      <w:vertAlign w:val="superscript"/>
                    </w:rPr>
                    <w:t>3</w:t>
                  </w:r>
                  <w:r>
                    <w:rPr>
                      <w:color w:val="auto"/>
                      <w:sz w:val="18"/>
                      <w:szCs w:val="18"/>
                    </w:rPr>
                    <w:t>事故应急池，已构筑企业“风险单元-管网、应急池-厂界”的突发水污染事件“三道防线”，并设置环境风险单元初期雨水及事故水截流、导流措施；建立环境风险预警体系。</w:t>
                  </w:r>
                </w:p>
              </w:tc>
              <w:tc>
                <w:tcPr>
                  <w:tcW w:w="474" w:type="pct"/>
                  <w:vAlign w:val="center"/>
                </w:tcPr>
                <w:p w14:paraId="6BFBE12F">
                  <w:pPr>
                    <w:adjustRightInd w:val="0"/>
                    <w:snapToGrid w:val="0"/>
                    <w:jc w:val="center"/>
                    <w:rPr>
                      <w:color w:val="auto"/>
                      <w:sz w:val="18"/>
                      <w:szCs w:val="18"/>
                    </w:rPr>
                  </w:pPr>
                  <w:r>
                    <w:rPr>
                      <w:color w:val="auto"/>
                      <w:sz w:val="18"/>
                      <w:szCs w:val="18"/>
                    </w:rPr>
                    <w:t>符合</w:t>
                  </w:r>
                </w:p>
              </w:tc>
            </w:tr>
            <w:tr w14:paraId="64DB1D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04" w:type="pct"/>
                  <w:vMerge w:val="continue"/>
                  <w:vAlign w:val="center"/>
                </w:tcPr>
                <w:p w14:paraId="01EAE944">
                  <w:pPr>
                    <w:adjustRightInd w:val="0"/>
                    <w:snapToGrid w:val="0"/>
                    <w:jc w:val="center"/>
                    <w:rPr>
                      <w:color w:val="auto"/>
                      <w:sz w:val="18"/>
                      <w:szCs w:val="18"/>
                    </w:rPr>
                  </w:pPr>
                </w:p>
              </w:tc>
              <w:tc>
                <w:tcPr>
                  <w:tcW w:w="2854" w:type="pct"/>
                  <w:vAlign w:val="center"/>
                </w:tcPr>
                <w:p w14:paraId="75B81DE7">
                  <w:pPr>
                    <w:adjustRightInd w:val="0"/>
                    <w:snapToGrid w:val="0"/>
                    <w:jc w:val="center"/>
                    <w:rPr>
                      <w:color w:val="auto"/>
                      <w:sz w:val="18"/>
                      <w:szCs w:val="18"/>
                    </w:rPr>
                  </w:pPr>
                  <w:r>
                    <w:rPr>
                      <w:color w:val="auto"/>
                      <w:sz w:val="18"/>
                      <w:szCs w:val="18"/>
                    </w:rPr>
                    <w:t>4.强化常态化隐患排查治理。环境风险企业建立常态化隐患排查制度。较大以上等级风险企业每半年至少开展一次全面综合排查，每月至少开展一次环境风险单元巡视排查，列出隐患清单，限期整改闭环。每半年至少开展一次专项培训，提升主动发现和解决环境隐患问题的意愿和能力。</w:t>
                  </w:r>
                </w:p>
              </w:tc>
              <w:tc>
                <w:tcPr>
                  <w:tcW w:w="1068" w:type="pct"/>
                  <w:vAlign w:val="center"/>
                </w:tcPr>
                <w:p w14:paraId="755A2063">
                  <w:pPr>
                    <w:adjustRightInd w:val="0"/>
                    <w:snapToGrid w:val="0"/>
                    <w:jc w:val="center"/>
                    <w:rPr>
                      <w:color w:val="auto"/>
                      <w:sz w:val="18"/>
                      <w:szCs w:val="18"/>
                    </w:rPr>
                  </w:pPr>
                  <w:r>
                    <w:rPr>
                      <w:rFonts w:hint="eastAsia"/>
                      <w:color w:val="auto"/>
                      <w:sz w:val="18"/>
                      <w:szCs w:val="18"/>
                    </w:rPr>
                    <w:t>瑞兆科</w:t>
                  </w:r>
                  <w:r>
                    <w:rPr>
                      <w:color w:val="auto"/>
                      <w:sz w:val="18"/>
                      <w:szCs w:val="18"/>
                    </w:rPr>
                    <w:t>公司每半年至少开展一次全面综合排查，每月至少开展一次环境风险单元巡视排查，列出隐患清单，限期整改闭环。每半年至少开展一次专项培训，提升主动发现和解决环境隐患问题的意愿和能力。</w:t>
                  </w:r>
                </w:p>
              </w:tc>
              <w:tc>
                <w:tcPr>
                  <w:tcW w:w="474" w:type="pct"/>
                  <w:vAlign w:val="center"/>
                </w:tcPr>
                <w:p w14:paraId="7F3FA151">
                  <w:pPr>
                    <w:adjustRightInd w:val="0"/>
                    <w:snapToGrid w:val="0"/>
                    <w:jc w:val="center"/>
                    <w:rPr>
                      <w:color w:val="auto"/>
                      <w:sz w:val="18"/>
                      <w:szCs w:val="18"/>
                    </w:rPr>
                  </w:pPr>
                  <w:r>
                    <w:rPr>
                      <w:color w:val="auto"/>
                      <w:sz w:val="18"/>
                      <w:szCs w:val="18"/>
                    </w:rPr>
                    <w:t>符合</w:t>
                  </w:r>
                </w:p>
              </w:tc>
            </w:tr>
          </w:tbl>
          <w:p w14:paraId="20FF3B2F">
            <w:pPr>
              <w:autoSpaceDE w:val="0"/>
              <w:autoSpaceDN w:val="0"/>
              <w:adjustRightInd w:val="0"/>
              <w:snapToGrid w:val="0"/>
              <w:spacing w:line="500" w:lineRule="exact"/>
              <w:ind w:firstLine="422" w:firstLineChars="200"/>
              <w:jc w:val="left"/>
              <w:rPr>
                <w:b/>
                <w:color w:val="auto"/>
              </w:rPr>
            </w:pPr>
            <w:r>
              <w:rPr>
                <w:rFonts w:hint="eastAsia" w:ascii="宋体" w:hAnsi="宋体" w:cs="宋体"/>
                <w:b/>
                <w:color w:val="auto"/>
                <w:kern w:val="0"/>
                <w:szCs w:val="21"/>
              </w:rPr>
              <w:t>（8）</w:t>
            </w:r>
            <w:r>
              <w:rPr>
                <w:b/>
                <w:color w:val="auto"/>
              </w:rPr>
              <w:t>与《省生态环境厅关于进一步做好建设项目环评审批工作的通知》（苏环办〔2019〕36号）的相符性</w:t>
            </w:r>
          </w:p>
          <w:p w14:paraId="286206F1">
            <w:pPr>
              <w:spacing w:line="500" w:lineRule="exact"/>
              <w:ind w:firstLine="420" w:firstLineChars="200"/>
              <w:rPr>
                <w:bCs/>
                <w:color w:val="auto"/>
              </w:rPr>
            </w:pPr>
            <w:r>
              <w:rPr>
                <w:rFonts w:hint="eastAsia"/>
                <w:color w:val="auto"/>
              </w:rPr>
              <w:t>本</w:t>
            </w:r>
            <w:r>
              <w:rPr>
                <w:bCs/>
                <w:color w:val="auto"/>
              </w:rPr>
              <w:t>项目与《省生态环境厅关于进一步做好建设项目环评审批工作的通知》（苏环办〔2019〕36号）相关要求的相符性见表1-1</w:t>
            </w:r>
            <w:r>
              <w:rPr>
                <w:rFonts w:hint="eastAsia"/>
                <w:bCs/>
                <w:color w:val="auto"/>
              </w:rPr>
              <w:t>1</w:t>
            </w:r>
            <w:r>
              <w:rPr>
                <w:bCs/>
                <w:color w:val="auto"/>
              </w:rPr>
              <w:t>，</w:t>
            </w:r>
            <w:r>
              <w:rPr>
                <w:color w:val="auto"/>
              </w:rPr>
              <w:t>由表可见，本项目与</w:t>
            </w:r>
            <w:r>
              <w:rPr>
                <w:bCs/>
                <w:color w:val="auto"/>
              </w:rPr>
              <w:t>《省生态环境厅关于进一步做好建设项目环评审批工作的通知》（苏环办〔2019〕36号）要求相符。</w:t>
            </w:r>
          </w:p>
          <w:p w14:paraId="26C7C885">
            <w:pPr>
              <w:autoSpaceDE w:val="0"/>
              <w:autoSpaceDN w:val="0"/>
              <w:adjustRightInd w:val="0"/>
              <w:snapToGrid w:val="0"/>
              <w:spacing w:line="500" w:lineRule="exact"/>
              <w:jc w:val="center"/>
              <w:rPr>
                <w:b/>
                <w:color w:val="auto"/>
              </w:rPr>
            </w:pPr>
            <w:r>
              <w:rPr>
                <w:b/>
                <w:color w:val="auto"/>
              </w:rPr>
              <w:t>表1-1</w:t>
            </w:r>
            <w:r>
              <w:rPr>
                <w:rFonts w:hint="eastAsia"/>
                <w:b/>
                <w:color w:val="auto"/>
              </w:rPr>
              <w:t>1</w:t>
            </w:r>
            <w:r>
              <w:rPr>
                <w:b/>
                <w:color w:val="auto"/>
              </w:rPr>
              <w:t xml:space="preserve">  与苏环办〔2019〕36号文相符性分析</w:t>
            </w:r>
          </w:p>
          <w:tbl>
            <w:tblPr>
              <w:tblStyle w:val="21"/>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57" w:type="dxa"/>
                <w:left w:w="108" w:type="dxa"/>
                <w:bottom w:w="57" w:type="dxa"/>
                <w:right w:w="108" w:type="dxa"/>
              </w:tblCellMar>
            </w:tblPr>
            <w:tblGrid>
              <w:gridCol w:w="398"/>
              <w:gridCol w:w="4405"/>
              <w:gridCol w:w="2082"/>
              <w:gridCol w:w="621"/>
            </w:tblGrid>
            <w:tr w14:paraId="15A73D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blHeader/>
                <w:jc w:val="center"/>
              </w:trPr>
              <w:tc>
                <w:tcPr>
                  <w:tcW w:w="265" w:type="pct"/>
                  <w:vAlign w:val="center"/>
                </w:tcPr>
                <w:p w14:paraId="5615BD8A">
                  <w:pPr>
                    <w:adjustRightInd w:val="0"/>
                    <w:snapToGrid w:val="0"/>
                    <w:jc w:val="center"/>
                    <w:rPr>
                      <w:b/>
                      <w:color w:val="auto"/>
                      <w:sz w:val="18"/>
                      <w:szCs w:val="18"/>
                    </w:rPr>
                  </w:pPr>
                  <w:r>
                    <w:rPr>
                      <w:b/>
                      <w:color w:val="auto"/>
                      <w:sz w:val="18"/>
                      <w:szCs w:val="18"/>
                    </w:rPr>
                    <w:t>序号</w:t>
                  </w:r>
                </w:p>
              </w:tc>
              <w:tc>
                <w:tcPr>
                  <w:tcW w:w="2934" w:type="pct"/>
                  <w:vAlign w:val="center"/>
                </w:tcPr>
                <w:p w14:paraId="7D9ED756">
                  <w:pPr>
                    <w:adjustRightInd w:val="0"/>
                    <w:snapToGrid w:val="0"/>
                    <w:jc w:val="center"/>
                    <w:rPr>
                      <w:b/>
                      <w:color w:val="auto"/>
                      <w:sz w:val="18"/>
                      <w:szCs w:val="18"/>
                    </w:rPr>
                  </w:pPr>
                  <w:r>
                    <w:rPr>
                      <w:b/>
                      <w:color w:val="auto"/>
                      <w:sz w:val="18"/>
                      <w:szCs w:val="18"/>
                    </w:rPr>
                    <w:t>要求</w:t>
                  </w:r>
                </w:p>
              </w:tc>
              <w:tc>
                <w:tcPr>
                  <w:tcW w:w="1387" w:type="pct"/>
                  <w:vAlign w:val="center"/>
                </w:tcPr>
                <w:p w14:paraId="41999A39">
                  <w:pPr>
                    <w:adjustRightInd w:val="0"/>
                    <w:snapToGrid w:val="0"/>
                    <w:jc w:val="center"/>
                    <w:rPr>
                      <w:b/>
                      <w:color w:val="auto"/>
                      <w:sz w:val="18"/>
                      <w:szCs w:val="18"/>
                    </w:rPr>
                  </w:pPr>
                  <w:r>
                    <w:rPr>
                      <w:b/>
                      <w:color w:val="auto"/>
                      <w:sz w:val="18"/>
                      <w:szCs w:val="18"/>
                    </w:rPr>
                    <w:t>符合性分析</w:t>
                  </w:r>
                </w:p>
              </w:tc>
              <w:tc>
                <w:tcPr>
                  <w:tcW w:w="414" w:type="pct"/>
                  <w:vAlign w:val="center"/>
                </w:tcPr>
                <w:p w14:paraId="2CA4E8D4">
                  <w:pPr>
                    <w:adjustRightInd w:val="0"/>
                    <w:snapToGrid w:val="0"/>
                    <w:jc w:val="center"/>
                    <w:rPr>
                      <w:b/>
                      <w:color w:val="auto"/>
                      <w:sz w:val="18"/>
                      <w:szCs w:val="18"/>
                    </w:rPr>
                  </w:pPr>
                  <w:r>
                    <w:rPr>
                      <w:b/>
                      <w:color w:val="auto"/>
                      <w:sz w:val="18"/>
                      <w:szCs w:val="18"/>
                    </w:rPr>
                    <w:t>符合情况</w:t>
                  </w:r>
                </w:p>
              </w:tc>
            </w:tr>
            <w:tr w14:paraId="399496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265" w:type="pct"/>
                  <w:vAlign w:val="center"/>
                </w:tcPr>
                <w:p w14:paraId="27C9086E">
                  <w:pPr>
                    <w:adjustRightInd w:val="0"/>
                    <w:snapToGrid w:val="0"/>
                    <w:jc w:val="center"/>
                    <w:rPr>
                      <w:color w:val="auto"/>
                      <w:sz w:val="18"/>
                      <w:szCs w:val="18"/>
                    </w:rPr>
                  </w:pPr>
                  <w:r>
                    <w:rPr>
                      <w:color w:val="auto"/>
                      <w:sz w:val="18"/>
                      <w:szCs w:val="18"/>
                    </w:rPr>
                    <w:t>1</w:t>
                  </w:r>
                </w:p>
              </w:tc>
              <w:tc>
                <w:tcPr>
                  <w:tcW w:w="2934" w:type="pct"/>
                  <w:vAlign w:val="center"/>
                </w:tcPr>
                <w:p w14:paraId="153CD866">
                  <w:pPr>
                    <w:adjustRightInd w:val="0"/>
                    <w:snapToGrid w:val="0"/>
                    <w:rPr>
                      <w:color w:val="auto"/>
                      <w:sz w:val="18"/>
                      <w:szCs w:val="18"/>
                    </w:rPr>
                  </w:pPr>
                  <w:r>
                    <w:rPr>
                      <w:color w:val="auto"/>
                      <w:sz w:val="18"/>
                      <w:szCs w:val="18"/>
                    </w:rPr>
                    <w:t>有下列情形之一的，不予批准：（1）建设项目类型及其选址、布局、规模等不符合环境保护法律法规和相关法定规划；（2）所在区域环境质量未达到国家或者地方环境质量标准，且建设项目拟采取的措施不能满足区域环境质量改善目标管理要求；（3）建设项目采取的污染防治措施无法确保污染物排放达到国家和地方排放标准，或者未采取必要措施预防和控制生态破坏；（4）改建、扩建和技术改造项目，未针对项目原有环境污染和生态破坏提出有效防止措施；（5）建设项目的环境影响报告书、环境影响报告表的基础资料数据明显不实，内容存在重大缺陷、遗漏，或者环境影响评价结论不明确、不合理。</w:t>
                  </w:r>
                </w:p>
              </w:tc>
              <w:tc>
                <w:tcPr>
                  <w:tcW w:w="1387" w:type="pct"/>
                  <w:vAlign w:val="center"/>
                </w:tcPr>
                <w:p w14:paraId="2BA66C4F">
                  <w:pPr>
                    <w:adjustRightInd w:val="0"/>
                    <w:snapToGrid w:val="0"/>
                    <w:rPr>
                      <w:color w:val="auto"/>
                      <w:sz w:val="18"/>
                      <w:szCs w:val="18"/>
                    </w:rPr>
                  </w:pPr>
                  <w:r>
                    <w:rPr>
                      <w:color w:val="auto"/>
                      <w:sz w:val="18"/>
                      <w:szCs w:val="18"/>
                    </w:rPr>
                    <w:t>项目建设选址、布局、规模等符合环境保护法律法规和相关法定规划；所在区域为环境质量达标区；项目采取的污染防治措施可确保污染物排放达到国家和地方排放标准；本项目环评基础资料准确，结论合理</w:t>
                  </w:r>
                </w:p>
              </w:tc>
              <w:tc>
                <w:tcPr>
                  <w:tcW w:w="414" w:type="pct"/>
                  <w:vAlign w:val="center"/>
                </w:tcPr>
                <w:p w14:paraId="7321C3CD">
                  <w:pPr>
                    <w:adjustRightInd w:val="0"/>
                    <w:snapToGrid w:val="0"/>
                    <w:jc w:val="center"/>
                    <w:rPr>
                      <w:color w:val="auto"/>
                      <w:sz w:val="18"/>
                      <w:szCs w:val="18"/>
                    </w:rPr>
                  </w:pPr>
                  <w:r>
                    <w:rPr>
                      <w:color w:val="auto"/>
                      <w:sz w:val="18"/>
                      <w:szCs w:val="18"/>
                    </w:rPr>
                    <w:t>符合</w:t>
                  </w:r>
                </w:p>
              </w:tc>
            </w:tr>
            <w:tr w14:paraId="456AE4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265" w:type="pct"/>
                  <w:vAlign w:val="center"/>
                </w:tcPr>
                <w:p w14:paraId="069C38EA">
                  <w:pPr>
                    <w:adjustRightInd w:val="0"/>
                    <w:snapToGrid w:val="0"/>
                    <w:jc w:val="center"/>
                    <w:rPr>
                      <w:color w:val="auto"/>
                      <w:sz w:val="18"/>
                      <w:szCs w:val="18"/>
                    </w:rPr>
                  </w:pPr>
                  <w:r>
                    <w:rPr>
                      <w:color w:val="auto"/>
                      <w:sz w:val="18"/>
                      <w:szCs w:val="18"/>
                    </w:rPr>
                    <w:t>2</w:t>
                  </w:r>
                </w:p>
              </w:tc>
              <w:tc>
                <w:tcPr>
                  <w:tcW w:w="2934" w:type="pct"/>
                  <w:vAlign w:val="center"/>
                </w:tcPr>
                <w:p w14:paraId="700C4F89">
                  <w:pPr>
                    <w:adjustRightInd w:val="0"/>
                    <w:snapToGrid w:val="0"/>
                    <w:rPr>
                      <w:color w:val="auto"/>
                      <w:sz w:val="18"/>
                      <w:szCs w:val="18"/>
                    </w:rPr>
                  </w:pPr>
                  <w:r>
                    <w:rPr>
                      <w:color w:val="auto"/>
                      <w:sz w:val="18"/>
                      <w:szCs w:val="18"/>
                    </w:rPr>
                    <w:t>严格落实污染物排放总量控制制度，把主要污染物排放总量指标作为建设项目环境影响评价审批的前置条件。排放主要污染物的建设项目，在环境影响评价文件审批前，须取得主要污染物排放总量指标。</w:t>
                  </w:r>
                </w:p>
              </w:tc>
              <w:tc>
                <w:tcPr>
                  <w:tcW w:w="1387" w:type="pct"/>
                  <w:vAlign w:val="center"/>
                </w:tcPr>
                <w:p w14:paraId="17AD3BAF">
                  <w:pPr>
                    <w:adjustRightInd w:val="0"/>
                    <w:snapToGrid w:val="0"/>
                    <w:rPr>
                      <w:color w:val="auto"/>
                      <w:sz w:val="18"/>
                      <w:szCs w:val="18"/>
                    </w:rPr>
                  </w:pPr>
                  <w:r>
                    <w:rPr>
                      <w:rFonts w:hint="eastAsia"/>
                      <w:color w:val="auto"/>
                      <w:sz w:val="18"/>
                      <w:szCs w:val="18"/>
                    </w:rPr>
                    <w:t>本项目严格落实污染物排放总量控制制度。本项目新增排放污染物排放总量将由徐圩新区排污权收储后统一分配</w:t>
                  </w:r>
                </w:p>
              </w:tc>
              <w:tc>
                <w:tcPr>
                  <w:tcW w:w="414" w:type="pct"/>
                  <w:vAlign w:val="center"/>
                </w:tcPr>
                <w:p w14:paraId="2269B185">
                  <w:pPr>
                    <w:adjustRightInd w:val="0"/>
                    <w:snapToGrid w:val="0"/>
                    <w:jc w:val="center"/>
                    <w:rPr>
                      <w:color w:val="auto"/>
                      <w:sz w:val="18"/>
                      <w:szCs w:val="18"/>
                    </w:rPr>
                  </w:pPr>
                  <w:r>
                    <w:rPr>
                      <w:color w:val="auto"/>
                      <w:sz w:val="18"/>
                      <w:szCs w:val="18"/>
                    </w:rPr>
                    <w:t>符合</w:t>
                  </w:r>
                </w:p>
              </w:tc>
            </w:tr>
            <w:tr w14:paraId="19E6C9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265" w:type="pct"/>
                  <w:vAlign w:val="center"/>
                </w:tcPr>
                <w:p w14:paraId="7CB1D65F">
                  <w:pPr>
                    <w:adjustRightInd w:val="0"/>
                    <w:snapToGrid w:val="0"/>
                    <w:jc w:val="center"/>
                    <w:rPr>
                      <w:color w:val="auto"/>
                      <w:sz w:val="18"/>
                      <w:szCs w:val="18"/>
                    </w:rPr>
                  </w:pPr>
                  <w:r>
                    <w:rPr>
                      <w:color w:val="auto"/>
                      <w:sz w:val="18"/>
                      <w:szCs w:val="18"/>
                    </w:rPr>
                    <w:t>3</w:t>
                  </w:r>
                </w:p>
              </w:tc>
              <w:tc>
                <w:tcPr>
                  <w:tcW w:w="2934" w:type="pct"/>
                  <w:vAlign w:val="center"/>
                </w:tcPr>
                <w:p w14:paraId="1B1D7661">
                  <w:pPr>
                    <w:adjustRightInd w:val="0"/>
                    <w:snapToGrid w:val="0"/>
                    <w:rPr>
                      <w:color w:val="auto"/>
                      <w:sz w:val="18"/>
                      <w:szCs w:val="18"/>
                    </w:rPr>
                  </w:pPr>
                  <w:r>
                    <w:rPr>
                      <w:color w:val="auto"/>
                      <w:sz w:val="18"/>
                      <w:szCs w:val="18"/>
                    </w:rPr>
                    <w:t>（1）规划环评要作为规划所包含项目环评的重要依据，对于不符合规划环评结论及审查意见的项目环评，依法不予审批。（2）对于现有同类型项目环境污染或生态破坏严重、环境违法违规现象多发，致使环境容量接近或超过承载能力的地区，在现有问题整改到位前，依法暂停审批该地区同类行业的项目环评文件。（3）对环境质量现状超标的地区，项目拟采取的措施不能满足区域环境质量改善目标管理要求的，依法不予审批其环评文件。对未达到环境质量目标考核要求的地区，除民生项目与节能减排项目外，依法暂停审批该地区新增排放相应重点污染物的项目环评文件。</w:t>
                  </w:r>
                </w:p>
              </w:tc>
              <w:tc>
                <w:tcPr>
                  <w:tcW w:w="1387" w:type="pct"/>
                  <w:vAlign w:val="center"/>
                </w:tcPr>
                <w:p w14:paraId="6F887792">
                  <w:pPr>
                    <w:adjustRightInd w:val="0"/>
                    <w:snapToGrid w:val="0"/>
                    <w:rPr>
                      <w:color w:val="auto"/>
                      <w:sz w:val="18"/>
                      <w:szCs w:val="18"/>
                    </w:rPr>
                  </w:pPr>
                  <w:r>
                    <w:rPr>
                      <w:rFonts w:hint="eastAsia"/>
                      <w:color w:val="auto"/>
                      <w:sz w:val="18"/>
                      <w:szCs w:val="18"/>
                    </w:rPr>
                    <w:t>本</w:t>
                  </w:r>
                  <w:r>
                    <w:rPr>
                      <w:color w:val="auto"/>
                      <w:sz w:val="18"/>
                      <w:szCs w:val="18"/>
                    </w:rPr>
                    <w:t>项目与</w:t>
                  </w:r>
                  <w:r>
                    <w:rPr>
                      <w:rFonts w:hint="eastAsia"/>
                      <w:color w:val="auto"/>
                      <w:sz w:val="18"/>
                      <w:szCs w:val="18"/>
                    </w:rPr>
                    <w:t>连云港石化产业基地</w:t>
                  </w:r>
                  <w:r>
                    <w:rPr>
                      <w:color w:val="auto"/>
                      <w:sz w:val="18"/>
                      <w:szCs w:val="18"/>
                    </w:rPr>
                    <w:t>规划环评及审查意见相符</w:t>
                  </w:r>
                  <w:r>
                    <w:rPr>
                      <w:rFonts w:hint="eastAsia"/>
                      <w:color w:val="auto"/>
                      <w:sz w:val="18"/>
                      <w:szCs w:val="18"/>
                    </w:rPr>
                    <w:t>，详见表1-1</w:t>
                  </w:r>
                </w:p>
              </w:tc>
              <w:tc>
                <w:tcPr>
                  <w:tcW w:w="414" w:type="pct"/>
                  <w:vAlign w:val="center"/>
                </w:tcPr>
                <w:p w14:paraId="66FC6096">
                  <w:pPr>
                    <w:adjustRightInd w:val="0"/>
                    <w:snapToGrid w:val="0"/>
                    <w:jc w:val="center"/>
                    <w:rPr>
                      <w:color w:val="auto"/>
                      <w:sz w:val="18"/>
                      <w:szCs w:val="18"/>
                    </w:rPr>
                  </w:pPr>
                  <w:r>
                    <w:rPr>
                      <w:color w:val="auto"/>
                      <w:sz w:val="18"/>
                      <w:szCs w:val="18"/>
                    </w:rPr>
                    <w:t>符合</w:t>
                  </w:r>
                </w:p>
              </w:tc>
            </w:tr>
            <w:tr w14:paraId="7D8AEE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265" w:type="pct"/>
                  <w:vAlign w:val="center"/>
                </w:tcPr>
                <w:p w14:paraId="4FC0B759">
                  <w:pPr>
                    <w:adjustRightInd w:val="0"/>
                    <w:snapToGrid w:val="0"/>
                    <w:jc w:val="center"/>
                    <w:rPr>
                      <w:color w:val="auto"/>
                      <w:sz w:val="18"/>
                      <w:szCs w:val="18"/>
                    </w:rPr>
                  </w:pPr>
                  <w:r>
                    <w:rPr>
                      <w:color w:val="auto"/>
                      <w:sz w:val="18"/>
                      <w:szCs w:val="18"/>
                    </w:rPr>
                    <w:t>4</w:t>
                  </w:r>
                </w:p>
              </w:tc>
              <w:tc>
                <w:tcPr>
                  <w:tcW w:w="2934" w:type="pct"/>
                  <w:vAlign w:val="center"/>
                </w:tcPr>
                <w:p w14:paraId="1C03C495">
                  <w:pPr>
                    <w:adjustRightInd w:val="0"/>
                    <w:snapToGrid w:val="0"/>
                    <w:rPr>
                      <w:color w:val="auto"/>
                      <w:sz w:val="18"/>
                      <w:szCs w:val="18"/>
                    </w:rPr>
                  </w:pPr>
                  <w:r>
                    <w:rPr>
                      <w:color w:val="auto"/>
                      <w:sz w:val="18"/>
                      <w:szCs w:val="18"/>
                    </w:rPr>
                    <w:t>严禁在长江干流及主要支流岸线1公里范围内新建布局化工园区和化工企业。严格化工项目环评审批，提高准入门槛，新建化工项目原则上投资额不得低于10亿元，不得新建、改建、扩建三类中间体项目。</w:t>
                  </w:r>
                </w:p>
              </w:tc>
              <w:tc>
                <w:tcPr>
                  <w:tcW w:w="1387" w:type="pct"/>
                  <w:vAlign w:val="center"/>
                </w:tcPr>
                <w:p w14:paraId="6FB680D9">
                  <w:pPr>
                    <w:adjustRightInd w:val="0"/>
                    <w:snapToGrid w:val="0"/>
                    <w:rPr>
                      <w:color w:val="auto"/>
                      <w:sz w:val="18"/>
                      <w:szCs w:val="18"/>
                    </w:rPr>
                  </w:pPr>
                  <w:r>
                    <w:rPr>
                      <w:rFonts w:hint="eastAsia"/>
                      <w:color w:val="auto"/>
                      <w:sz w:val="18"/>
                      <w:szCs w:val="18"/>
                    </w:rPr>
                    <w:t>本项目位于沿海地区，不在长江干流及主要支流岸线1公里范围内。本项目不属于农药、医药和染料中间体化工项目</w:t>
                  </w:r>
                  <w:r>
                    <w:rPr>
                      <w:color w:val="auto"/>
                      <w:sz w:val="18"/>
                      <w:szCs w:val="18"/>
                    </w:rPr>
                    <w:t>。</w:t>
                  </w:r>
                </w:p>
              </w:tc>
              <w:tc>
                <w:tcPr>
                  <w:tcW w:w="414" w:type="pct"/>
                  <w:vAlign w:val="center"/>
                </w:tcPr>
                <w:p w14:paraId="2A489B2E">
                  <w:pPr>
                    <w:adjustRightInd w:val="0"/>
                    <w:snapToGrid w:val="0"/>
                    <w:jc w:val="center"/>
                    <w:rPr>
                      <w:color w:val="auto"/>
                      <w:sz w:val="18"/>
                      <w:szCs w:val="18"/>
                    </w:rPr>
                  </w:pPr>
                  <w:r>
                    <w:rPr>
                      <w:color w:val="auto"/>
                      <w:sz w:val="18"/>
                      <w:szCs w:val="18"/>
                    </w:rPr>
                    <w:t>符合</w:t>
                  </w:r>
                </w:p>
              </w:tc>
            </w:tr>
            <w:tr w14:paraId="49627D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265" w:type="pct"/>
                  <w:vAlign w:val="center"/>
                </w:tcPr>
                <w:p w14:paraId="6AC90FF5">
                  <w:pPr>
                    <w:adjustRightInd w:val="0"/>
                    <w:snapToGrid w:val="0"/>
                    <w:jc w:val="center"/>
                    <w:rPr>
                      <w:color w:val="auto"/>
                      <w:sz w:val="18"/>
                      <w:szCs w:val="18"/>
                    </w:rPr>
                  </w:pPr>
                  <w:r>
                    <w:rPr>
                      <w:color w:val="auto"/>
                      <w:sz w:val="18"/>
                      <w:szCs w:val="18"/>
                    </w:rPr>
                    <w:t>5</w:t>
                  </w:r>
                </w:p>
              </w:tc>
              <w:tc>
                <w:tcPr>
                  <w:tcW w:w="2934" w:type="pct"/>
                  <w:vAlign w:val="center"/>
                </w:tcPr>
                <w:p w14:paraId="796A78F5">
                  <w:pPr>
                    <w:adjustRightInd w:val="0"/>
                    <w:snapToGrid w:val="0"/>
                    <w:rPr>
                      <w:color w:val="auto"/>
                      <w:sz w:val="18"/>
                      <w:szCs w:val="18"/>
                    </w:rPr>
                  </w:pPr>
                  <w:r>
                    <w:rPr>
                      <w:color w:val="auto"/>
                      <w:sz w:val="18"/>
                      <w:szCs w:val="18"/>
                    </w:rPr>
                    <w:t>禁止新建燃煤自备电厂。禁止建设生产和使用高VOCs含量的溶剂型涂料、油墨、胶粘剂等项目。</w:t>
                  </w:r>
                </w:p>
              </w:tc>
              <w:tc>
                <w:tcPr>
                  <w:tcW w:w="1387" w:type="pct"/>
                  <w:vAlign w:val="center"/>
                </w:tcPr>
                <w:p w14:paraId="2D9664DF">
                  <w:pPr>
                    <w:adjustRightInd w:val="0"/>
                    <w:snapToGrid w:val="0"/>
                    <w:rPr>
                      <w:color w:val="auto"/>
                      <w:sz w:val="18"/>
                      <w:szCs w:val="18"/>
                    </w:rPr>
                  </w:pPr>
                  <w:r>
                    <w:rPr>
                      <w:rFonts w:hint="eastAsia"/>
                      <w:color w:val="auto"/>
                      <w:sz w:val="18"/>
                      <w:szCs w:val="18"/>
                    </w:rPr>
                    <w:t>本</w:t>
                  </w:r>
                  <w:r>
                    <w:rPr>
                      <w:color w:val="auto"/>
                      <w:sz w:val="18"/>
                      <w:szCs w:val="18"/>
                    </w:rPr>
                    <w:t>项目不新建燃煤自备电厂，不属于禁止建设的生产和使用高VOCs含量的溶剂型涂料、油墨、胶粘剂等项目</w:t>
                  </w:r>
                </w:p>
              </w:tc>
              <w:tc>
                <w:tcPr>
                  <w:tcW w:w="414" w:type="pct"/>
                  <w:vAlign w:val="center"/>
                </w:tcPr>
                <w:p w14:paraId="56E83D0D">
                  <w:pPr>
                    <w:adjustRightInd w:val="0"/>
                    <w:snapToGrid w:val="0"/>
                    <w:jc w:val="center"/>
                    <w:rPr>
                      <w:color w:val="auto"/>
                      <w:sz w:val="18"/>
                      <w:szCs w:val="18"/>
                    </w:rPr>
                  </w:pPr>
                  <w:r>
                    <w:rPr>
                      <w:color w:val="auto"/>
                      <w:sz w:val="18"/>
                      <w:szCs w:val="18"/>
                    </w:rPr>
                    <w:t>符合</w:t>
                  </w:r>
                </w:p>
              </w:tc>
            </w:tr>
            <w:tr w14:paraId="18B8F2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265" w:type="pct"/>
                  <w:vAlign w:val="center"/>
                </w:tcPr>
                <w:p w14:paraId="360B1513">
                  <w:pPr>
                    <w:adjustRightInd w:val="0"/>
                    <w:snapToGrid w:val="0"/>
                    <w:jc w:val="center"/>
                    <w:rPr>
                      <w:color w:val="auto"/>
                      <w:sz w:val="18"/>
                      <w:szCs w:val="18"/>
                    </w:rPr>
                  </w:pPr>
                  <w:r>
                    <w:rPr>
                      <w:color w:val="auto"/>
                      <w:sz w:val="18"/>
                      <w:szCs w:val="18"/>
                    </w:rPr>
                    <w:t>6</w:t>
                  </w:r>
                </w:p>
              </w:tc>
              <w:tc>
                <w:tcPr>
                  <w:tcW w:w="2934" w:type="pct"/>
                  <w:vAlign w:val="center"/>
                </w:tcPr>
                <w:p w14:paraId="7B82DB54">
                  <w:pPr>
                    <w:adjustRightInd w:val="0"/>
                    <w:snapToGrid w:val="0"/>
                    <w:rPr>
                      <w:color w:val="auto"/>
                      <w:sz w:val="18"/>
                      <w:szCs w:val="18"/>
                    </w:rPr>
                  </w:pPr>
                  <w:r>
                    <w:rPr>
                      <w:color w:val="auto"/>
                      <w:sz w:val="18"/>
                      <w:szCs w:val="18"/>
                    </w:rPr>
                    <w:t>一律不批新的化工园区，一律不批化工园区外化工企业（除化工重点监测点和提升安全、环保、节能水平及油品质量升级、结构调整以外的扩建项目），一律不批化工园区内环境基础设施不完善或长期不能稳定运行企业的新改扩建化工项目。新建（含搬迁）化工项目必须进入已经依法完成规划环评审查的化工园区。</w:t>
                  </w:r>
                </w:p>
              </w:tc>
              <w:tc>
                <w:tcPr>
                  <w:tcW w:w="1387" w:type="pct"/>
                  <w:vAlign w:val="center"/>
                </w:tcPr>
                <w:p w14:paraId="078E8774">
                  <w:pPr>
                    <w:adjustRightInd w:val="0"/>
                    <w:snapToGrid w:val="0"/>
                    <w:rPr>
                      <w:color w:val="auto"/>
                      <w:sz w:val="18"/>
                      <w:szCs w:val="18"/>
                    </w:rPr>
                  </w:pPr>
                  <w:r>
                    <w:rPr>
                      <w:rFonts w:hint="eastAsia"/>
                      <w:color w:val="auto"/>
                      <w:sz w:val="18"/>
                      <w:szCs w:val="18"/>
                    </w:rPr>
                    <w:t>本项目位于连云港石化产业基地内，园区通过规划环评审查，环境基础设施完善</w:t>
                  </w:r>
                </w:p>
              </w:tc>
              <w:tc>
                <w:tcPr>
                  <w:tcW w:w="414" w:type="pct"/>
                  <w:vAlign w:val="center"/>
                </w:tcPr>
                <w:p w14:paraId="7A6F600C">
                  <w:pPr>
                    <w:adjustRightInd w:val="0"/>
                    <w:snapToGrid w:val="0"/>
                    <w:jc w:val="center"/>
                    <w:rPr>
                      <w:color w:val="auto"/>
                      <w:sz w:val="18"/>
                      <w:szCs w:val="18"/>
                    </w:rPr>
                  </w:pPr>
                  <w:r>
                    <w:rPr>
                      <w:color w:val="auto"/>
                      <w:sz w:val="18"/>
                      <w:szCs w:val="18"/>
                    </w:rPr>
                    <w:t>符合</w:t>
                  </w:r>
                </w:p>
              </w:tc>
            </w:tr>
            <w:tr w14:paraId="194A77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265" w:type="pct"/>
                  <w:vAlign w:val="center"/>
                </w:tcPr>
                <w:p w14:paraId="1DA759BF">
                  <w:pPr>
                    <w:adjustRightInd w:val="0"/>
                    <w:snapToGrid w:val="0"/>
                    <w:jc w:val="center"/>
                    <w:rPr>
                      <w:color w:val="auto"/>
                      <w:sz w:val="18"/>
                      <w:szCs w:val="18"/>
                    </w:rPr>
                  </w:pPr>
                  <w:r>
                    <w:rPr>
                      <w:color w:val="auto"/>
                      <w:sz w:val="18"/>
                      <w:szCs w:val="18"/>
                    </w:rPr>
                    <w:t>7</w:t>
                  </w:r>
                </w:p>
              </w:tc>
              <w:tc>
                <w:tcPr>
                  <w:tcW w:w="2934" w:type="pct"/>
                  <w:vAlign w:val="center"/>
                </w:tcPr>
                <w:p w14:paraId="2C2474C1">
                  <w:pPr>
                    <w:adjustRightInd w:val="0"/>
                    <w:snapToGrid w:val="0"/>
                    <w:rPr>
                      <w:color w:val="auto"/>
                      <w:sz w:val="18"/>
                      <w:szCs w:val="18"/>
                    </w:rPr>
                  </w:pPr>
                  <w:r>
                    <w:rPr>
                      <w:color w:val="auto"/>
                      <w:sz w:val="18"/>
                      <w:szCs w:val="18"/>
                    </w:rPr>
                    <w:t>禁止审批无法落实危险废物利用、处置途径的项目，从严审批危险废物产生量大、本地无配套利用处置能力、且需设区市统筹解决的项目。</w:t>
                  </w:r>
                </w:p>
              </w:tc>
              <w:tc>
                <w:tcPr>
                  <w:tcW w:w="1387" w:type="pct"/>
                  <w:vAlign w:val="center"/>
                </w:tcPr>
                <w:p w14:paraId="2003F1A2">
                  <w:pPr>
                    <w:adjustRightInd w:val="0"/>
                    <w:snapToGrid w:val="0"/>
                    <w:rPr>
                      <w:color w:val="auto"/>
                      <w:sz w:val="18"/>
                      <w:szCs w:val="18"/>
                    </w:rPr>
                  </w:pPr>
                  <w:r>
                    <w:rPr>
                      <w:rFonts w:hint="eastAsia"/>
                      <w:color w:val="auto"/>
                      <w:sz w:val="18"/>
                      <w:szCs w:val="18"/>
                    </w:rPr>
                    <w:t>本</w:t>
                  </w:r>
                  <w:r>
                    <w:rPr>
                      <w:color w:val="auto"/>
                      <w:sz w:val="18"/>
                      <w:szCs w:val="18"/>
                    </w:rPr>
                    <w:t>项目所有的危险废物均得到有效的处理处置，不属于无法落实危险废物利用、处置途径的项目。</w:t>
                  </w:r>
                </w:p>
              </w:tc>
              <w:tc>
                <w:tcPr>
                  <w:tcW w:w="414" w:type="pct"/>
                  <w:vAlign w:val="center"/>
                </w:tcPr>
                <w:p w14:paraId="49556C75">
                  <w:pPr>
                    <w:adjustRightInd w:val="0"/>
                    <w:snapToGrid w:val="0"/>
                    <w:jc w:val="center"/>
                    <w:rPr>
                      <w:color w:val="auto"/>
                      <w:sz w:val="18"/>
                      <w:szCs w:val="18"/>
                    </w:rPr>
                  </w:pPr>
                  <w:r>
                    <w:rPr>
                      <w:color w:val="auto"/>
                      <w:sz w:val="18"/>
                      <w:szCs w:val="18"/>
                    </w:rPr>
                    <w:t>符合</w:t>
                  </w:r>
                </w:p>
              </w:tc>
            </w:tr>
            <w:tr w14:paraId="5035C8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jc w:val="center"/>
              </w:trPr>
              <w:tc>
                <w:tcPr>
                  <w:tcW w:w="265" w:type="pct"/>
                  <w:vAlign w:val="center"/>
                </w:tcPr>
                <w:p w14:paraId="1B7AD2AC">
                  <w:pPr>
                    <w:adjustRightInd w:val="0"/>
                    <w:snapToGrid w:val="0"/>
                    <w:jc w:val="center"/>
                    <w:rPr>
                      <w:color w:val="auto"/>
                      <w:sz w:val="18"/>
                      <w:szCs w:val="18"/>
                    </w:rPr>
                  </w:pPr>
                  <w:r>
                    <w:rPr>
                      <w:color w:val="auto"/>
                      <w:sz w:val="18"/>
                      <w:szCs w:val="18"/>
                    </w:rPr>
                    <w:t>8</w:t>
                  </w:r>
                </w:p>
              </w:tc>
              <w:tc>
                <w:tcPr>
                  <w:tcW w:w="2934" w:type="pct"/>
                  <w:vAlign w:val="center"/>
                </w:tcPr>
                <w:p w14:paraId="7A4C63F1">
                  <w:pPr>
                    <w:adjustRightInd w:val="0"/>
                    <w:snapToGrid w:val="0"/>
                    <w:rPr>
                      <w:color w:val="auto"/>
                      <w:sz w:val="18"/>
                      <w:szCs w:val="18"/>
                    </w:rPr>
                  </w:pPr>
                  <w:r>
                    <w:rPr>
                      <w:color w:val="auto"/>
                      <w:sz w:val="18"/>
                      <w:szCs w:val="18"/>
                    </w:rPr>
                    <w:t>禁止在长江干支流1公里范围内新建、扩建化工园区和化工项目。禁止在合规园区外新建、扩建钢铁、石化、化工、焦化、建材、有色等高污染项目。禁止新建、扩建不符合国家石化、现代煤化工等产业布局规划的项目。禁止新建、扩建法律法规和相关政策明令禁止的落后产能项目。禁止新建、扩建不符合国家产能置换要求的严重过剩产能行业的项目。</w:t>
                  </w:r>
                </w:p>
              </w:tc>
              <w:tc>
                <w:tcPr>
                  <w:tcW w:w="1387" w:type="pct"/>
                  <w:vAlign w:val="center"/>
                </w:tcPr>
                <w:p w14:paraId="51EF6C68">
                  <w:pPr>
                    <w:adjustRightInd w:val="0"/>
                    <w:snapToGrid w:val="0"/>
                    <w:rPr>
                      <w:color w:val="auto"/>
                      <w:sz w:val="18"/>
                      <w:szCs w:val="18"/>
                    </w:rPr>
                  </w:pPr>
                  <w:r>
                    <w:rPr>
                      <w:rFonts w:hint="eastAsia"/>
                      <w:color w:val="auto"/>
                      <w:sz w:val="18"/>
                      <w:szCs w:val="18"/>
                    </w:rPr>
                    <w:t>本项目位于沿海地区，所在连云港石化产业基地符合国家石化产业布局规划，本项目</w:t>
                  </w:r>
                  <w:r>
                    <w:rPr>
                      <w:color w:val="auto"/>
                      <w:sz w:val="18"/>
                      <w:szCs w:val="18"/>
                    </w:rPr>
                    <w:t>不属于禁止新建、扩建的落后产能和过剩产能的项目</w:t>
                  </w:r>
                </w:p>
              </w:tc>
              <w:tc>
                <w:tcPr>
                  <w:tcW w:w="414" w:type="pct"/>
                  <w:vAlign w:val="center"/>
                </w:tcPr>
                <w:p w14:paraId="7F7C2C26">
                  <w:pPr>
                    <w:adjustRightInd w:val="0"/>
                    <w:snapToGrid w:val="0"/>
                    <w:jc w:val="center"/>
                    <w:rPr>
                      <w:color w:val="auto"/>
                      <w:sz w:val="18"/>
                      <w:szCs w:val="18"/>
                    </w:rPr>
                  </w:pPr>
                  <w:r>
                    <w:rPr>
                      <w:color w:val="auto"/>
                      <w:sz w:val="18"/>
                      <w:szCs w:val="18"/>
                    </w:rPr>
                    <w:t>符合</w:t>
                  </w:r>
                </w:p>
              </w:tc>
            </w:tr>
          </w:tbl>
          <w:p w14:paraId="3FC250B8">
            <w:pPr>
              <w:spacing w:line="500" w:lineRule="exact"/>
              <w:rPr>
                <w:bCs/>
                <w:color w:val="auto"/>
                <w:kern w:val="0"/>
                <w:szCs w:val="21"/>
              </w:rPr>
            </w:pPr>
          </w:p>
        </w:tc>
      </w:tr>
    </w:tbl>
    <w:p w14:paraId="2D231B63">
      <w:pPr>
        <w:pStyle w:val="18"/>
        <w:rPr>
          <w:snapToGrid w:val="0"/>
          <w:color w:val="auto"/>
        </w:rPr>
        <w:sectPr>
          <w:footerReference r:id="rId3" w:type="default"/>
          <w:type w:val="nextColumn"/>
          <w:pgSz w:w="11906" w:h="16838"/>
          <w:pgMar w:top="1418" w:right="1418" w:bottom="1418" w:left="1418" w:header="851" w:footer="851" w:gutter="0"/>
          <w:pgNumType w:start="1"/>
          <w:cols w:space="720" w:num="1"/>
          <w:docGrid w:linePitch="312" w:charSpace="0"/>
        </w:sectPr>
      </w:pPr>
    </w:p>
    <w:p w14:paraId="36DE68C7">
      <w:pPr>
        <w:pStyle w:val="18"/>
        <w:rPr>
          <w:snapToGrid w:val="0"/>
          <w:color w:val="auto"/>
        </w:rPr>
      </w:pPr>
      <w:bookmarkStart w:id="4" w:name="_Toc156751473"/>
      <w:r>
        <w:rPr>
          <w:snapToGrid w:val="0"/>
          <w:color w:val="auto"/>
        </w:rPr>
        <w:t>二、建设项目工程分析</w:t>
      </w:r>
      <w:bookmarkEnd w:id="4"/>
    </w:p>
    <w:tbl>
      <w:tblPr>
        <w:tblStyle w:val="21"/>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8399"/>
      </w:tblGrid>
      <w:tr w14:paraId="41DE2DB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5" w:type="dxa"/>
            <w:vAlign w:val="center"/>
          </w:tcPr>
          <w:p w14:paraId="2AF896C3">
            <w:pPr>
              <w:pStyle w:val="18"/>
              <w:rPr>
                <w:color w:val="auto"/>
                <w:sz w:val="21"/>
                <w:szCs w:val="21"/>
              </w:rPr>
            </w:pPr>
            <w:r>
              <w:rPr>
                <w:color w:val="auto"/>
                <w:sz w:val="21"/>
                <w:szCs w:val="21"/>
              </w:rPr>
              <w:t>建设内容</w:t>
            </w:r>
          </w:p>
        </w:tc>
        <w:tc>
          <w:tcPr>
            <w:tcW w:w="8399" w:type="dxa"/>
          </w:tcPr>
          <w:p w14:paraId="1DBC8A03">
            <w:pPr>
              <w:adjustRightInd w:val="0"/>
              <w:snapToGrid w:val="0"/>
              <w:spacing w:line="500" w:lineRule="exact"/>
              <w:ind w:firstLine="422" w:firstLineChars="200"/>
              <w:jc w:val="left"/>
              <w:rPr>
                <w:b/>
                <w:bCs/>
                <w:color w:val="auto"/>
                <w:szCs w:val="21"/>
              </w:rPr>
            </w:pPr>
            <w:r>
              <w:rPr>
                <w:b/>
                <w:bCs/>
                <w:color w:val="auto"/>
                <w:szCs w:val="21"/>
              </w:rPr>
              <w:t>1. 项目由来</w:t>
            </w:r>
          </w:p>
          <w:p w14:paraId="6D76B6E8">
            <w:pPr>
              <w:adjustRightInd w:val="0"/>
              <w:snapToGrid w:val="0"/>
              <w:spacing w:line="500" w:lineRule="exact"/>
              <w:ind w:firstLine="420" w:firstLineChars="200"/>
              <w:rPr>
                <w:bCs/>
                <w:color w:val="auto"/>
                <w:szCs w:val="21"/>
              </w:rPr>
            </w:pPr>
            <w:r>
              <w:rPr>
                <w:rFonts w:hint="eastAsia"/>
                <w:bCs/>
                <w:color w:val="auto"/>
                <w:szCs w:val="21"/>
              </w:rPr>
              <w:t>江苏瑞兆科电子材料有限公司（以下简称“瑞兆科公司”）于2018年3月6日成立，注册资本金2亿元，由江苏扬农化工集团有限公司和中国中化集团公司（以下简称“中化集团”）分别出资60%和40%，公司注册地为连云港，经营范围：电子材料、化工产品（危化品除外）的研发、生产、技术咨询、技术服务、技术推广、技术转让；化工产品（危化品除外）的销售；危化品的经营（按许可证所列项目经营）；自营和代理各类商品和技术的进出口业务，但国家限定企业经营或禁止进出口的商品和技术除外。</w:t>
            </w:r>
          </w:p>
          <w:p w14:paraId="185FECCE">
            <w:pPr>
              <w:adjustRightInd w:val="0"/>
              <w:snapToGrid w:val="0"/>
              <w:spacing w:line="500" w:lineRule="exact"/>
              <w:ind w:firstLine="420" w:firstLineChars="200"/>
              <w:rPr>
                <w:bCs/>
                <w:color w:val="auto"/>
                <w:szCs w:val="21"/>
              </w:rPr>
            </w:pPr>
            <w:r>
              <w:rPr>
                <w:rFonts w:hint="eastAsia"/>
                <w:bCs/>
                <w:color w:val="auto"/>
                <w:szCs w:val="21"/>
              </w:rPr>
              <w:t>瑞兆科公司生产区和管理区分开设置，生产区内东侧的现有中控品管理楼内布置了</w:t>
            </w:r>
            <w:r>
              <w:rPr>
                <w:rFonts w:hint="eastAsia"/>
                <w:bCs/>
                <w:color w:val="auto"/>
                <w:szCs w:val="21"/>
                <w:lang w:val="en-US" w:eastAsia="zh-CN"/>
              </w:rPr>
              <w:t>实验室等</w:t>
            </w:r>
            <w:r>
              <w:rPr>
                <w:rFonts w:hint="eastAsia"/>
                <w:bCs/>
                <w:color w:val="auto"/>
                <w:szCs w:val="21"/>
              </w:rPr>
              <w:t>。由于该建筑内驻留的生产人员相对集中，瑞兆科公司计划在现有中控品管理楼东侧的</w:t>
            </w:r>
            <w:r>
              <w:rPr>
                <w:rFonts w:hint="eastAsia"/>
                <w:color w:val="auto"/>
                <w:szCs w:val="21"/>
              </w:rPr>
              <w:t>质检及车间管理楼3楼部分改建为品控洁净实验室</w:t>
            </w:r>
            <w:r>
              <w:rPr>
                <w:rFonts w:hint="eastAsia"/>
                <w:bCs/>
                <w:color w:val="auto"/>
                <w:szCs w:val="21"/>
              </w:rPr>
              <w:t>，将现有中控品管理楼内</w:t>
            </w:r>
            <w:r>
              <w:rPr>
                <w:rFonts w:hint="eastAsia"/>
                <w:bCs/>
                <w:color w:val="auto"/>
                <w:szCs w:val="21"/>
                <w:highlight w:val="none"/>
              </w:rPr>
              <w:t>的</w:t>
            </w:r>
            <w:r>
              <w:rPr>
                <w:rFonts w:hint="eastAsia"/>
                <w:bCs/>
                <w:color w:val="auto"/>
                <w:szCs w:val="21"/>
                <w:highlight w:val="none"/>
                <w:lang w:val="en-US" w:eastAsia="zh-CN"/>
              </w:rPr>
              <w:t>实验室</w:t>
            </w:r>
            <w:r>
              <w:rPr>
                <w:rFonts w:hint="eastAsia"/>
                <w:bCs/>
                <w:color w:val="auto"/>
                <w:szCs w:val="21"/>
                <w:highlight w:val="none"/>
              </w:rPr>
              <w:t>功能</w:t>
            </w:r>
            <w:r>
              <w:rPr>
                <w:rFonts w:hint="eastAsia"/>
                <w:bCs/>
                <w:color w:val="auto"/>
                <w:szCs w:val="21"/>
              </w:rPr>
              <w:t>区迁至改建后的质检及车间管理楼，新增</w:t>
            </w:r>
            <w:r>
              <w:rPr>
                <w:rFonts w:hint="eastAsia"/>
                <w:bCs/>
                <w:color w:val="auto"/>
                <w:szCs w:val="21"/>
                <w:lang w:val="en-US" w:eastAsia="zh-CN"/>
              </w:rPr>
              <w:t>部分配套设施</w:t>
            </w:r>
            <w:r>
              <w:rPr>
                <w:rFonts w:hint="eastAsia"/>
                <w:bCs/>
                <w:color w:val="auto"/>
                <w:szCs w:val="21"/>
              </w:rPr>
              <w:t>，作为提升公司本质安全水平和整体安全管理水平的重要举措。项目不涉及现有构筑物的拆除，建设内容主要为：</w:t>
            </w:r>
          </w:p>
          <w:p w14:paraId="07A3FBEC">
            <w:pPr>
              <w:adjustRightInd w:val="0"/>
              <w:snapToGrid w:val="0"/>
              <w:spacing w:line="500" w:lineRule="exact"/>
              <w:ind w:firstLine="420" w:firstLineChars="200"/>
              <w:rPr>
                <w:bCs/>
                <w:color w:val="auto"/>
                <w:szCs w:val="21"/>
                <w:highlight w:val="yellow"/>
              </w:rPr>
            </w:pPr>
            <w:r>
              <w:rPr>
                <w:rFonts w:hint="eastAsia"/>
                <w:bCs/>
                <w:color w:val="auto"/>
                <w:szCs w:val="21"/>
              </w:rPr>
              <w:t>将现有厂区质检及车间管理楼3楼部分改建为品控洁净实验室，</w:t>
            </w:r>
            <w:r>
              <w:rPr>
                <w:rFonts w:hint="eastAsia"/>
                <w:bCs/>
                <w:color w:val="auto"/>
                <w:szCs w:val="21"/>
                <w:lang w:val="en-US" w:eastAsia="zh-CN"/>
              </w:rPr>
              <w:t>包括</w:t>
            </w:r>
            <w:r>
              <w:rPr>
                <w:rFonts w:hint="eastAsia"/>
                <w:bCs/>
                <w:color w:val="auto"/>
                <w:szCs w:val="21"/>
              </w:rPr>
              <w:t>常规分析室、千级洁净室、百级洁净室</w:t>
            </w:r>
            <w:r>
              <w:rPr>
                <w:rFonts w:hint="eastAsia"/>
                <w:bCs/>
                <w:color w:val="auto"/>
                <w:szCs w:val="21"/>
                <w:lang w:val="en-US" w:eastAsia="zh-CN"/>
              </w:rPr>
              <w:t>和分析人员办公室，</w:t>
            </w:r>
            <w:r>
              <w:rPr>
                <w:rFonts w:hint="eastAsia"/>
                <w:bCs/>
                <w:color w:val="auto"/>
                <w:szCs w:val="21"/>
              </w:rPr>
              <w:t>新增</w:t>
            </w:r>
            <w:r>
              <w:rPr>
                <w:rFonts w:hint="eastAsia"/>
                <w:bCs/>
                <w:color w:val="auto"/>
                <w:szCs w:val="21"/>
                <w:lang w:val="en-US" w:eastAsia="zh-CN"/>
              </w:rPr>
              <w:t>部分配套设施等</w:t>
            </w:r>
            <w:r>
              <w:rPr>
                <w:rFonts w:hint="eastAsia"/>
                <w:bCs/>
                <w:color w:val="auto"/>
                <w:szCs w:val="21"/>
              </w:rPr>
              <w:t>，用于电子级产品分析及检测。</w:t>
            </w:r>
          </w:p>
          <w:p w14:paraId="34518EEA">
            <w:pPr>
              <w:adjustRightInd w:val="0"/>
              <w:snapToGrid w:val="0"/>
              <w:spacing w:line="500" w:lineRule="exact"/>
              <w:ind w:firstLine="420" w:firstLineChars="200"/>
              <w:rPr>
                <w:bCs/>
                <w:color w:val="auto"/>
                <w:szCs w:val="21"/>
              </w:rPr>
            </w:pPr>
            <w:r>
              <w:rPr>
                <w:rFonts w:hint="eastAsia"/>
                <w:bCs/>
                <w:color w:val="auto"/>
                <w:szCs w:val="21"/>
              </w:rPr>
              <w:t>本项目已于2026年6月10日取得国家东中西区域合作示范区经济发展局审批的项目备案证，备案证号：示范区经备〔2026〕50号，项目代码：2606-320720-04-02-841358。遵照《中华人民共和国生态环境法典》、《建设项目环境影响评价分类管理名录》（2021年版）</w:t>
            </w:r>
            <w:r>
              <w:rPr>
                <w:rFonts w:hint="eastAsia"/>
                <w:bCs/>
                <w:color w:val="auto"/>
                <w:szCs w:val="21"/>
                <w:lang w:eastAsia="zh-CN"/>
              </w:rPr>
              <w:t>等有关规定</w:t>
            </w:r>
            <w:r>
              <w:rPr>
                <w:rFonts w:hint="eastAsia"/>
                <w:bCs/>
                <w:color w:val="auto"/>
                <w:szCs w:val="21"/>
              </w:rPr>
              <w:t>，本项目含有化验室的建设，属于“四十五、研究和试验发展”中“198、专业实验室、研发（试验）基地”中“其他”类，应编制环境影响报告表，为此江苏瑞兆科电子材料有限公司委托江苏环保产业技术研究院股份公司（以下简称“环评单位”）承担本项目的环境影响评价报告表编制工作。环评单位接到委托后，在现场踏勘调查、资料收集的基础上编制完成了本项目生态环境影响报告表。</w:t>
            </w:r>
          </w:p>
          <w:p w14:paraId="37E46B91">
            <w:pPr>
              <w:adjustRightInd w:val="0"/>
              <w:snapToGrid w:val="0"/>
              <w:spacing w:line="500" w:lineRule="exact"/>
              <w:ind w:firstLine="420" w:firstLineChars="200"/>
              <w:rPr>
                <w:bCs/>
                <w:color w:val="auto"/>
                <w:szCs w:val="21"/>
              </w:rPr>
            </w:pPr>
            <w:r>
              <w:rPr>
                <w:rFonts w:hint="eastAsia"/>
                <w:bCs/>
                <w:color w:val="auto"/>
                <w:szCs w:val="21"/>
              </w:rPr>
              <w:t>本项目的建设和运行应符合安全、消防等相关规定，涉及的安全、消防等相关工作应向相关主管部门另行申报</w:t>
            </w:r>
            <w:r>
              <w:rPr>
                <w:bCs/>
                <w:color w:val="auto"/>
                <w:szCs w:val="21"/>
              </w:rPr>
              <w:t>。</w:t>
            </w:r>
          </w:p>
          <w:p w14:paraId="50FF7B3B">
            <w:pPr>
              <w:adjustRightInd w:val="0"/>
              <w:snapToGrid w:val="0"/>
              <w:spacing w:line="500" w:lineRule="exact"/>
              <w:ind w:firstLine="422" w:firstLineChars="200"/>
              <w:jc w:val="left"/>
              <w:rPr>
                <w:b/>
                <w:bCs/>
                <w:color w:val="auto"/>
                <w:szCs w:val="21"/>
              </w:rPr>
            </w:pPr>
            <w:r>
              <w:rPr>
                <w:b/>
                <w:bCs/>
                <w:color w:val="auto"/>
                <w:szCs w:val="21"/>
              </w:rPr>
              <w:t>2. 项目概况</w:t>
            </w:r>
          </w:p>
          <w:p w14:paraId="7427734D">
            <w:pPr>
              <w:adjustRightInd w:val="0"/>
              <w:snapToGrid w:val="0"/>
              <w:spacing w:line="500" w:lineRule="exact"/>
              <w:ind w:firstLine="420" w:firstLineChars="200"/>
              <w:jc w:val="left"/>
              <w:rPr>
                <w:bCs/>
                <w:color w:val="auto"/>
                <w:szCs w:val="21"/>
              </w:rPr>
            </w:pPr>
            <w:r>
              <w:rPr>
                <w:bCs/>
                <w:color w:val="auto"/>
                <w:szCs w:val="21"/>
              </w:rPr>
              <w:t>项目名称：</w:t>
            </w:r>
            <w:r>
              <w:rPr>
                <w:rFonts w:hint="eastAsia"/>
                <w:bCs/>
                <w:color w:val="auto"/>
                <w:szCs w:val="21"/>
              </w:rPr>
              <w:t>瑞兆科品控洁净实验室项目；</w:t>
            </w:r>
          </w:p>
          <w:p w14:paraId="287F4E41">
            <w:pPr>
              <w:adjustRightInd w:val="0"/>
              <w:snapToGrid w:val="0"/>
              <w:spacing w:line="500" w:lineRule="exact"/>
              <w:ind w:firstLine="420" w:firstLineChars="200"/>
              <w:jc w:val="left"/>
              <w:rPr>
                <w:bCs/>
                <w:color w:val="auto"/>
                <w:szCs w:val="21"/>
              </w:rPr>
            </w:pPr>
            <w:r>
              <w:rPr>
                <w:bCs/>
                <w:color w:val="auto"/>
                <w:szCs w:val="21"/>
              </w:rPr>
              <w:t>项目性质：</w:t>
            </w:r>
            <w:r>
              <w:rPr>
                <w:rFonts w:hint="eastAsia"/>
                <w:bCs/>
                <w:color w:val="auto"/>
                <w:szCs w:val="21"/>
              </w:rPr>
              <w:t>改建；</w:t>
            </w:r>
          </w:p>
          <w:p w14:paraId="36E9E210">
            <w:pPr>
              <w:adjustRightInd w:val="0"/>
              <w:snapToGrid w:val="0"/>
              <w:spacing w:line="500" w:lineRule="exact"/>
              <w:ind w:firstLine="420" w:firstLineChars="200"/>
              <w:jc w:val="left"/>
              <w:rPr>
                <w:bCs/>
                <w:color w:val="auto"/>
                <w:szCs w:val="21"/>
              </w:rPr>
            </w:pPr>
            <w:r>
              <w:rPr>
                <w:rFonts w:hint="eastAsia"/>
                <w:bCs/>
                <w:color w:val="auto"/>
                <w:szCs w:val="21"/>
              </w:rPr>
              <w:t>建设单位</w:t>
            </w:r>
            <w:r>
              <w:rPr>
                <w:bCs/>
                <w:color w:val="auto"/>
                <w:szCs w:val="21"/>
              </w:rPr>
              <w:t>：</w:t>
            </w:r>
            <w:r>
              <w:rPr>
                <w:rFonts w:hint="eastAsia"/>
                <w:bCs/>
                <w:color w:val="auto"/>
                <w:szCs w:val="21"/>
              </w:rPr>
              <w:t>江苏瑞兆科电子材料有限公司；</w:t>
            </w:r>
          </w:p>
          <w:p w14:paraId="45926078">
            <w:pPr>
              <w:adjustRightInd w:val="0"/>
              <w:snapToGrid w:val="0"/>
              <w:spacing w:line="500" w:lineRule="exact"/>
              <w:ind w:firstLine="420" w:firstLineChars="200"/>
              <w:jc w:val="left"/>
              <w:rPr>
                <w:bCs/>
                <w:color w:val="auto"/>
                <w:szCs w:val="21"/>
              </w:rPr>
            </w:pPr>
            <w:r>
              <w:rPr>
                <w:bCs/>
                <w:color w:val="auto"/>
                <w:szCs w:val="21"/>
              </w:rPr>
              <w:t>建设地点：</w:t>
            </w:r>
            <w:r>
              <w:rPr>
                <w:rFonts w:hint="eastAsia"/>
                <w:bCs/>
                <w:color w:val="auto"/>
                <w:szCs w:val="21"/>
              </w:rPr>
              <w:t>连云港市国家东中西区域合作示范区江苏瑞兆科电子材料有限公司质检及车间管理楼三楼；</w:t>
            </w:r>
          </w:p>
          <w:p w14:paraId="1B8BC193">
            <w:pPr>
              <w:adjustRightInd w:val="0"/>
              <w:snapToGrid w:val="0"/>
              <w:spacing w:line="500" w:lineRule="exact"/>
              <w:ind w:firstLine="420" w:firstLineChars="200"/>
              <w:jc w:val="left"/>
              <w:rPr>
                <w:bCs/>
                <w:color w:val="auto"/>
                <w:szCs w:val="21"/>
              </w:rPr>
            </w:pPr>
            <w:r>
              <w:rPr>
                <w:bCs/>
                <w:color w:val="auto"/>
                <w:szCs w:val="21"/>
              </w:rPr>
              <w:t>占地面积：</w:t>
            </w:r>
            <w:r>
              <w:rPr>
                <w:rFonts w:hint="eastAsia"/>
                <w:bCs/>
                <w:color w:val="auto"/>
                <w:szCs w:val="21"/>
              </w:rPr>
              <w:t>300m</w:t>
            </w:r>
            <w:r>
              <w:rPr>
                <w:rFonts w:hint="eastAsia"/>
                <w:bCs/>
                <w:color w:val="auto"/>
                <w:szCs w:val="21"/>
                <w:vertAlign w:val="superscript"/>
              </w:rPr>
              <w:t>2</w:t>
            </w:r>
            <w:r>
              <w:rPr>
                <w:rFonts w:hint="eastAsia"/>
                <w:bCs/>
                <w:color w:val="auto"/>
                <w:szCs w:val="21"/>
              </w:rPr>
              <w:t>；</w:t>
            </w:r>
          </w:p>
          <w:p w14:paraId="5B8DE00B">
            <w:pPr>
              <w:adjustRightInd w:val="0"/>
              <w:snapToGrid w:val="0"/>
              <w:spacing w:line="500" w:lineRule="exact"/>
              <w:ind w:firstLine="420" w:firstLineChars="200"/>
              <w:jc w:val="left"/>
              <w:rPr>
                <w:bCs/>
                <w:color w:val="auto"/>
                <w:szCs w:val="21"/>
              </w:rPr>
            </w:pPr>
            <w:r>
              <w:rPr>
                <w:bCs/>
                <w:color w:val="auto"/>
                <w:szCs w:val="21"/>
              </w:rPr>
              <w:t>投资总额：</w:t>
            </w:r>
            <w:r>
              <w:rPr>
                <w:rFonts w:hint="eastAsia"/>
                <w:color w:val="auto"/>
                <w:szCs w:val="21"/>
              </w:rPr>
              <w:t>890</w:t>
            </w:r>
            <w:r>
              <w:rPr>
                <w:bCs/>
                <w:color w:val="auto"/>
                <w:szCs w:val="21"/>
              </w:rPr>
              <w:t>万元</w:t>
            </w:r>
            <w:r>
              <w:rPr>
                <w:rFonts w:hint="eastAsia"/>
                <w:bCs/>
                <w:color w:val="auto"/>
                <w:szCs w:val="21"/>
              </w:rPr>
              <w:t>；</w:t>
            </w:r>
          </w:p>
          <w:p w14:paraId="6CD8F650">
            <w:pPr>
              <w:adjustRightInd w:val="0"/>
              <w:snapToGrid w:val="0"/>
              <w:spacing w:line="500" w:lineRule="exact"/>
              <w:ind w:firstLine="420" w:firstLineChars="200"/>
              <w:jc w:val="left"/>
              <w:rPr>
                <w:bCs/>
                <w:color w:val="auto"/>
                <w:szCs w:val="21"/>
              </w:rPr>
            </w:pPr>
            <w:r>
              <w:rPr>
                <w:bCs/>
                <w:color w:val="auto"/>
                <w:szCs w:val="21"/>
              </w:rPr>
              <w:t>环保投资：</w:t>
            </w:r>
            <w:r>
              <w:rPr>
                <w:rFonts w:hint="eastAsia"/>
                <w:color w:val="auto"/>
                <w:szCs w:val="21"/>
              </w:rPr>
              <w:t>100</w:t>
            </w:r>
            <w:r>
              <w:rPr>
                <w:bCs/>
                <w:color w:val="auto"/>
                <w:szCs w:val="21"/>
              </w:rPr>
              <w:t>万元，占总投资比例为</w:t>
            </w:r>
            <w:r>
              <w:rPr>
                <w:rFonts w:hint="eastAsia"/>
                <w:bCs/>
                <w:color w:val="auto"/>
                <w:szCs w:val="21"/>
              </w:rPr>
              <w:t>11.2</w:t>
            </w:r>
            <w:r>
              <w:rPr>
                <w:bCs/>
                <w:color w:val="auto"/>
                <w:szCs w:val="21"/>
              </w:rPr>
              <w:t>%</w:t>
            </w:r>
            <w:r>
              <w:rPr>
                <w:rFonts w:hint="eastAsia"/>
                <w:bCs/>
                <w:color w:val="auto"/>
                <w:szCs w:val="21"/>
              </w:rPr>
              <w:t>；</w:t>
            </w:r>
          </w:p>
          <w:p w14:paraId="481E875A">
            <w:pPr>
              <w:adjustRightInd w:val="0"/>
              <w:snapToGrid w:val="0"/>
              <w:spacing w:line="500" w:lineRule="exact"/>
              <w:ind w:firstLine="420" w:firstLineChars="200"/>
              <w:jc w:val="left"/>
              <w:rPr>
                <w:bCs/>
                <w:color w:val="auto"/>
                <w:szCs w:val="21"/>
              </w:rPr>
            </w:pPr>
            <w:r>
              <w:rPr>
                <w:bCs/>
                <w:color w:val="auto"/>
                <w:szCs w:val="21"/>
              </w:rPr>
              <w:t>建设周期：12个月</w:t>
            </w:r>
            <w:r>
              <w:rPr>
                <w:rFonts w:hint="eastAsia"/>
                <w:bCs/>
                <w:color w:val="auto"/>
                <w:szCs w:val="21"/>
              </w:rPr>
              <w:t>。</w:t>
            </w:r>
          </w:p>
          <w:p w14:paraId="563B5CE3">
            <w:pPr>
              <w:adjustRightInd w:val="0"/>
              <w:snapToGrid w:val="0"/>
              <w:spacing w:line="500" w:lineRule="exact"/>
              <w:ind w:firstLine="422" w:firstLineChars="200"/>
              <w:jc w:val="left"/>
              <w:rPr>
                <w:b/>
                <w:bCs/>
                <w:color w:val="auto"/>
                <w:szCs w:val="21"/>
              </w:rPr>
            </w:pPr>
            <w:r>
              <w:rPr>
                <w:b/>
                <w:bCs/>
                <w:color w:val="auto"/>
                <w:szCs w:val="21"/>
              </w:rPr>
              <w:t>3. 建设内容及规模</w:t>
            </w:r>
          </w:p>
          <w:p w14:paraId="29ADE508">
            <w:pPr>
              <w:adjustRightInd w:val="0"/>
              <w:snapToGrid w:val="0"/>
              <w:spacing w:line="500" w:lineRule="exact"/>
              <w:ind w:firstLine="420" w:firstLineChars="200"/>
              <w:rPr>
                <w:bCs/>
                <w:color w:val="auto"/>
                <w:szCs w:val="21"/>
                <w:highlight w:val="none"/>
              </w:rPr>
            </w:pPr>
            <w:r>
              <w:rPr>
                <w:rFonts w:hint="eastAsia"/>
                <w:color w:val="auto"/>
                <w:szCs w:val="21"/>
                <w:highlight w:val="none"/>
              </w:rPr>
              <w:t>本项目将现有厂区质检及车间管理楼3楼部分改建为品控洁净实验室</w:t>
            </w:r>
            <w:r>
              <w:rPr>
                <w:rFonts w:hint="eastAsia"/>
                <w:bCs/>
                <w:color w:val="auto"/>
                <w:szCs w:val="21"/>
              </w:rPr>
              <w:t>，</w:t>
            </w:r>
            <w:r>
              <w:rPr>
                <w:rFonts w:hint="eastAsia"/>
                <w:bCs/>
                <w:color w:val="auto"/>
                <w:szCs w:val="21"/>
                <w:lang w:val="en-US" w:eastAsia="zh-CN"/>
              </w:rPr>
              <w:t>包括</w:t>
            </w:r>
            <w:r>
              <w:rPr>
                <w:rFonts w:hint="eastAsia"/>
                <w:bCs/>
                <w:color w:val="auto"/>
                <w:szCs w:val="21"/>
              </w:rPr>
              <w:t>千级洁净室、百级洁净室</w:t>
            </w:r>
            <w:r>
              <w:rPr>
                <w:rFonts w:hint="eastAsia"/>
                <w:bCs/>
                <w:color w:val="auto"/>
                <w:szCs w:val="21"/>
                <w:lang w:val="en-US" w:eastAsia="zh-CN"/>
              </w:rPr>
              <w:t>和常规区域，</w:t>
            </w:r>
            <w:r>
              <w:rPr>
                <w:rFonts w:hint="eastAsia"/>
                <w:bCs/>
                <w:color w:val="auto"/>
                <w:szCs w:val="21"/>
              </w:rPr>
              <w:t>新增</w:t>
            </w:r>
            <w:r>
              <w:rPr>
                <w:rFonts w:hint="eastAsia"/>
                <w:bCs/>
                <w:color w:val="auto"/>
                <w:szCs w:val="21"/>
                <w:lang w:val="en-US" w:eastAsia="zh-CN"/>
              </w:rPr>
              <w:t>部分配套设施等</w:t>
            </w:r>
            <w:r>
              <w:rPr>
                <w:rFonts w:hint="eastAsia"/>
                <w:bCs/>
                <w:color w:val="auto"/>
                <w:szCs w:val="21"/>
              </w:rPr>
              <w:t>，</w:t>
            </w:r>
            <w:r>
              <w:rPr>
                <w:rFonts w:hint="eastAsia"/>
                <w:color w:val="auto"/>
                <w:szCs w:val="21"/>
                <w:highlight w:val="none"/>
              </w:rPr>
              <w:t>用于中间过程物料及最终产品质量检测、样品分析</w:t>
            </w:r>
            <w:r>
              <w:rPr>
                <w:rFonts w:hint="eastAsia" w:ascii="宋体" w:hAnsi="宋体" w:cs="宋体"/>
                <w:bCs/>
                <w:color w:val="auto"/>
                <w:szCs w:val="21"/>
                <w:highlight w:val="none"/>
              </w:rPr>
              <w:t>。本项目建成后</w:t>
            </w:r>
            <w:r>
              <w:rPr>
                <w:rFonts w:hint="eastAsia"/>
                <w:bCs/>
                <w:color w:val="auto"/>
                <w:szCs w:val="21"/>
                <w:highlight w:val="none"/>
              </w:rPr>
              <w:t>现有中控品管理楼内的质检分析实验室将不再使用。</w:t>
            </w:r>
          </w:p>
          <w:p w14:paraId="3E675E76">
            <w:pPr>
              <w:spacing w:line="500" w:lineRule="exact"/>
              <w:ind w:firstLine="420" w:firstLineChars="200"/>
              <w:rPr>
                <w:rFonts w:hint="default" w:eastAsia="宋体"/>
                <w:color w:val="auto"/>
                <w:szCs w:val="21"/>
                <w:lang w:val="en-US" w:eastAsia="zh-CN"/>
              </w:rPr>
            </w:pPr>
            <w:r>
              <w:rPr>
                <w:rFonts w:hint="eastAsia"/>
                <w:color w:val="auto"/>
                <w:szCs w:val="21"/>
              </w:rPr>
              <w:t>主体工程</w:t>
            </w:r>
            <w:r>
              <w:rPr>
                <w:color w:val="auto"/>
                <w:szCs w:val="21"/>
              </w:rPr>
              <w:t>具体建设内容见表2-1。</w:t>
            </w:r>
            <w:r>
              <w:rPr>
                <w:rFonts w:hint="eastAsia"/>
                <w:color w:val="auto"/>
                <w:szCs w:val="21"/>
                <w:lang w:val="en-US" w:eastAsia="zh-CN"/>
              </w:rPr>
              <w:t>本项目百级洁净室、千级洁净室均参照《洁净厂房设计规范》（GB50073-2013）、ISO14644-1规范要求进行建设。</w:t>
            </w:r>
          </w:p>
          <w:p w14:paraId="3603C30D">
            <w:pPr>
              <w:snapToGrid w:val="0"/>
              <w:spacing w:line="500" w:lineRule="exact"/>
              <w:jc w:val="center"/>
              <w:rPr>
                <w:b/>
                <w:color w:val="auto"/>
                <w:szCs w:val="21"/>
              </w:rPr>
            </w:pPr>
            <w:r>
              <w:rPr>
                <w:b/>
                <w:color w:val="auto"/>
                <w:szCs w:val="21"/>
              </w:rPr>
              <w:t>表2-1</w:t>
            </w:r>
            <w:r>
              <w:rPr>
                <w:rFonts w:hint="eastAsia"/>
                <w:b/>
                <w:color w:val="auto"/>
                <w:szCs w:val="21"/>
              </w:rPr>
              <w:t>（1）</w:t>
            </w:r>
            <w:r>
              <w:rPr>
                <w:b/>
                <w:color w:val="auto"/>
                <w:szCs w:val="21"/>
              </w:rPr>
              <w:t xml:space="preserve">  本项目</w:t>
            </w:r>
            <w:r>
              <w:rPr>
                <w:rFonts w:hint="eastAsia"/>
                <w:b/>
                <w:color w:val="auto"/>
                <w:szCs w:val="21"/>
              </w:rPr>
              <w:t>主体工程</w:t>
            </w:r>
            <w:r>
              <w:rPr>
                <w:b/>
                <w:color w:val="auto"/>
                <w:szCs w:val="21"/>
              </w:rPr>
              <w:t>建设内容</w:t>
            </w:r>
          </w:p>
          <w:tbl>
            <w:tblPr>
              <w:tblStyle w:val="21"/>
              <w:tblW w:w="0" w:type="auto"/>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57" w:type="dxa"/>
                <w:left w:w="108" w:type="dxa"/>
                <w:bottom w:w="57" w:type="dxa"/>
                <w:right w:w="108" w:type="dxa"/>
              </w:tblCellMar>
            </w:tblPr>
            <w:tblGrid>
              <w:gridCol w:w="446"/>
              <w:gridCol w:w="708"/>
              <w:gridCol w:w="993"/>
              <w:gridCol w:w="4110"/>
              <w:gridCol w:w="1895"/>
            </w:tblGrid>
            <w:tr w14:paraId="7588712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57" w:type="dxa"/>
                  <w:left w:w="108" w:type="dxa"/>
                  <w:bottom w:w="57" w:type="dxa"/>
                  <w:right w:w="108" w:type="dxa"/>
                </w:tblCellMar>
              </w:tblPrEx>
              <w:tc>
                <w:tcPr>
                  <w:tcW w:w="446" w:type="dxa"/>
                  <w:vAlign w:val="center"/>
                </w:tcPr>
                <w:p w14:paraId="4CE79038">
                  <w:pPr>
                    <w:jc w:val="center"/>
                    <w:rPr>
                      <w:b/>
                      <w:color w:val="auto"/>
                      <w:sz w:val="18"/>
                      <w:szCs w:val="18"/>
                      <w:lang w:eastAsia="ko-KR"/>
                    </w:rPr>
                  </w:pPr>
                  <w:r>
                    <w:rPr>
                      <w:b/>
                      <w:color w:val="auto"/>
                      <w:sz w:val="18"/>
                      <w:szCs w:val="18"/>
                      <w:lang w:eastAsia="ko-KR"/>
                    </w:rPr>
                    <w:t>序号</w:t>
                  </w:r>
                </w:p>
              </w:tc>
              <w:tc>
                <w:tcPr>
                  <w:tcW w:w="708" w:type="dxa"/>
                  <w:vAlign w:val="center"/>
                </w:tcPr>
                <w:p w14:paraId="195D969D">
                  <w:pPr>
                    <w:jc w:val="center"/>
                    <w:rPr>
                      <w:rFonts w:eastAsia="Malgun Gothic"/>
                      <w:b/>
                      <w:color w:val="auto"/>
                      <w:sz w:val="18"/>
                      <w:szCs w:val="18"/>
                      <w:lang w:eastAsia="ko-KR"/>
                    </w:rPr>
                  </w:pPr>
                  <w:r>
                    <w:rPr>
                      <w:rFonts w:hint="eastAsia"/>
                      <w:b/>
                      <w:color w:val="auto"/>
                      <w:sz w:val="18"/>
                      <w:szCs w:val="18"/>
                    </w:rPr>
                    <w:t>工程分类</w:t>
                  </w:r>
                </w:p>
              </w:tc>
              <w:tc>
                <w:tcPr>
                  <w:tcW w:w="993" w:type="dxa"/>
                  <w:vAlign w:val="center"/>
                </w:tcPr>
                <w:p w14:paraId="104135EB">
                  <w:pPr>
                    <w:jc w:val="center"/>
                    <w:rPr>
                      <w:b/>
                      <w:color w:val="auto"/>
                      <w:sz w:val="18"/>
                      <w:szCs w:val="18"/>
                      <w:lang w:eastAsia="ko-KR"/>
                    </w:rPr>
                  </w:pPr>
                  <w:r>
                    <w:rPr>
                      <w:rFonts w:hint="eastAsia"/>
                      <w:b/>
                      <w:color w:val="auto"/>
                      <w:sz w:val="18"/>
                      <w:szCs w:val="18"/>
                    </w:rPr>
                    <w:t>工程名称</w:t>
                  </w:r>
                </w:p>
              </w:tc>
              <w:tc>
                <w:tcPr>
                  <w:tcW w:w="4110" w:type="dxa"/>
                  <w:vAlign w:val="center"/>
                </w:tcPr>
                <w:p w14:paraId="41FBB99C">
                  <w:pPr>
                    <w:jc w:val="center"/>
                    <w:rPr>
                      <w:b/>
                      <w:color w:val="auto"/>
                      <w:sz w:val="18"/>
                      <w:szCs w:val="18"/>
                    </w:rPr>
                  </w:pPr>
                  <w:r>
                    <w:rPr>
                      <w:rFonts w:hint="eastAsia"/>
                      <w:b/>
                      <w:color w:val="auto"/>
                      <w:sz w:val="18"/>
                      <w:szCs w:val="18"/>
                    </w:rPr>
                    <w:t>设计能力</w:t>
                  </w:r>
                </w:p>
              </w:tc>
              <w:tc>
                <w:tcPr>
                  <w:tcW w:w="1895" w:type="dxa"/>
                  <w:vAlign w:val="center"/>
                </w:tcPr>
                <w:p w14:paraId="7E53C388">
                  <w:pPr>
                    <w:jc w:val="center"/>
                    <w:rPr>
                      <w:b/>
                      <w:color w:val="auto"/>
                      <w:sz w:val="18"/>
                      <w:szCs w:val="18"/>
                      <w:lang w:eastAsia="ko-KR"/>
                    </w:rPr>
                  </w:pPr>
                  <w:r>
                    <w:rPr>
                      <w:rFonts w:hint="eastAsia"/>
                      <w:b/>
                      <w:color w:val="auto"/>
                      <w:sz w:val="18"/>
                      <w:szCs w:val="18"/>
                    </w:rPr>
                    <w:t>功能</w:t>
                  </w:r>
                </w:p>
              </w:tc>
            </w:tr>
            <w:tr w14:paraId="6C256C3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57" w:type="dxa"/>
                  <w:left w:w="108" w:type="dxa"/>
                  <w:bottom w:w="57" w:type="dxa"/>
                  <w:right w:w="108" w:type="dxa"/>
                </w:tblCellMar>
              </w:tblPrEx>
              <w:trPr>
                <w:trHeight w:val="1424" w:hRule="atLeast"/>
              </w:trPr>
              <w:tc>
                <w:tcPr>
                  <w:tcW w:w="446" w:type="dxa"/>
                  <w:vAlign w:val="center"/>
                </w:tcPr>
                <w:p w14:paraId="63286E56">
                  <w:pPr>
                    <w:jc w:val="center"/>
                    <w:rPr>
                      <w:color w:val="auto"/>
                      <w:sz w:val="18"/>
                      <w:szCs w:val="18"/>
                    </w:rPr>
                  </w:pPr>
                  <w:r>
                    <w:rPr>
                      <w:color w:val="auto"/>
                      <w:sz w:val="18"/>
                      <w:szCs w:val="18"/>
                    </w:rPr>
                    <w:t>1</w:t>
                  </w:r>
                </w:p>
              </w:tc>
              <w:tc>
                <w:tcPr>
                  <w:tcW w:w="708" w:type="dxa"/>
                  <w:vAlign w:val="center"/>
                </w:tcPr>
                <w:p w14:paraId="7B544763">
                  <w:pPr>
                    <w:jc w:val="center"/>
                    <w:rPr>
                      <w:color w:val="auto"/>
                      <w:sz w:val="18"/>
                      <w:szCs w:val="18"/>
                    </w:rPr>
                  </w:pPr>
                  <w:r>
                    <w:rPr>
                      <w:rFonts w:hint="eastAsia"/>
                      <w:color w:val="auto"/>
                      <w:sz w:val="18"/>
                      <w:szCs w:val="18"/>
                    </w:rPr>
                    <w:t>主体工程</w:t>
                  </w:r>
                </w:p>
              </w:tc>
              <w:tc>
                <w:tcPr>
                  <w:tcW w:w="993" w:type="dxa"/>
                  <w:vAlign w:val="center"/>
                </w:tcPr>
                <w:p w14:paraId="6EAF3000">
                  <w:pPr>
                    <w:jc w:val="center"/>
                    <w:rPr>
                      <w:color w:val="auto"/>
                      <w:sz w:val="18"/>
                      <w:szCs w:val="18"/>
                    </w:rPr>
                  </w:pPr>
                  <w:r>
                    <w:rPr>
                      <w:rFonts w:hint="eastAsia"/>
                      <w:color w:val="auto"/>
                      <w:sz w:val="18"/>
                      <w:szCs w:val="18"/>
                    </w:rPr>
                    <w:t>品控洁净实验室</w:t>
                  </w:r>
                </w:p>
              </w:tc>
              <w:tc>
                <w:tcPr>
                  <w:tcW w:w="4110" w:type="dxa"/>
                  <w:vAlign w:val="center"/>
                </w:tcPr>
                <w:p w14:paraId="7A7C5C42">
                  <w:pPr>
                    <w:jc w:val="center"/>
                    <w:rPr>
                      <w:rFonts w:hint="default" w:eastAsia="宋体"/>
                      <w:color w:val="auto"/>
                      <w:sz w:val="18"/>
                      <w:szCs w:val="18"/>
                      <w:highlight w:val="yellow"/>
                      <w:lang w:val="en-US" w:eastAsia="zh-CN"/>
                    </w:rPr>
                  </w:pPr>
                  <w:r>
                    <w:rPr>
                      <w:rFonts w:hint="eastAsia"/>
                      <w:color w:val="auto"/>
                      <w:sz w:val="18"/>
                      <w:szCs w:val="18"/>
                    </w:rPr>
                    <w:t>位于质检及车间管理楼3楼，占地面积300m</w:t>
                  </w:r>
                  <w:r>
                    <w:rPr>
                      <w:rFonts w:hint="eastAsia"/>
                      <w:color w:val="auto"/>
                      <w:sz w:val="18"/>
                      <w:szCs w:val="18"/>
                      <w:vertAlign w:val="superscript"/>
                    </w:rPr>
                    <w:t>2</w:t>
                  </w:r>
                  <w:r>
                    <w:rPr>
                      <w:rFonts w:hint="eastAsia"/>
                      <w:color w:val="auto"/>
                      <w:sz w:val="18"/>
                      <w:szCs w:val="18"/>
                    </w:rPr>
                    <w:t>，用于中间过程物料及最终产品质量检测、样品分析</w:t>
                  </w:r>
                  <w:r>
                    <w:rPr>
                      <w:rFonts w:hint="eastAsia"/>
                      <w:color w:val="auto"/>
                      <w:sz w:val="18"/>
                      <w:szCs w:val="18"/>
                      <w:lang w:eastAsia="zh-CN"/>
                    </w:rPr>
                    <w:t>；</w:t>
                  </w:r>
                  <w:r>
                    <w:rPr>
                      <w:rFonts w:hint="eastAsia"/>
                      <w:color w:val="auto"/>
                      <w:sz w:val="18"/>
                      <w:szCs w:val="18"/>
                    </w:rPr>
                    <w:t>质检及车间管理楼</w:t>
                  </w:r>
                  <w:r>
                    <w:rPr>
                      <w:rFonts w:hint="eastAsia"/>
                      <w:color w:val="auto"/>
                      <w:sz w:val="18"/>
                      <w:szCs w:val="18"/>
                      <w:lang w:val="en-US" w:eastAsia="zh-CN"/>
                    </w:rPr>
                    <w:t>1</w:t>
                  </w:r>
                  <w:r>
                    <w:rPr>
                      <w:rFonts w:hint="eastAsia"/>
                      <w:color w:val="auto"/>
                      <w:sz w:val="18"/>
                      <w:szCs w:val="18"/>
                    </w:rPr>
                    <w:t>楼</w:t>
                  </w:r>
                  <w:r>
                    <w:rPr>
                      <w:rFonts w:hint="eastAsia"/>
                      <w:color w:val="auto"/>
                      <w:sz w:val="18"/>
                      <w:szCs w:val="18"/>
                      <w:lang w:val="en-US" w:eastAsia="zh-CN"/>
                    </w:rPr>
                    <w:t>配套设置约7m</w:t>
                  </w:r>
                  <w:r>
                    <w:rPr>
                      <w:rFonts w:hint="eastAsia"/>
                      <w:color w:val="auto"/>
                      <w:sz w:val="18"/>
                      <w:szCs w:val="18"/>
                      <w:vertAlign w:val="superscript"/>
                      <w:lang w:val="en-US" w:eastAsia="zh-CN"/>
                    </w:rPr>
                    <w:t>2</w:t>
                  </w:r>
                  <w:r>
                    <w:rPr>
                      <w:rFonts w:hint="eastAsia"/>
                      <w:color w:val="auto"/>
                      <w:sz w:val="18"/>
                      <w:szCs w:val="18"/>
                      <w:lang w:val="en-US" w:eastAsia="zh-CN"/>
                    </w:rPr>
                    <w:t>钢瓶间</w:t>
                  </w:r>
                </w:p>
              </w:tc>
              <w:tc>
                <w:tcPr>
                  <w:tcW w:w="1895" w:type="dxa"/>
                  <w:vAlign w:val="center"/>
                </w:tcPr>
                <w:p w14:paraId="4E31229B">
                  <w:pPr>
                    <w:jc w:val="center"/>
                    <w:rPr>
                      <w:rFonts w:hint="default" w:eastAsia="宋体"/>
                      <w:color w:val="auto"/>
                      <w:sz w:val="18"/>
                      <w:szCs w:val="18"/>
                      <w:highlight w:val="yellow"/>
                      <w:lang w:val="en-US" w:eastAsia="zh-CN"/>
                    </w:rPr>
                  </w:pPr>
                  <w:r>
                    <w:rPr>
                      <w:rFonts w:hint="eastAsia"/>
                      <w:color w:val="auto"/>
                      <w:sz w:val="18"/>
                      <w:szCs w:val="18"/>
                      <w:highlight w:val="none"/>
                    </w:rPr>
                    <w:t>设千级洁净室、百级洁净室和常规区域等</w:t>
                  </w:r>
                  <w:r>
                    <w:rPr>
                      <w:rFonts w:hint="eastAsia"/>
                      <w:color w:val="auto"/>
                      <w:sz w:val="18"/>
                      <w:szCs w:val="18"/>
                      <w:highlight w:val="none"/>
                      <w:lang w:eastAsia="zh-CN"/>
                    </w:rPr>
                    <w:t>；</w:t>
                  </w:r>
                  <w:r>
                    <w:rPr>
                      <w:rFonts w:hint="eastAsia"/>
                      <w:color w:val="auto"/>
                      <w:sz w:val="18"/>
                      <w:szCs w:val="18"/>
                      <w:highlight w:val="none"/>
                      <w:lang w:val="en-US" w:eastAsia="zh-CN"/>
                    </w:rPr>
                    <w:t>配套设置钢瓶间</w:t>
                  </w:r>
                </w:p>
              </w:tc>
            </w:tr>
          </w:tbl>
          <w:p w14:paraId="20792908">
            <w:pPr>
              <w:snapToGrid w:val="0"/>
              <w:spacing w:line="500" w:lineRule="exact"/>
              <w:jc w:val="center"/>
              <w:rPr>
                <w:rFonts w:hint="default" w:eastAsia="宋体"/>
                <w:b/>
                <w:color w:val="auto"/>
                <w:szCs w:val="21"/>
                <w:lang w:val="en-US" w:eastAsia="zh-CN"/>
              </w:rPr>
            </w:pPr>
            <w:r>
              <w:rPr>
                <w:b/>
                <w:color w:val="auto"/>
                <w:szCs w:val="21"/>
              </w:rPr>
              <w:t>表2-1</w:t>
            </w:r>
            <w:r>
              <w:rPr>
                <w:rFonts w:hint="eastAsia"/>
                <w:b/>
                <w:color w:val="auto"/>
                <w:szCs w:val="21"/>
              </w:rPr>
              <w:t>（</w:t>
            </w:r>
            <w:r>
              <w:rPr>
                <w:rFonts w:hint="eastAsia"/>
                <w:b/>
                <w:color w:val="auto"/>
                <w:szCs w:val="21"/>
                <w:lang w:val="en-US" w:eastAsia="zh-CN"/>
              </w:rPr>
              <w:t>2</w:t>
            </w:r>
            <w:r>
              <w:rPr>
                <w:rFonts w:hint="eastAsia"/>
                <w:b/>
                <w:color w:val="auto"/>
                <w:szCs w:val="21"/>
              </w:rPr>
              <w:t>）</w:t>
            </w:r>
            <w:r>
              <w:rPr>
                <w:b/>
                <w:color w:val="auto"/>
                <w:szCs w:val="21"/>
              </w:rPr>
              <w:t xml:space="preserve">  本项目</w:t>
            </w:r>
            <w:r>
              <w:rPr>
                <w:rFonts w:hint="eastAsia"/>
                <w:b/>
                <w:color w:val="auto"/>
                <w:szCs w:val="21"/>
                <w:lang w:val="en-US" w:eastAsia="zh-CN"/>
              </w:rPr>
              <w:t>实验室分区</w:t>
            </w:r>
          </w:p>
          <w:tbl>
            <w:tblPr>
              <w:tblStyle w:val="21"/>
              <w:tblW w:w="4998"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57" w:type="dxa"/>
                <w:left w:w="108" w:type="dxa"/>
                <w:bottom w:w="57" w:type="dxa"/>
                <w:right w:w="108" w:type="dxa"/>
              </w:tblCellMar>
            </w:tblPr>
            <w:tblGrid>
              <w:gridCol w:w="581"/>
              <w:gridCol w:w="923"/>
              <w:gridCol w:w="1298"/>
              <w:gridCol w:w="5378"/>
            </w:tblGrid>
            <w:tr w14:paraId="69BF55E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57" w:type="dxa"/>
                  <w:left w:w="108" w:type="dxa"/>
                  <w:bottom w:w="57" w:type="dxa"/>
                  <w:right w:w="108" w:type="dxa"/>
                </w:tblCellMar>
              </w:tblPrEx>
              <w:tc>
                <w:tcPr>
                  <w:tcW w:w="355" w:type="pct"/>
                  <w:vAlign w:val="center"/>
                </w:tcPr>
                <w:p w14:paraId="61802CF0">
                  <w:pPr>
                    <w:jc w:val="center"/>
                    <w:rPr>
                      <w:b/>
                      <w:color w:val="auto"/>
                      <w:sz w:val="18"/>
                      <w:szCs w:val="18"/>
                      <w:lang w:eastAsia="ko-KR"/>
                    </w:rPr>
                  </w:pPr>
                  <w:r>
                    <w:rPr>
                      <w:b/>
                      <w:color w:val="auto"/>
                      <w:sz w:val="18"/>
                      <w:szCs w:val="18"/>
                      <w:lang w:eastAsia="ko-KR"/>
                    </w:rPr>
                    <w:t>序号</w:t>
                  </w:r>
                </w:p>
              </w:tc>
              <w:tc>
                <w:tcPr>
                  <w:tcW w:w="564" w:type="pct"/>
                  <w:vAlign w:val="center"/>
                </w:tcPr>
                <w:p w14:paraId="0CEA6387">
                  <w:pPr>
                    <w:jc w:val="center"/>
                    <w:rPr>
                      <w:rFonts w:eastAsia="Malgun Gothic"/>
                      <w:b/>
                      <w:color w:val="auto"/>
                      <w:sz w:val="18"/>
                      <w:szCs w:val="18"/>
                      <w:lang w:eastAsia="ko-KR"/>
                    </w:rPr>
                  </w:pPr>
                  <w:r>
                    <w:rPr>
                      <w:rFonts w:hint="eastAsia"/>
                      <w:b/>
                      <w:color w:val="auto"/>
                      <w:sz w:val="18"/>
                      <w:szCs w:val="18"/>
                    </w:rPr>
                    <w:t>分类</w:t>
                  </w:r>
                </w:p>
              </w:tc>
              <w:tc>
                <w:tcPr>
                  <w:tcW w:w="793" w:type="pct"/>
                  <w:vAlign w:val="center"/>
                </w:tcPr>
                <w:p w14:paraId="2E6FF13E">
                  <w:pPr>
                    <w:jc w:val="center"/>
                    <w:rPr>
                      <w:rFonts w:hint="eastAsia" w:eastAsia="宋体"/>
                      <w:b/>
                      <w:color w:val="auto"/>
                      <w:sz w:val="18"/>
                      <w:szCs w:val="18"/>
                      <w:lang w:eastAsia="zh-CN"/>
                    </w:rPr>
                  </w:pPr>
                  <w:r>
                    <w:rPr>
                      <w:rFonts w:hint="eastAsia"/>
                      <w:b/>
                      <w:color w:val="auto"/>
                      <w:sz w:val="18"/>
                      <w:szCs w:val="18"/>
                      <w:lang w:val="en-US" w:eastAsia="zh-CN"/>
                    </w:rPr>
                    <w:t>面积</w:t>
                  </w:r>
                </w:p>
              </w:tc>
              <w:tc>
                <w:tcPr>
                  <w:tcW w:w="3286" w:type="pct"/>
                  <w:vAlign w:val="center"/>
                </w:tcPr>
                <w:p w14:paraId="5D5DA70C">
                  <w:pPr>
                    <w:jc w:val="center"/>
                    <w:rPr>
                      <w:rFonts w:hint="eastAsia" w:eastAsia="宋体"/>
                      <w:b/>
                      <w:color w:val="auto"/>
                      <w:sz w:val="18"/>
                      <w:szCs w:val="18"/>
                      <w:lang w:eastAsia="zh-CN"/>
                    </w:rPr>
                  </w:pPr>
                  <w:r>
                    <w:rPr>
                      <w:rFonts w:hint="eastAsia"/>
                      <w:b/>
                      <w:color w:val="auto"/>
                      <w:sz w:val="18"/>
                      <w:szCs w:val="18"/>
                      <w:lang w:val="en-US" w:eastAsia="zh-CN"/>
                    </w:rPr>
                    <w:t>组成</w:t>
                  </w:r>
                </w:p>
              </w:tc>
            </w:tr>
            <w:tr w14:paraId="5445121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57" w:type="dxa"/>
                  <w:left w:w="108" w:type="dxa"/>
                  <w:bottom w:w="57" w:type="dxa"/>
                  <w:right w:w="108" w:type="dxa"/>
                </w:tblCellMar>
              </w:tblPrEx>
              <w:trPr>
                <w:trHeight w:val="90" w:hRule="atLeast"/>
              </w:trPr>
              <w:tc>
                <w:tcPr>
                  <w:tcW w:w="355" w:type="pct"/>
                  <w:vAlign w:val="center"/>
                </w:tcPr>
                <w:p w14:paraId="6DEB27C6">
                  <w:pPr>
                    <w:jc w:val="center"/>
                    <w:rPr>
                      <w:rFonts w:hint="eastAsia" w:eastAsia="宋体"/>
                      <w:color w:val="auto"/>
                      <w:sz w:val="18"/>
                      <w:szCs w:val="18"/>
                      <w:lang w:val="en-US" w:eastAsia="zh-CN"/>
                    </w:rPr>
                  </w:pPr>
                  <w:r>
                    <w:rPr>
                      <w:rFonts w:hint="eastAsia"/>
                      <w:color w:val="auto"/>
                      <w:sz w:val="18"/>
                      <w:szCs w:val="18"/>
                      <w:lang w:val="en-US" w:eastAsia="zh-CN"/>
                    </w:rPr>
                    <w:t>1</w:t>
                  </w:r>
                </w:p>
              </w:tc>
              <w:tc>
                <w:tcPr>
                  <w:tcW w:w="564" w:type="pct"/>
                  <w:vAlign w:val="center"/>
                </w:tcPr>
                <w:p w14:paraId="5AEF1095">
                  <w:pPr>
                    <w:jc w:val="center"/>
                    <w:rPr>
                      <w:rFonts w:hint="eastAsia"/>
                      <w:color w:val="auto"/>
                      <w:sz w:val="18"/>
                      <w:szCs w:val="18"/>
                      <w:highlight w:val="none"/>
                    </w:rPr>
                  </w:pPr>
                </w:p>
              </w:tc>
              <w:tc>
                <w:tcPr>
                  <w:tcW w:w="793" w:type="pct"/>
                  <w:vAlign w:val="center"/>
                </w:tcPr>
                <w:p w14:paraId="462C8206">
                  <w:pPr>
                    <w:jc w:val="center"/>
                    <w:rPr>
                      <w:rFonts w:hint="eastAsia"/>
                      <w:color w:val="auto"/>
                      <w:sz w:val="18"/>
                      <w:szCs w:val="18"/>
                    </w:rPr>
                  </w:pPr>
                </w:p>
              </w:tc>
              <w:tc>
                <w:tcPr>
                  <w:tcW w:w="3286" w:type="pct"/>
                  <w:vAlign w:val="center"/>
                </w:tcPr>
                <w:p w14:paraId="6534143A">
                  <w:pPr>
                    <w:jc w:val="center"/>
                    <w:rPr>
                      <w:rFonts w:hint="default" w:eastAsia="宋体"/>
                      <w:color w:val="auto"/>
                      <w:sz w:val="18"/>
                      <w:szCs w:val="18"/>
                      <w:lang w:val="en-US" w:eastAsia="zh-CN"/>
                    </w:rPr>
                  </w:pPr>
                </w:p>
              </w:tc>
            </w:tr>
            <w:tr w14:paraId="140DAB8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57" w:type="dxa"/>
                  <w:left w:w="108" w:type="dxa"/>
                  <w:bottom w:w="57" w:type="dxa"/>
                  <w:right w:w="108" w:type="dxa"/>
                </w:tblCellMar>
              </w:tblPrEx>
              <w:trPr>
                <w:trHeight w:val="90" w:hRule="atLeast"/>
              </w:trPr>
              <w:tc>
                <w:tcPr>
                  <w:tcW w:w="355" w:type="pct"/>
                  <w:vAlign w:val="center"/>
                </w:tcPr>
                <w:p w14:paraId="074B22E0">
                  <w:pPr>
                    <w:jc w:val="center"/>
                    <w:rPr>
                      <w:rFonts w:hint="eastAsia" w:eastAsia="宋体"/>
                      <w:color w:val="auto"/>
                      <w:sz w:val="18"/>
                      <w:szCs w:val="18"/>
                      <w:lang w:val="en-US" w:eastAsia="zh-CN"/>
                    </w:rPr>
                  </w:pPr>
                  <w:r>
                    <w:rPr>
                      <w:rFonts w:hint="eastAsia"/>
                      <w:color w:val="auto"/>
                      <w:sz w:val="18"/>
                      <w:szCs w:val="18"/>
                      <w:lang w:val="en-US" w:eastAsia="zh-CN"/>
                    </w:rPr>
                    <w:t>2</w:t>
                  </w:r>
                </w:p>
              </w:tc>
              <w:tc>
                <w:tcPr>
                  <w:tcW w:w="564" w:type="pct"/>
                  <w:vAlign w:val="center"/>
                </w:tcPr>
                <w:p w14:paraId="2A9E5090">
                  <w:pPr>
                    <w:jc w:val="center"/>
                    <w:rPr>
                      <w:rFonts w:hint="eastAsia"/>
                      <w:color w:val="auto"/>
                      <w:sz w:val="18"/>
                      <w:szCs w:val="18"/>
                      <w:highlight w:val="none"/>
                    </w:rPr>
                  </w:pPr>
                </w:p>
              </w:tc>
              <w:tc>
                <w:tcPr>
                  <w:tcW w:w="793" w:type="pct"/>
                  <w:vAlign w:val="center"/>
                </w:tcPr>
                <w:p w14:paraId="0A47EF9C">
                  <w:pPr>
                    <w:jc w:val="center"/>
                    <w:rPr>
                      <w:rFonts w:hint="eastAsia"/>
                      <w:color w:val="auto"/>
                      <w:sz w:val="18"/>
                      <w:szCs w:val="18"/>
                    </w:rPr>
                  </w:pPr>
                </w:p>
              </w:tc>
              <w:tc>
                <w:tcPr>
                  <w:tcW w:w="3286" w:type="pct"/>
                  <w:vAlign w:val="center"/>
                </w:tcPr>
                <w:p w14:paraId="72574ACD">
                  <w:pPr>
                    <w:jc w:val="center"/>
                    <w:rPr>
                      <w:rFonts w:hint="default"/>
                      <w:color w:val="auto"/>
                      <w:sz w:val="18"/>
                      <w:szCs w:val="18"/>
                      <w:lang w:val="en-US"/>
                    </w:rPr>
                  </w:pPr>
                </w:p>
              </w:tc>
            </w:tr>
            <w:tr w14:paraId="399613F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57" w:type="dxa"/>
                  <w:left w:w="108" w:type="dxa"/>
                  <w:bottom w:w="57" w:type="dxa"/>
                  <w:right w:w="108" w:type="dxa"/>
                </w:tblCellMar>
              </w:tblPrEx>
              <w:trPr>
                <w:trHeight w:val="90" w:hRule="atLeast"/>
              </w:trPr>
              <w:tc>
                <w:tcPr>
                  <w:tcW w:w="355" w:type="pct"/>
                  <w:vAlign w:val="center"/>
                </w:tcPr>
                <w:p w14:paraId="285B2214">
                  <w:pPr>
                    <w:jc w:val="center"/>
                    <w:rPr>
                      <w:rFonts w:hint="default"/>
                      <w:color w:val="auto"/>
                      <w:sz w:val="18"/>
                      <w:szCs w:val="18"/>
                      <w:lang w:val="en-US" w:eastAsia="zh-CN"/>
                    </w:rPr>
                  </w:pPr>
                  <w:r>
                    <w:rPr>
                      <w:rFonts w:hint="eastAsia"/>
                      <w:color w:val="auto"/>
                      <w:sz w:val="18"/>
                      <w:szCs w:val="18"/>
                      <w:lang w:val="en-US" w:eastAsia="zh-CN"/>
                    </w:rPr>
                    <w:t>3</w:t>
                  </w:r>
                </w:p>
              </w:tc>
              <w:tc>
                <w:tcPr>
                  <w:tcW w:w="564" w:type="pct"/>
                  <w:vAlign w:val="center"/>
                </w:tcPr>
                <w:p w14:paraId="53157DC1">
                  <w:pPr>
                    <w:jc w:val="center"/>
                    <w:rPr>
                      <w:rFonts w:hint="eastAsia"/>
                      <w:color w:val="auto"/>
                      <w:sz w:val="18"/>
                      <w:szCs w:val="18"/>
                      <w:highlight w:val="none"/>
                    </w:rPr>
                  </w:pPr>
                </w:p>
              </w:tc>
              <w:tc>
                <w:tcPr>
                  <w:tcW w:w="793" w:type="pct"/>
                  <w:vAlign w:val="center"/>
                </w:tcPr>
                <w:p w14:paraId="339CAB8C">
                  <w:pPr>
                    <w:jc w:val="center"/>
                    <w:rPr>
                      <w:rFonts w:hint="eastAsia"/>
                      <w:color w:val="auto"/>
                      <w:sz w:val="18"/>
                      <w:szCs w:val="18"/>
                      <w:lang w:val="en-US" w:eastAsia="zh-CN"/>
                    </w:rPr>
                  </w:pPr>
                </w:p>
              </w:tc>
              <w:tc>
                <w:tcPr>
                  <w:tcW w:w="3286" w:type="pct"/>
                  <w:vAlign w:val="center"/>
                </w:tcPr>
                <w:p w14:paraId="457970DA">
                  <w:pPr>
                    <w:jc w:val="center"/>
                    <w:rPr>
                      <w:rFonts w:hint="default"/>
                      <w:color w:val="auto"/>
                      <w:sz w:val="18"/>
                      <w:szCs w:val="18"/>
                      <w:lang w:val="en-US" w:eastAsia="zh-CN"/>
                    </w:rPr>
                  </w:pPr>
                </w:p>
              </w:tc>
            </w:tr>
          </w:tbl>
          <w:p w14:paraId="2408D78B">
            <w:pPr>
              <w:adjustRightInd w:val="0"/>
              <w:snapToGrid w:val="0"/>
              <w:spacing w:line="500" w:lineRule="exact"/>
              <w:rPr>
                <w:bCs/>
                <w:color w:val="auto"/>
                <w:szCs w:val="21"/>
              </w:rPr>
            </w:pPr>
          </w:p>
        </w:tc>
      </w:tr>
    </w:tbl>
    <w:p w14:paraId="038BD1A5">
      <w:pPr>
        <w:pStyle w:val="18"/>
        <w:rPr>
          <w:snapToGrid w:val="0"/>
          <w:color w:val="auto"/>
        </w:rPr>
        <w:sectPr>
          <w:type w:val="nextColumn"/>
          <w:pgSz w:w="11906" w:h="16838"/>
          <w:pgMar w:top="1418" w:right="1418" w:bottom="1418" w:left="1418" w:header="851" w:footer="851" w:gutter="0"/>
          <w:cols w:space="720" w:num="1"/>
          <w:docGrid w:linePitch="312" w:charSpace="0"/>
        </w:sectPr>
      </w:pPr>
    </w:p>
    <w:tbl>
      <w:tblPr>
        <w:tblStyle w:val="21"/>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506"/>
        <w:gridCol w:w="13476"/>
      </w:tblGrid>
      <w:tr w14:paraId="402CCF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49" w:hRule="atLeast"/>
          <w:jc w:val="center"/>
        </w:trPr>
        <w:tc>
          <w:tcPr>
            <w:tcW w:w="181" w:type="pct"/>
            <w:vAlign w:val="center"/>
          </w:tcPr>
          <w:p w14:paraId="25F66176">
            <w:pPr>
              <w:pStyle w:val="18"/>
              <w:rPr>
                <w:color w:val="auto"/>
                <w:sz w:val="21"/>
                <w:szCs w:val="21"/>
              </w:rPr>
            </w:pPr>
            <w:r>
              <w:rPr>
                <w:color w:val="auto"/>
                <w:sz w:val="21"/>
                <w:szCs w:val="21"/>
              </w:rPr>
              <w:t>建设</w:t>
            </w:r>
          </w:p>
          <w:p w14:paraId="7805C062">
            <w:pPr>
              <w:pStyle w:val="18"/>
              <w:rPr>
                <w:color w:val="auto"/>
              </w:rPr>
            </w:pPr>
            <w:r>
              <w:rPr>
                <w:color w:val="auto"/>
                <w:sz w:val="21"/>
                <w:szCs w:val="21"/>
              </w:rPr>
              <w:t>内容</w:t>
            </w:r>
          </w:p>
        </w:tc>
        <w:tc>
          <w:tcPr>
            <w:tcW w:w="4819" w:type="pct"/>
          </w:tcPr>
          <w:p w14:paraId="0FB26B9C">
            <w:pPr>
              <w:snapToGrid w:val="0"/>
              <w:spacing w:line="500" w:lineRule="exact"/>
              <w:jc w:val="center"/>
              <w:rPr>
                <w:b/>
                <w:color w:val="auto"/>
                <w:szCs w:val="21"/>
              </w:rPr>
            </w:pPr>
            <w:r>
              <w:rPr>
                <w:b/>
                <w:color w:val="auto"/>
                <w:szCs w:val="21"/>
              </w:rPr>
              <w:t>表2-1</w:t>
            </w:r>
            <w:r>
              <w:rPr>
                <w:rFonts w:hint="eastAsia"/>
                <w:b/>
                <w:color w:val="auto"/>
                <w:szCs w:val="21"/>
              </w:rPr>
              <w:t>（</w:t>
            </w:r>
            <w:r>
              <w:rPr>
                <w:rFonts w:hint="eastAsia"/>
                <w:b/>
                <w:color w:val="auto"/>
                <w:szCs w:val="21"/>
                <w:lang w:val="en-US" w:eastAsia="zh-CN"/>
              </w:rPr>
              <w:t>3</w:t>
            </w:r>
            <w:r>
              <w:rPr>
                <w:rFonts w:hint="eastAsia"/>
                <w:b/>
                <w:color w:val="auto"/>
                <w:szCs w:val="21"/>
              </w:rPr>
              <w:t>）</w:t>
            </w:r>
            <w:r>
              <w:rPr>
                <w:b/>
                <w:color w:val="auto"/>
                <w:szCs w:val="21"/>
              </w:rPr>
              <w:t xml:space="preserve">  本项目</w:t>
            </w:r>
            <w:r>
              <w:rPr>
                <w:rFonts w:hint="eastAsia"/>
                <w:b/>
                <w:color w:val="auto"/>
                <w:szCs w:val="21"/>
              </w:rPr>
              <w:t>公辅工程</w:t>
            </w:r>
            <w:r>
              <w:rPr>
                <w:b/>
                <w:color w:val="auto"/>
                <w:szCs w:val="21"/>
              </w:rPr>
              <w:t>建设</w:t>
            </w:r>
            <w:r>
              <w:rPr>
                <w:rFonts w:hint="eastAsia"/>
                <w:b/>
                <w:color w:val="auto"/>
                <w:szCs w:val="21"/>
              </w:rPr>
              <w:t>及依托情况表</w:t>
            </w:r>
          </w:p>
          <w:tbl>
            <w:tblPr>
              <w:tblStyle w:val="21"/>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108" w:type="dxa"/>
                <w:bottom w:w="57" w:type="dxa"/>
                <w:right w:w="108" w:type="dxa"/>
              </w:tblCellMar>
            </w:tblPr>
            <w:tblGrid>
              <w:gridCol w:w="525"/>
              <w:gridCol w:w="862"/>
              <w:gridCol w:w="3013"/>
              <w:gridCol w:w="3217"/>
              <w:gridCol w:w="2819"/>
              <w:gridCol w:w="2819"/>
            </w:tblGrid>
            <w:tr w14:paraId="3B246E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198" w:type="pct"/>
                  <w:tcMar>
                    <w:left w:w="57" w:type="dxa"/>
                    <w:right w:w="57" w:type="dxa"/>
                  </w:tcMar>
                  <w:vAlign w:val="center"/>
                </w:tcPr>
                <w:p w14:paraId="3567181B">
                  <w:pPr>
                    <w:adjustRightInd w:val="0"/>
                    <w:snapToGrid w:val="0"/>
                    <w:jc w:val="center"/>
                    <w:rPr>
                      <w:b/>
                      <w:color w:val="auto"/>
                      <w:sz w:val="18"/>
                      <w:szCs w:val="18"/>
                    </w:rPr>
                  </w:pPr>
                  <w:bookmarkStart w:id="5" w:name="_Hlk236392738"/>
                  <w:r>
                    <w:rPr>
                      <w:b/>
                      <w:color w:val="auto"/>
                      <w:sz w:val="18"/>
                      <w:szCs w:val="18"/>
                    </w:rPr>
                    <w:t>分类</w:t>
                  </w:r>
                </w:p>
              </w:tc>
              <w:tc>
                <w:tcPr>
                  <w:tcW w:w="325" w:type="pct"/>
                  <w:tcMar>
                    <w:left w:w="57" w:type="dxa"/>
                    <w:right w:w="57" w:type="dxa"/>
                  </w:tcMar>
                  <w:vAlign w:val="center"/>
                </w:tcPr>
                <w:p w14:paraId="112AF6D7">
                  <w:pPr>
                    <w:adjustRightInd w:val="0"/>
                    <w:snapToGrid w:val="0"/>
                    <w:jc w:val="center"/>
                    <w:rPr>
                      <w:b/>
                      <w:color w:val="auto"/>
                      <w:sz w:val="18"/>
                      <w:szCs w:val="18"/>
                    </w:rPr>
                  </w:pPr>
                  <w:r>
                    <w:rPr>
                      <w:b/>
                      <w:color w:val="auto"/>
                      <w:sz w:val="18"/>
                      <w:szCs w:val="18"/>
                    </w:rPr>
                    <w:t>建设名称</w:t>
                  </w:r>
                </w:p>
              </w:tc>
              <w:tc>
                <w:tcPr>
                  <w:tcW w:w="1136" w:type="pct"/>
                  <w:vAlign w:val="center"/>
                </w:tcPr>
                <w:p w14:paraId="0C882330">
                  <w:pPr>
                    <w:adjustRightInd w:val="0"/>
                    <w:snapToGrid w:val="0"/>
                    <w:jc w:val="center"/>
                    <w:rPr>
                      <w:b/>
                      <w:color w:val="auto"/>
                      <w:sz w:val="18"/>
                      <w:szCs w:val="18"/>
                    </w:rPr>
                  </w:pPr>
                  <w:r>
                    <w:rPr>
                      <w:rFonts w:hint="eastAsia"/>
                      <w:b/>
                      <w:color w:val="auto"/>
                      <w:sz w:val="18"/>
                      <w:szCs w:val="18"/>
                    </w:rPr>
                    <w:t>现有项目概况</w:t>
                  </w:r>
                </w:p>
              </w:tc>
              <w:tc>
                <w:tcPr>
                  <w:tcW w:w="1213" w:type="pct"/>
                  <w:vAlign w:val="center"/>
                </w:tcPr>
                <w:p w14:paraId="39E74C58">
                  <w:pPr>
                    <w:adjustRightInd w:val="0"/>
                    <w:snapToGrid w:val="0"/>
                    <w:jc w:val="center"/>
                    <w:rPr>
                      <w:b/>
                      <w:color w:val="auto"/>
                      <w:sz w:val="18"/>
                      <w:szCs w:val="18"/>
                    </w:rPr>
                  </w:pPr>
                  <w:r>
                    <w:rPr>
                      <w:b/>
                      <w:color w:val="auto"/>
                      <w:sz w:val="18"/>
                      <w:szCs w:val="18"/>
                    </w:rPr>
                    <w:t>本次建设和依托情况</w:t>
                  </w:r>
                </w:p>
              </w:tc>
              <w:tc>
                <w:tcPr>
                  <w:tcW w:w="1063" w:type="pct"/>
                  <w:vAlign w:val="center"/>
                </w:tcPr>
                <w:p w14:paraId="306E2A9C">
                  <w:pPr>
                    <w:adjustRightInd w:val="0"/>
                    <w:snapToGrid w:val="0"/>
                    <w:jc w:val="center"/>
                    <w:rPr>
                      <w:b/>
                      <w:color w:val="auto"/>
                      <w:sz w:val="18"/>
                      <w:szCs w:val="18"/>
                    </w:rPr>
                  </w:pPr>
                  <w:r>
                    <w:rPr>
                      <w:b/>
                      <w:color w:val="auto"/>
                      <w:sz w:val="18"/>
                      <w:szCs w:val="18"/>
                    </w:rPr>
                    <w:t>本次建</w:t>
                  </w:r>
                  <w:r>
                    <w:rPr>
                      <w:rFonts w:hint="eastAsia"/>
                      <w:b/>
                      <w:color w:val="auto"/>
                      <w:sz w:val="18"/>
                      <w:szCs w:val="18"/>
                    </w:rPr>
                    <w:t>成后全厂</w:t>
                  </w:r>
                </w:p>
              </w:tc>
              <w:tc>
                <w:tcPr>
                  <w:tcW w:w="1063" w:type="pct"/>
                  <w:vAlign w:val="center"/>
                </w:tcPr>
                <w:p w14:paraId="29888635">
                  <w:pPr>
                    <w:adjustRightInd w:val="0"/>
                    <w:snapToGrid w:val="0"/>
                    <w:jc w:val="center"/>
                    <w:rPr>
                      <w:b/>
                      <w:color w:val="auto"/>
                      <w:sz w:val="18"/>
                      <w:szCs w:val="18"/>
                    </w:rPr>
                  </w:pPr>
                  <w:r>
                    <w:rPr>
                      <w:b/>
                      <w:color w:val="auto"/>
                      <w:sz w:val="18"/>
                      <w:szCs w:val="18"/>
                    </w:rPr>
                    <w:t>备注</w:t>
                  </w:r>
                </w:p>
              </w:tc>
            </w:tr>
            <w:tr w14:paraId="6EC578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198" w:type="pct"/>
                  <w:vMerge w:val="restart"/>
                  <w:tcMar>
                    <w:left w:w="57" w:type="dxa"/>
                    <w:right w:w="57" w:type="dxa"/>
                  </w:tcMar>
                  <w:vAlign w:val="center"/>
                </w:tcPr>
                <w:p w14:paraId="769CA1CB">
                  <w:pPr>
                    <w:adjustRightInd w:val="0"/>
                    <w:snapToGrid w:val="0"/>
                    <w:jc w:val="center"/>
                    <w:rPr>
                      <w:color w:val="auto"/>
                      <w:sz w:val="18"/>
                      <w:szCs w:val="18"/>
                    </w:rPr>
                  </w:pPr>
                  <w:bookmarkStart w:id="6" w:name="_Hlk230966385"/>
                  <w:r>
                    <w:rPr>
                      <w:color w:val="auto"/>
                      <w:sz w:val="18"/>
                      <w:szCs w:val="18"/>
                    </w:rPr>
                    <w:t>主要辅助工程</w:t>
                  </w:r>
                </w:p>
              </w:tc>
              <w:tc>
                <w:tcPr>
                  <w:tcW w:w="325" w:type="pct"/>
                  <w:tcMar>
                    <w:left w:w="57" w:type="dxa"/>
                    <w:right w:w="57" w:type="dxa"/>
                  </w:tcMar>
                  <w:vAlign w:val="center"/>
                </w:tcPr>
                <w:p w14:paraId="09BD8525">
                  <w:pPr>
                    <w:widowControl/>
                    <w:contextualSpacing/>
                    <w:jc w:val="center"/>
                    <w:rPr>
                      <w:bCs/>
                      <w:color w:val="auto"/>
                      <w:sz w:val="18"/>
                      <w:szCs w:val="18"/>
                      <w14:ligatures w14:val="standardContextual"/>
                    </w:rPr>
                  </w:pPr>
                </w:p>
              </w:tc>
              <w:tc>
                <w:tcPr>
                  <w:tcW w:w="1136" w:type="pct"/>
                  <w:vAlign w:val="center"/>
                </w:tcPr>
                <w:p w14:paraId="5B3E4EB4">
                  <w:pPr>
                    <w:adjustRightInd w:val="0"/>
                    <w:snapToGrid w:val="0"/>
                    <w:jc w:val="center"/>
                    <w:rPr>
                      <w:bCs/>
                      <w:color w:val="auto"/>
                      <w:sz w:val="18"/>
                      <w:szCs w:val="18"/>
                    </w:rPr>
                  </w:pPr>
                </w:p>
              </w:tc>
              <w:tc>
                <w:tcPr>
                  <w:tcW w:w="1213" w:type="pct"/>
                  <w:vAlign w:val="center"/>
                </w:tcPr>
                <w:p w14:paraId="08DD6BE9">
                  <w:pPr>
                    <w:adjustRightInd w:val="0"/>
                    <w:snapToGrid w:val="0"/>
                    <w:jc w:val="center"/>
                    <w:rPr>
                      <w:bCs/>
                      <w:color w:val="auto"/>
                      <w:sz w:val="18"/>
                      <w:szCs w:val="18"/>
                      <w14:ligatures w14:val="standardContextual"/>
                    </w:rPr>
                  </w:pPr>
                </w:p>
              </w:tc>
              <w:tc>
                <w:tcPr>
                  <w:tcW w:w="1063" w:type="pct"/>
                  <w:vAlign w:val="center"/>
                </w:tcPr>
                <w:p w14:paraId="27A33D81">
                  <w:pPr>
                    <w:adjustRightInd w:val="0"/>
                    <w:snapToGrid w:val="0"/>
                    <w:jc w:val="center"/>
                    <w:rPr>
                      <w:bCs/>
                      <w:color w:val="auto"/>
                      <w:sz w:val="18"/>
                      <w:szCs w:val="18"/>
                      <w14:ligatures w14:val="standardContextual"/>
                    </w:rPr>
                  </w:pPr>
                </w:p>
              </w:tc>
              <w:tc>
                <w:tcPr>
                  <w:tcW w:w="1063" w:type="pct"/>
                  <w:vAlign w:val="center"/>
                </w:tcPr>
                <w:p w14:paraId="6EAC9187">
                  <w:pPr>
                    <w:adjustRightInd w:val="0"/>
                    <w:snapToGrid w:val="0"/>
                    <w:jc w:val="center"/>
                    <w:rPr>
                      <w:bCs/>
                      <w:color w:val="auto"/>
                      <w:sz w:val="18"/>
                      <w:szCs w:val="18"/>
                    </w:rPr>
                  </w:pPr>
                </w:p>
              </w:tc>
            </w:tr>
            <w:bookmarkEnd w:id="6"/>
            <w:tr w14:paraId="1C9F9A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198" w:type="pct"/>
                  <w:vMerge w:val="continue"/>
                  <w:tcMar>
                    <w:left w:w="57" w:type="dxa"/>
                    <w:right w:w="57" w:type="dxa"/>
                  </w:tcMar>
                  <w:vAlign w:val="center"/>
                </w:tcPr>
                <w:p w14:paraId="60D88418">
                  <w:pPr>
                    <w:adjustRightInd w:val="0"/>
                    <w:snapToGrid w:val="0"/>
                    <w:jc w:val="center"/>
                    <w:rPr>
                      <w:color w:val="auto"/>
                      <w:sz w:val="18"/>
                      <w:szCs w:val="18"/>
                    </w:rPr>
                  </w:pPr>
                </w:p>
              </w:tc>
              <w:tc>
                <w:tcPr>
                  <w:tcW w:w="325" w:type="pct"/>
                  <w:tcMar>
                    <w:left w:w="57" w:type="dxa"/>
                    <w:right w:w="57" w:type="dxa"/>
                  </w:tcMar>
                  <w:vAlign w:val="center"/>
                </w:tcPr>
                <w:p w14:paraId="04D504DC">
                  <w:pPr>
                    <w:widowControl/>
                    <w:contextualSpacing/>
                    <w:jc w:val="center"/>
                    <w:rPr>
                      <w:bCs/>
                      <w:color w:val="auto"/>
                      <w:sz w:val="18"/>
                      <w:szCs w:val="18"/>
                      <w14:ligatures w14:val="standardContextual"/>
                    </w:rPr>
                  </w:pPr>
                </w:p>
              </w:tc>
              <w:tc>
                <w:tcPr>
                  <w:tcW w:w="1136" w:type="pct"/>
                  <w:vAlign w:val="center"/>
                </w:tcPr>
                <w:p w14:paraId="3A5A4BD6">
                  <w:pPr>
                    <w:adjustRightInd w:val="0"/>
                    <w:snapToGrid w:val="0"/>
                    <w:jc w:val="center"/>
                    <w:rPr>
                      <w:bCs/>
                      <w:color w:val="auto"/>
                      <w:sz w:val="18"/>
                      <w:szCs w:val="18"/>
                    </w:rPr>
                  </w:pPr>
                </w:p>
              </w:tc>
              <w:tc>
                <w:tcPr>
                  <w:tcW w:w="1213" w:type="pct"/>
                  <w:vAlign w:val="center"/>
                </w:tcPr>
                <w:p w14:paraId="6A49DAE0">
                  <w:pPr>
                    <w:adjustRightInd w:val="0"/>
                    <w:snapToGrid w:val="0"/>
                    <w:jc w:val="center"/>
                    <w:rPr>
                      <w:rFonts w:hint="default" w:eastAsia="宋体"/>
                      <w:bCs/>
                      <w:color w:val="auto"/>
                      <w:sz w:val="18"/>
                      <w:szCs w:val="18"/>
                      <w:lang w:val="en-US" w:eastAsia="zh-CN"/>
                      <w14:ligatures w14:val="standardContextual"/>
                    </w:rPr>
                  </w:pPr>
                </w:p>
              </w:tc>
              <w:tc>
                <w:tcPr>
                  <w:tcW w:w="1063" w:type="pct"/>
                  <w:vAlign w:val="center"/>
                </w:tcPr>
                <w:p w14:paraId="446B62C2">
                  <w:pPr>
                    <w:adjustRightInd w:val="0"/>
                    <w:snapToGrid w:val="0"/>
                    <w:jc w:val="center"/>
                    <w:rPr>
                      <w:bCs/>
                      <w:color w:val="auto"/>
                      <w:sz w:val="18"/>
                      <w:szCs w:val="18"/>
                      <w14:ligatures w14:val="standardContextual"/>
                    </w:rPr>
                  </w:pPr>
                </w:p>
              </w:tc>
              <w:tc>
                <w:tcPr>
                  <w:tcW w:w="1063" w:type="pct"/>
                  <w:vAlign w:val="center"/>
                </w:tcPr>
                <w:p w14:paraId="2F5C9958">
                  <w:pPr>
                    <w:adjustRightInd w:val="0"/>
                    <w:snapToGrid w:val="0"/>
                    <w:jc w:val="center"/>
                    <w:rPr>
                      <w:bCs/>
                      <w:color w:val="auto"/>
                      <w:sz w:val="18"/>
                      <w:szCs w:val="18"/>
                    </w:rPr>
                  </w:pPr>
                </w:p>
              </w:tc>
            </w:tr>
            <w:tr w14:paraId="0BDA3D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198" w:type="pct"/>
                  <w:vMerge w:val="continue"/>
                  <w:tcMar>
                    <w:left w:w="57" w:type="dxa"/>
                    <w:right w:w="57" w:type="dxa"/>
                  </w:tcMar>
                  <w:vAlign w:val="center"/>
                </w:tcPr>
                <w:p w14:paraId="060041F4">
                  <w:pPr>
                    <w:adjustRightInd w:val="0"/>
                    <w:snapToGrid w:val="0"/>
                    <w:jc w:val="center"/>
                    <w:rPr>
                      <w:color w:val="auto"/>
                      <w:sz w:val="18"/>
                      <w:szCs w:val="18"/>
                    </w:rPr>
                  </w:pPr>
                </w:p>
              </w:tc>
              <w:tc>
                <w:tcPr>
                  <w:tcW w:w="325" w:type="pct"/>
                  <w:tcMar>
                    <w:left w:w="57" w:type="dxa"/>
                    <w:right w:w="57" w:type="dxa"/>
                  </w:tcMar>
                  <w:vAlign w:val="center"/>
                </w:tcPr>
                <w:p w14:paraId="5749A0CA">
                  <w:pPr>
                    <w:widowControl/>
                    <w:contextualSpacing/>
                    <w:jc w:val="center"/>
                    <w:rPr>
                      <w:bCs/>
                      <w:color w:val="auto"/>
                      <w:sz w:val="18"/>
                      <w:szCs w:val="18"/>
                      <w14:ligatures w14:val="standardContextual"/>
                    </w:rPr>
                  </w:pPr>
                </w:p>
              </w:tc>
              <w:tc>
                <w:tcPr>
                  <w:tcW w:w="1136" w:type="pct"/>
                  <w:vAlign w:val="center"/>
                </w:tcPr>
                <w:p w14:paraId="11DA35E0">
                  <w:pPr>
                    <w:jc w:val="center"/>
                    <w:rPr>
                      <w:bCs/>
                      <w:color w:val="auto"/>
                      <w:sz w:val="18"/>
                      <w:szCs w:val="18"/>
                    </w:rPr>
                  </w:pPr>
                </w:p>
              </w:tc>
              <w:tc>
                <w:tcPr>
                  <w:tcW w:w="1213" w:type="pct"/>
                  <w:vAlign w:val="center"/>
                </w:tcPr>
                <w:p w14:paraId="50EC0E99">
                  <w:pPr>
                    <w:jc w:val="center"/>
                    <w:rPr>
                      <w:bCs/>
                      <w:color w:val="auto"/>
                      <w:sz w:val="18"/>
                      <w:szCs w:val="18"/>
                      <w:highlight w:val="yellow"/>
                      <w14:ligatures w14:val="standardContextual"/>
                    </w:rPr>
                  </w:pPr>
                </w:p>
              </w:tc>
              <w:tc>
                <w:tcPr>
                  <w:tcW w:w="1063" w:type="pct"/>
                  <w:vAlign w:val="center"/>
                </w:tcPr>
                <w:p w14:paraId="52B3BC64">
                  <w:pPr>
                    <w:jc w:val="center"/>
                    <w:rPr>
                      <w:bCs/>
                      <w:color w:val="auto"/>
                      <w:sz w:val="18"/>
                      <w:szCs w:val="18"/>
                      <w:highlight w:val="yellow"/>
                      <w14:ligatures w14:val="standardContextual"/>
                    </w:rPr>
                  </w:pPr>
                </w:p>
              </w:tc>
              <w:tc>
                <w:tcPr>
                  <w:tcW w:w="1063" w:type="pct"/>
                  <w:vAlign w:val="center"/>
                </w:tcPr>
                <w:p w14:paraId="584FC523">
                  <w:pPr>
                    <w:jc w:val="center"/>
                    <w:rPr>
                      <w:color w:val="auto"/>
                      <w:sz w:val="18"/>
                      <w:szCs w:val="18"/>
                    </w:rPr>
                  </w:pPr>
                </w:p>
              </w:tc>
            </w:tr>
            <w:tr w14:paraId="3DD0B6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198" w:type="pct"/>
                  <w:vMerge w:val="restart"/>
                  <w:tcMar>
                    <w:left w:w="57" w:type="dxa"/>
                    <w:right w:w="57" w:type="dxa"/>
                  </w:tcMar>
                  <w:vAlign w:val="center"/>
                </w:tcPr>
                <w:p w14:paraId="57B97EFB">
                  <w:pPr>
                    <w:adjustRightInd w:val="0"/>
                    <w:snapToGrid w:val="0"/>
                    <w:jc w:val="center"/>
                    <w:rPr>
                      <w:color w:val="auto"/>
                      <w:sz w:val="18"/>
                      <w:szCs w:val="18"/>
                    </w:rPr>
                  </w:pPr>
                  <w:r>
                    <w:rPr>
                      <w:color w:val="auto"/>
                      <w:sz w:val="18"/>
                      <w:szCs w:val="18"/>
                    </w:rPr>
                    <w:t>公辅</w:t>
                  </w:r>
                </w:p>
                <w:p w14:paraId="1E66A4D2">
                  <w:pPr>
                    <w:adjustRightInd w:val="0"/>
                    <w:snapToGrid w:val="0"/>
                    <w:jc w:val="center"/>
                    <w:rPr>
                      <w:color w:val="auto"/>
                      <w:sz w:val="18"/>
                      <w:szCs w:val="18"/>
                    </w:rPr>
                  </w:pPr>
                  <w:r>
                    <w:rPr>
                      <w:color w:val="auto"/>
                      <w:sz w:val="18"/>
                      <w:szCs w:val="18"/>
                    </w:rPr>
                    <w:t>工程</w:t>
                  </w:r>
                </w:p>
              </w:tc>
              <w:tc>
                <w:tcPr>
                  <w:tcW w:w="325" w:type="pct"/>
                  <w:tcMar>
                    <w:left w:w="57" w:type="dxa"/>
                    <w:right w:w="57" w:type="dxa"/>
                  </w:tcMar>
                  <w:vAlign w:val="center"/>
                </w:tcPr>
                <w:p w14:paraId="06110E17">
                  <w:pPr>
                    <w:adjustRightInd w:val="0"/>
                    <w:snapToGrid w:val="0"/>
                    <w:jc w:val="center"/>
                    <w:rPr>
                      <w:color w:val="auto"/>
                      <w:sz w:val="18"/>
                      <w:szCs w:val="18"/>
                    </w:rPr>
                  </w:pPr>
                </w:p>
              </w:tc>
              <w:tc>
                <w:tcPr>
                  <w:tcW w:w="1136" w:type="pct"/>
                  <w:vAlign w:val="center"/>
                </w:tcPr>
                <w:p w14:paraId="5696A421">
                  <w:pPr>
                    <w:adjustRightInd w:val="0"/>
                    <w:snapToGrid w:val="0"/>
                    <w:jc w:val="center"/>
                    <w:rPr>
                      <w:color w:val="auto"/>
                      <w:sz w:val="18"/>
                      <w:szCs w:val="18"/>
                    </w:rPr>
                  </w:pPr>
                </w:p>
              </w:tc>
              <w:tc>
                <w:tcPr>
                  <w:tcW w:w="1213" w:type="pct"/>
                  <w:vAlign w:val="center"/>
                </w:tcPr>
                <w:p w14:paraId="49F9E720">
                  <w:pPr>
                    <w:adjustRightInd w:val="0"/>
                    <w:snapToGrid w:val="0"/>
                    <w:jc w:val="center"/>
                    <w:rPr>
                      <w:rFonts w:hint="eastAsia" w:eastAsia="宋体"/>
                      <w:bCs/>
                      <w:color w:val="auto"/>
                      <w:sz w:val="18"/>
                      <w:szCs w:val="18"/>
                      <w:lang w:val="en-US" w:eastAsia="zh-CN"/>
                      <w14:ligatures w14:val="standardContextual"/>
                    </w:rPr>
                  </w:pPr>
                </w:p>
              </w:tc>
              <w:tc>
                <w:tcPr>
                  <w:tcW w:w="1063" w:type="pct"/>
                  <w:vAlign w:val="center"/>
                </w:tcPr>
                <w:p w14:paraId="790C8AC4">
                  <w:pPr>
                    <w:adjustRightInd w:val="0"/>
                    <w:snapToGrid w:val="0"/>
                    <w:jc w:val="center"/>
                    <w:rPr>
                      <w:bCs/>
                      <w:color w:val="auto"/>
                      <w:sz w:val="18"/>
                      <w:szCs w:val="18"/>
                      <w14:ligatures w14:val="standardContextual"/>
                    </w:rPr>
                  </w:pPr>
                </w:p>
              </w:tc>
              <w:tc>
                <w:tcPr>
                  <w:tcW w:w="1063" w:type="pct"/>
                  <w:vAlign w:val="center"/>
                </w:tcPr>
                <w:p w14:paraId="5D6742CC">
                  <w:pPr>
                    <w:adjustRightInd w:val="0"/>
                    <w:snapToGrid w:val="0"/>
                    <w:jc w:val="center"/>
                    <w:rPr>
                      <w:color w:val="auto"/>
                      <w:sz w:val="18"/>
                      <w:szCs w:val="18"/>
                    </w:rPr>
                  </w:pPr>
                </w:p>
              </w:tc>
            </w:tr>
            <w:tr w14:paraId="27757A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198" w:type="pct"/>
                  <w:vMerge w:val="continue"/>
                  <w:tcMar>
                    <w:left w:w="57" w:type="dxa"/>
                    <w:right w:w="57" w:type="dxa"/>
                  </w:tcMar>
                  <w:vAlign w:val="center"/>
                </w:tcPr>
                <w:p w14:paraId="1FB023A2">
                  <w:pPr>
                    <w:adjustRightInd w:val="0"/>
                    <w:snapToGrid w:val="0"/>
                    <w:jc w:val="center"/>
                    <w:rPr>
                      <w:color w:val="auto"/>
                      <w:sz w:val="18"/>
                      <w:szCs w:val="18"/>
                    </w:rPr>
                  </w:pPr>
                </w:p>
              </w:tc>
              <w:tc>
                <w:tcPr>
                  <w:tcW w:w="325" w:type="pct"/>
                  <w:tcMar>
                    <w:left w:w="57" w:type="dxa"/>
                    <w:right w:w="57" w:type="dxa"/>
                  </w:tcMar>
                  <w:vAlign w:val="center"/>
                </w:tcPr>
                <w:p w14:paraId="1F9B0A35">
                  <w:pPr>
                    <w:adjustRightInd w:val="0"/>
                    <w:snapToGrid w:val="0"/>
                    <w:jc w:val="center"/>
                    <w:rPr>
                      <w:color w:val="auto"/>
                      <w:sz w:val="18"/>
                      <w:szCs w:val="18"/>
                    </w:rPr>
                  </w:pPr>
                </w:p>
              </w:tc>
              <w:tc>
                <w:tcPr>
                  <w:tcW w:w="1136" w:type="pct"/>
                  <w:vAlign w:val="center"/>
                </w:tcPr>
                <w:p w14:paraId="25B28795">
                  <w:pPr>
                    <w:adjustRightInd w:val="0"/>
                    <w:snapToGrid w:val="0"/>
                    <w:jc w:val="center"/>
                    <w:rPr>
                      <w:color w:val="auto"/>
                      <w:sz w:val="18"/>
                      <w:szCs w:val="18"/>
                    </w:rPr>
                  </w:pPr>
                </w:p>
              </w:tc>
              <w:tc>
                <w:tcPr>
                  <w:tcW w:w="1213" w:type="pct"/>
                  <w:vAlign w:val="center"/>
                </w:tcPr>
                <w:p w14:paraId="0478BF49">
                  <w:pPr>
                    <w:adjustRightInd w:val="0"/>
                    <w:snapToGrid w:val="0"/>
                    <w:jc w:val="center"/>
                    <w:rPr>
                      <w:bCs/>
                      <w:color w:val="auto"/>
                      <w:sz w:val="18"/>
                      <w:szCs w:val="18"/>
                      <w14:ligatures w14:val="standardContextual"/>
                    </w:rPr>
                  </w:pPr>
                </w:p>
              </w:tc>
              <w:tc>
                <w:tcPr>
                  <w:tcW w:w="1063" w:type="pct"/>
                  <w:vAlign w:val="center"/>
                </w:tcPr>
                <w:p w14:paraId="1C35090D">
                  <w:pPr>
                    <w:adjustRightInd w:val="0"/>
                    <w:snapToGrid w:val="0"/>
                    <w:jc w:val="center"/>
                    <w:rPr>
                      <w:bCs/>
                      <w:color w:val="auto"/>
                      <w:sz w:val="18"/>
                      <w:szCs w:val="18"/>
                      <w14:ligatures w14:val="standardContextual"/>
                    </w:rPr>
                  </w:pPr>
                </w:p>
              </w:tc>
              <w:tc>
                <w:tcPr>
                  <w:tcW w:w="1063" w:type="pct"/>
                  <w:vAlign w:val="center"/>
                </w:tcPr>
                <w:p w14:paraId="2537377B">
                  <w:pPr>
                    <w:adjustRightInd w:val="0"/>
                    <w:snapToGrid w:val="0"/>
                    <w:jc w:val="center"/>
                    <w:rPr>
                      <w:color w:val="auto"/>
                      <w:sz w:val="18"/>
                      <w:szCs w:val="18"/>
                    </w:rPr>
                  </w:pPr>
                </w:p>
              </w:tc>
            </w:tr>
            <w:tr w14:paraId="1288C8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198" w:type="pct"/>
                  <w:vMerge w:val="continue"/>
                  <w:tcMar>
                    <w:left w:w="57" w:type="dxa"/>
                    <w:right w:w="57" w:type="dxa"/>
                  </w:tcMar>
                  <w:vAlign w:val="center"/>
                </w:tcPr>
                <w:p w14:paraId="6073E270">
                  <w:pPr>
                    <w:adjustRightInd w:val="0"/>
                    <w:snapToGrid w:val="0"/>
                    <w:jc w:val="center"/>
                    <w:rPr>
                      <w:color w:val="auto"/>
                      <w:sz w:val="18"/>
                      <w:szCs w:val="18"/>
                    </w:rPr>
                  </w:pPr>
                </w:p>
              </w:tc>
              <w:tc>
                <w:tcPr>
                  <w:tcW w:w="325" w:type="pct"/>
                  <w:vMerge w:val="restart"/>
                  <w:tcMar>
                    <w:left w:w="57" w:type="dxa"/>
                    <w:right w:w="57" w:type="dxa"/>
                  </w:tcMar>
                  <w:vAlign w:val="center"/>
                </w:tcPr>
                <w:p w14:paraId="4AA32CFF">
                  <w:pPr>
                    <w:adjustRightInd w:val="0"/>
                    <w:snapToGrid w:val="0"/>
                    <w:jc w:val="center"/>
                    <w:rPr>
                      <w:color w:val="auto"/>
                      <w:sz w:val="18"/>
                      <w:szCs w:val="18"/>
                    </w:rPr>
                  </w:pPr>
                </w:p>
              </w:tc>
              <w:tc>
                <w:tcPr>
                  <w:tcW w:w="1136" w:type="pct"/>
                  <w:vAlign w:val="center"/>
                </w:tcPr>
                <w:p w14:paraId="09189395">
                  <w:pPr>
                    <w:adjustRightInd w:val="0"/>
                    <w:snapToGrid w:val="0"/>
                    <w:jc w:val="center"/>
                    <w:rPr>
                      <w:color w:val="auto"/>
                      <w:sz w:val="18"/>
                      <w:szCs w:val="18"/>
                    </w:rPr>
                  </w:pPr>
                </w:p>
              </w:tc>
              <w:tc>
                <w:tcPr>
                  <w:tcW w:w="1213" w:type="pct"/>
                  <w:vAlign w:val="center"/>
                </w:tcPr>
                <w:p w14:paraId="5385D6F8">
                  <w:pPr>
                    <w:adjustRightInd w:val="0"/>
                    <w:snapToGrid w:val="0"/>
                    <w:jc w:val="center"/>
                    <w:rPr>
                      <w:rFonts w:hint="eastAsia" w:eastAsia="宋体"/>
                      <w:color w:val="auto"/>
                      <w:sz w:val="18"/>
                      <w:szCs w:val="18"/>
                      <w:lang w:val="en-US" w:eastAsia="zh-CN"/>
                    </w:rPr>
                  </w:pPr>
                </w:p>
              </w:tc>
              <w:tc>
                <w:tcPr>
                  <w:tcW w:w="1063" w:type="pct"/>
                  <w:vAlign w:val="center"/>
                </w:tcPr>
                <w:p w14:paraId="420B62F4">
                  <w:pPr>
                    <w:adjustRightInd w:val="0"/>
                    <w:snapToGrid w:val="0"/>
                    <w:jc w:val="center"/>
                    <w:rPr>
                      <w:color w:val="auto"/>
                      <w:sz w:val="18"/>
                      <w:szCs w:val="18"/>
                    </w:rPr>
                  </w:pPr>
                </w:p>
              </w:tc>
              <w:tc>
                <w:tcPr>
                  <w:tcW w:w="1063" w:type="pct"/>
                  <w:vAlign w:val="center"/>
                </w:tcPr>
                <w:p w14:paraId="0BD227CC">
                  <w:pPr>
                    <w:adjustRightInd w:val="0"/>
                    <w:snapToGrid w:val="0"/>
                    <w:jc w:val="center"/>
                    <w:rPr>
                      <w:color w:val="auto"/>
                      <w:sz w:val="18"/>
                      <w:szCs w:val="18"/>
                    </w:rPr>
                  </w:pPr>
                </w:p>
              </w:tc>
            </w:tr>
            <w:tr w14:paraId="5DE2FD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198" w:type="pct"/>
                  <w:vMerge w:val="continue"/>
                  <w:tcMar>
                    <w:left w:w="57" w:type="dxa"/>
                    <w:right w:w="57" w:type="dxa"/>
                  </w:tcMar>
                  <w:vAlign w:val="center"/>
                </w:tcPr>
                <w:p w14:paraId="0CB6B5A9">
                  <w:pPr>
                    <w:adjustRightInd w:val="0"/>
                    <w:snapToGrid w:val="0"/>
                    <w:jc w:val="center"/>
                    <w:rPr>
                      <w:color w:val="auto"/>
                      <w:sz w:val="18"/>
                      <w:szCs w:val="18"/>
                    </w:rPr>
                  </w:pPr>
                </w:p>
              </w:tc>
              <w:tc>
                <w:tcPr>
                  <w:tcW w:w="325" w:type="pct"/>
                  <w:vMerge w:val="continue"/>
                  <w:tcMar>
                    <w:left w:w="57" w:type="dxa"/>
                    <w:right w:w="57" w:type="dxa"/>
                  </w:tcMar>
                  <w:vAlign w:val="center"/>
                </w:tcPr>
                <w:p w14:paraId="79B3039F">
                  <w:pPr>
                    <w:adjustRightInd w:val="0"/>
                    <w:snapToGrid w:val="0"/>
                    <w:jc w:val="center"/>
                    <w:rPr>
                      <w:color w:val="auto"/>
                      <w:sz w:val="18"/>
                      <w:szCs w:val="18"/>
                    </w:rPr>
                  </w:pPr>
                </w:p>
              </w:tc>
              <w:tc>
                <w:tcPr>
                  <w:tcW w:w="1136" w:type="pct"/>
                  <w:vAlign w:val="center"/>
                </w:tcPr>
                <w:p w14:paraId="1EC88CD9">
                  <w:pPr>
                    <w:adjustRightInd w:val="0"/>
                    <w:snapToGrid w:val="0"/>
                    <w:jc w:val="center"/>
                    <w:rPr>
                      <w:color w:val="auto"/>
                      <w:sz w:val="18"/>
                      <w:szCs w:val="18"/>
                    </w:rPr>
                  </w:pPr>
                </w:p>
              </w:tc>
              <w:tc>
                <w:tcPr>
                  <w:tcW w:w="1213" w:type="pct"/>
                  <w:vAlign w:val="center"/>
                </w:tcPr>
                <w:p w14:paraId="70CF0972">
                  <w:pPr>
                    <w:adjustRightInd w:val="0"/>
                    <w:snapToGrid w:val="0"/>
                    <w:jc w:val="center"/>
                    <w:rPr>
                      <w:color w:val="auto"/>
                      <w:sz w:val="18"/>
                      <w:szCs w:val="18"/>
                    </w:rPr>
                  </w:pPr>
                </w:p>
              </w:tc>
              <w:tc>
                <w:tcPr>
                  <w:tcW w:w="1063" w:type="pct"/>
                  <w:vAlign w:val="center"/>
                </w:tcPr>
                <w:p w14:paraId="1042C8A6">
                  <w:pPr>
                    <w:adjustRightInd w:val="0"/>
                    <w:snapToGrid w:val="0"/>
                    <w:jc w:val="center"/>
                    <w:rPr>
                      <w:color w:val="auto"/>
                      <w:sz w:val="18"/>
                      <w:szCs w:val="18"/>
                    </w:rPr>
                  </w:pPr>
                </w:p>
              </w:tc>
              <w:tc>
                <w:tcPr>
                  <w:tcW w:w="1063" w:type="pct"/>
                  <w:vAlign w:val="center"/>
                </w:tcPr>
                <w:p w14:paraId="6120EF7D">
                  <w:pPr>
                    <w:adjustRightInd w:val="0"/>
                    <w:snapToGrid w:val="0"/>
                    <w:jc w:val="center"/>
                    <w:rPr>
                      <w:color w:val="auto"/>
                      <w:sz w:val="18"/>
                      <w:szCs w:val="18"/>
                    </w:rPr>
                  </w:pPr>
                </w:p>
              </w:tc>
            </w:tr>
            <w:tr w14:paraId="48AF5B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198" w:type="pct"/>
                  <w:vMerge w:val="continue"/>
                  <w:tcMar>
                    <w:left w:w="57" w:type="dxa"/>
                    <w:right w:w="57" w:type="dxa"/>
                  </w:tcMar>
                  <w:vAlign w:val="center"/>
                </w:tcPr>
                <w:p w14:paraId="0115DFCF">
                  <w:pPr>
                    <w:adjustRightInd w:val="0"/>
                    <w:snapToGrid w:val="0"/>
                    <w:jc w:val="center"/>
                    <w:rPr>
                      <w:color w:val="auto"/>
                      <w:sz w:val="18"/>
                      <w:szCs w:val="18"/>
                    </w:rPr>
                  </w:pPr>
                </w:p>
              </w:tc>
              <w:tc>
                <w:tcPr>
                  <w:tcW w:w="325" w:type="pct"/>
                  <w:tcMar>
                    <w:left w:w="57" w:type="dxa"/>
                    <w:right w:w="57" w:type="dxa"/>
                  </w:tcMar>
                  <w:vAlign w:val="center"/>
                </w:tcPr>
                <w:p w14:paraId="460E9CE6">
                  <w:pPr>
                    <w:adjustRightInd w:val="0"/>
                    <w:snapToGrid w:val="0"/>
                    <w:jc w:val="center"/>
                    <w:rPr>
                      <w:color w:val="auto"/>
                      <w:sz w:val="18"/>
                      <w:szCs w:val="18"/>
                    </w:rPr>
                  </w:pPr>
                </w:p>
              </w:tc>
              <w:tc>
                <w:tcPr>
                  <w:tcW w:w="1136" w:type="pct"/>
                  <w:vAlign w:val="center"/>
                </w:tcPr>
                <w:p w14:paraId="5FB92B98">
                  <w:pPr>
                    <w:jc w:val="center"/>
                    <w:rPr>
                      <w:color w:val="auto"/>
                      <w:kern w:val="0"/>
                      <w:sz w:val="18"/>
                      <w:szCs w:val="18"/>
                    </w:rPr>
                  </w:pPr>
                </w:p>
              </w:tc>
              <w:tc>
                <w:tcPr>
                  <w:tcW w:w="1213" w:type="pct"/>
                  <w:vAlign w:val="center"/>
                </w:tcPr>
                <w:p w14:paraId="1A4D6AD8">
                  <w:pPr>
                    <w:jc w:val="center"/>
                    <w:rPr>
                      <w:bCs/>
                      <w:color w:val="auto"/>
                      <w:sz w:val="18"/>
                      <w:szCs w:val="18"/>
                      <w14:ligatures w14:val="standardContextual"/>
                    </w:rPr>
                  </w:pPr>
                </w:p>
              </w:tc>
              <w:tc>
                <w:tcPr>
                  <w:tcW w:w="1063" w:type="pct"/>
                  <w:vAlign w:val="center"/>
                </w:tcPr>
                <w:p w14:paraId="22312D6C">
                  <w:pPr>
                    <w:jc w:val="center"/>
                    <w:rPr>
                      <w:bCs/>
                      <w:color w:val="auto"/>
                      <w:sz w:val="18"/>
                      <w:szCs w:val="18"/>
                      <w14:ligatures w14:val="standardContextual"/>
                    </w:rPr>
                  </w:pPr>
                </w:p>
              </w:tc>
              <w:tc>
                <w:tcPr>
                  <w:tcW w:w="1063" w:type="pct"/>
                  <w:vAlign w:val="center"/>
                </w:tcPr>
                <w:p w14:paraId="1B3ACA37">
                  <w:pPr>
                    <w:jc w:val="center"/>
                    <w:rPr>
                      <w:color w:val="auto"/>
                      <w:kern w:val="0"/>
                      <w:sz w:val="18"/>
                      <w:szCs w:val="18"/>
                    </w:rPr>
                  </w:pPr>
                </w:p>
              </w:tc>
            </w:tr>
            <w:tr w14:paraId="7A0B4F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198" w:type="pct"/>
                  <w:vMerge w:val="continue"/>
                  <w:tcMar>
                    <w:left w:w="57" w:type="dxa"/>
                    <w:right w:w="57" w:type="dxa"/>
                  </w:tcMar>
                  <w:vAlign w:val="center"/>
                </w:tcPr>
                <w:p w14:paraId="4FEF3652">
                  <w:pPr>
                    <w:adjustRightInd w:val="0"/>
                    <w:snapToGrid w:val="0"/>
                    <w:jc w:val="center"/>
                    <w:rPr>
                      <w:color w:val="auto"/>
                      <w:sz w:val="18"/>
                      <w:szCs w:val="18"/>
                      <w:lang w:val="de-DE"/>
                    </w:rPr>
                  </w:pPr>
                </w:p>
              </w:tc>
              <w:tc>
                <w:tcPr>
                  <w:tcW w:w="325" w:type="pct"/>
                  <w:tcMar>
                    <w:left w:w="57" w:type="dxa"/>
                    <w:right w:w="57" w:type="dxa"/>
                  </w:tcMar>
                  <w:vAlign w:val="center"/>
                </w:tcPr>
                <w:p w14:paraId="1765BBB7">
                  <w:pPr>
                    <w:adjustRightInd w:val="0"/>
                    <w:snapToGrid w:val="0"/>
                    <w:jc w:val="center"/>
                    <w:rPr>
                      <w:color w:val="auto"/>
                      <w:sz w:val="18"/>
                      <w:szCs w:val="18"/>
                    </w:rPr>
                  </w:pPr>
                </w:p>
              </w:tc>
              <w:tc>
                <w:tcPr>
                  <w:tcW w:w="1136" w:type="pct"/>
                  <w:vAlign w:val="center"/>
                </w:tcPr>
                <w:p w14:paraId="33E400E9">
                  <w:pPr>
                    <w:adjustRightInd w:val="0"/>
                    <w:snapToGrid w:val="0"/>
                    <w:jc w:val="center"/>
                    <w:rPr>
                      <w:color w:val="auto"/>
                      <w:sz w:val="18"/>
                      <w:szCs w:val="18"/>
                    </w:rPr>
                  </w:pPr>
                </w:p>
              </w:tc>
              <w:tc>
                <w:tcPr>
                  <w:tcW w:w="1213" w:type="pct"/>
                  <w:vAlign w:val="center"/>
                </w:tcPr>
                <w:p w14:paraId="39A57283">
                  <w:pPr>
                    <w:adjustRightInd w:val="0"/>
                    <w:snapToGrid w:val="0"/>
                    <w:jc w:val="center"/>
                    <w:rPr>
                      <w:color w:val="auto"/>
                      <w:sz w:val="18"/>
                      <w:szCs w:val="18"/>
                    </w:rPr>
                  </w:pPr>
                </w:p>
              </w:tc>
              <w:tc>
                <w:tcPr>
                  <w:tcW w:w="1063" w:type="pct"/>
                  <w:vAlign w:val="center"/>
                </w:tcPr>
                <w:p w14:paraId="7447EE1D">
                  <w:pPr>
                    <w:adjustRightInd w:val="0"/>
                    <w:snapToGrid w:val="0"/>
                    <w:jc w:val="center"/>
                    <w:rPr>
                      <w:color w:val="auto"/>
                      <w:sz w:val="18"/>
                      <w:szCs w:val="18"/>
                    </w:rPr>
                  </w:pPr>
                </w:p>
              </w:tc>
              <w:tc>
                <w:tcPr>
                  <w:tcW w:w="1063" w:type="pct"/>
                  <w:vAlign w:val="center"/>
                </w:tcPr>
                <w:p w14:paraId="3B47AD70">
                  <w:pPr>
                    <w:adjustRightInd w:val="0"/>
                    <w:snapToGrid w:val="0"/>
                    <w:jc w:val="center"/>
                    <w:rPr>
                      <w:color w:val="auto"/>
                      <w:sz w:val="18"/>
                      <w:szCs w:val="18"/>
                    </w:rPr>
                  </w:pPr>
                </w:p>
              </w:tc>
            </w:tr>
            <w:tr w14:paraId="00CB70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198" w:type="pct"/>
                  <w:vMerge w:val="continue"/>
                  <w:tcMar>
                    <w:left w:w="57" w:type="dxa"/>
                    <w:right w:w="57" w:type="dxa"/>
                  </w:tcMar>
                  <w:vAlign w:val="center"/>
                </w:tcPr>
                <w:p w14:paraId="1A680908">
                  <w:pPr>
                    <w:adjustRightInd w:val="0"/>
                    <w:snapToGrid w:val="0"/>
                    <w:jc w:val="center"/>
                    <w:rPr>
                      <w:color w:val="auto"/>
                      <w:sz w:val="18"/>
                      <w:szCs w:val="18"/>
                      <w:lang w:val="de-DE"/>
                    </w:rPr>
                  </w:pPr>
                </w:p>
              </w:tc>
              <w:tc>
                <w:tcPr>
                  <w:tcW w:w="325" w:type="pct"/>
                  <w:tcMar>
                    <w:left w:w="57" w:type="dxa"/>
                    <w:right w:w="57" w:type="dxa"/>
                  </w:tcMar>
                  <w:vAlign w:val="center"/>
                </w:tcPr>
                <w:p w14:paraId="2A67AAB1">
                  <w:pPr>
                    <w:adjustRightInd w:val="0"/>
                    <w:snapToGrid w:val="0"/>
                    <w:jc w:val="center"/>
                    <w:rPr>
                      <w:color w:val="auto"/>
                      <w:sz w:val="18"/>
                      <w:szCs w:val="18"/>
                    </w:rPr>
                  </w:pPr>
                </w:p>
              </w:tc>
              <w:tc>
                <w:tcPr>
                  <w:tcW w:w="1136" w:type="pct"/>
                  <w:vAlign w:val="center"/>
                </w:tcPr>
                <w:p w14:paraId="6CD95BFE">
                  <w:pPr>
                    <w:adjustRightInd w:val="0"/>
                    <w:snapToGrid w:val="0"/>
                    <w:jc w:val="center"/>
                    <w:rPr>
                      <w:bCs/>
                      <w:color w:val="auto"/>
                      <w:sz w:val="18"/>
                      <w:szCs w:val="18"/>
                      <w14:ligatures w14:val="standardContextual"/>
                    </w:rPr>
                  </w:pPr>
                </w:p>
              </w:tc>
              <w:tc>
                <w:tcPr>
                  <w:tcW w:w="1213" w:type="pct"/>
                  <w:vAlign w:val="center"/>
                </w:tcPr>
                <w:p w14:paraId="27C54A87">
                  <w:pPr>
                    <w:adjustRightInd w:val="0"/>
                    <w:snapToGrid w:val="0"/>
                    <w:jc w:val="center"/>
                    <w:rPr>
                      <w:bCs/>
                      <w:color w:val="auto"/>
                      <w:sz w:val="18"/>
                      <w:szCs w:val="18"/>
                      <w14:ligatures w14:val="standardContextual"/>
                    </w:rPr>
                  </w:pPr>
                </w:p>
              </w:tc>
              <w:tc>
                <w:tcPr>
                  <w:tcW w:w="1063" w:type="pct"/>
                  <w:vAlign w:val="center"/>
                </w:tcPr>
                <w:p w14:paraId="382BF2C4">
                  <w:pPr>
                    <w:adjustRightInd w:val="0"/>
                    <w:snapToGrid w:val="0"/>
                    <w:jc w:val="center"/>
                    <w:rPr>
                      <w:bCs/>
                      <w:color w:val="auto"/>
                      <w:sz w:val="18"/>
                      <w:szCs w:val="18"/>
                      <w14:ligatures w14:val="standardContextual"/>
                    </w:rPr>
                  </w:pPr>
                </w:p>
              </w:tc>
              <w:tc>
                <w:tcPr>
                  <w:tcW w:w="1063" w:type="pct"/>
                  <w:vAlign w:val="center"/>
                </w:tcPr>
                <w:p w14:paraId="4657C760">
                  <w:pPr>
                    <w:adjustRightInd w:val="0"/>
                    <w:snapToGrid w:val="0"/>
                    <w:jc w:val="center"/>
                    <w:rPr>
                      <w:color w:val="auto"/>
                      <w:sz w:val="18"/>
                      <w:szCs w:val="18"/>
                    </w:rPr>
                  </w:pPr>
                </w:p>
              </w:tc>
            </w:tr>
            <w:tr w14:paraId="54ADCC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198" w:type="pct"/>
                  <w:vMerge w:val="continue"/>
                  <w:tcMar>
                    <w:left w:w="57" w:type="dxa"/>
                    <w:right w:w="57" w:type="dxa"/>
                  </w:tcMar>
                  <w:vAlign w:val="center"/>
                </w:tcPr>
                <w:p w14:paraId="21F82406">
                  <w:pPr>
                    <w:adjustRightInd w:val="0"/>
                    <w:snapToGrid w:val="0"/>
                    <w:jc w:val="center"/>
                    <w:rPr>
                      <w:color w:val="auto"/>
                      <w:sz w:val="18"/>
                      <w:szCs w:val="18"/>
                    </w:rPr>
                  </w:pPr>
                </w:p>
              </w:tc>
              <w:tc>
                <w:tcPr>
                  <w:tcW w:w="325" w:type="pct"/>
                  <w:tcMar>
                    <w:left w:w="57" w:type="dxa"/>
                    <w:right w:w="57" w:type="dxa"/>
                  </w:tcMar>
                  <w:vAlign w:val="center"/>
                </w:tcPr>
                <w:p w14:paraId="1A1CA0D6">
                  <w:pPr>
                    <w:adjustRightInd w:val="0"/>
                    <w:snapToGrid w:val="0"/>
                    <w:jc w:val="center"/>
                    <w:rPr>
                      <w:color w:val="auto"/>
                      <w:sz w:val="18"/>
                      <w:szCs w:val="18"/>
                    </w:rPr>
                  </w:pPr>
                </w:p>
              </w:tc>
              <w:tc>
                <w:tcPr>
                  <w:tcW w:w="1136" w:type="pct"/>
                  <w:vAlign w:val="center"/>
                </w:tcPr>
                <w:p w14:paraId="608B061E">
                  <w:pPr>
                    <w:adjustRightInd w:val="0"/>
                    <w:snapToGrid w:val="0"/>
                    <w:jc w:val="center"/>
                    <w:rPr>
                      <w:color w:val="auto"/>
                      <w:sz w:val="18"/>
                      <w:szCs w:val="18"/>
                    </w:rPr>
                  </w:pPr>
                </w:p>
              </w:tc>
              <w:tc>
                <w:tcPr>
                  <w:tcW w:w="1213" w:type="pct"/>
                  <w:vAlign w:val="center"/>
                </w:tcPr>
                <w:p w14:paraId="082540E0">
                  <w:pPr>
                    <w:adjustRightInd w:val="0"/>
                    <w:snapToGrid w:val="0"/>
                    <w:jc w:val="center"/>
                    <w:rPr>
                      <w:bCs/>
                      <w:color w:val="auto"/>
                      <w:sz w:val="18"/>
                      <w:szCs w:val="18"/>
                      <w14:ligatures w14:val="standardContextual"/>
                    </w:rPr>
                  </w:pPr>
                </w:p>
              </w:tc>
              <w:tc>
                <w:tcPr>
                  <w:tcW w:w="1063" w:type="pct"/>
                  <w:vAlign w:val="center"/>
                </w:tcPr>
                <w:p w14:paraId="67DAE0AB">
                  <w:pPr>
                    <w:adjustRightInd w:val="0"/>
                    <w:snapToGrid w:val="0"/>
                    <w:jc w:val="center"/>
                    <w:rPr>
                      <w:bCs/>
                      <w:color w:val="auto"/>
                      <w:sz w:val="18"/>
                      <w:szCs w:val="18"/>
                      <w14:ligatures w14:val="standardContextual"/>
                    </w:rPr>
                  </w:pPr>
                </w:p>
              </w:tc>
              <w:tc>
                <w:tcPr>
                  <w:tcW w:w="1063" w:type="pct"/>
                  <w:vAlign w:val="center"/>
                </w:tcPr>
                <w:p w14:paraId="4AADEF13">
                  <w:pPr>
                    <w:adjustRightInd w:val="0"/>
                    <w:snapToGrid w:val="0"/>
                    <w:jc w:val="center"/>
                    <w:rPr>
                      <w:color w:val="auto"/>
                      <w:sz w:val="18"/>
                      <w:szCs w:val="18"/>
                    </w:rPr>
                  </w:pPr>
                </w:p>
              </w:tc>
            </w:tr>
            <w:tr w14:paraId="1DB39D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198" w:type="pct"/>
                  <w:vMerge w:val="restart"/>
                  <w:tcMar>
                    <w:left w:w="57" w:type="dxa"/>
                    <w:right w:w="57" w:type="dxa"/>
                  </w:tcMar>
                  <w:vAlign w:val="center"/>
                </w:tcPr>
                <w:p w14:paraId="7F47181A">
                  <w:pPr>
                    <w:adjustRightInd w:val="0"/>
                    <w:snapToGrid w:val="0"/>
                    <w:jc w:val="center"/>
                    <w:rPr>
                      <w:color w:val="auto"/>
                      <w:sz w:val="18"/>
                      <w:szCs w:val="18"/>
                    </w:rPr>
                  </w:pPr>
                  <w:r>
                    <w:rPr>
                      <w:color w:val="auto"/>
                      <w:sz w:val="18"/>
                      <w:szCs w:val="18"/>
                    </w:rPr>
                    <w:t>环保</w:t>
                  </w:r>
                </w:p>
                <w:p w14:paraId="0AD6DA86">
                  <w:pPr>
                    <w:adjustRightInd w:val="0"/>
                    <w:snapToGrid w:val="0"/>
                    <w:jc w:val="center"/>
                    <w:rPr>
                      <w:color w:val="auto"/>
                      <w:sz w:val="18"/>
                      <w:szCs w:val="18"/>
                    </w:rPr>
                  </w:pPr>
                  <w:r>
                    <w:rPr>
                      <w:color w:val="auto"/>
                      <w:sz w:val="18"/>
                      <w:szCs w:val="18"/>
                    </w:rPr>
                    <w:t>工程</w:t>
                  </w:r>
                </w:p>
              </w:tc>
              <w:tc>
                <w:tcPr>
                  <w:tcW w:w="325" w:type="pct"/>
                  <w:tcMar>
                    <w:left w:w="57" w:type="dxa"/>
                    <w:right w:w="57" w:type="dxa"/>
                  </w:tcMar>
                  <w:vAlign w:val="center"/>
                </w:tcPr>
                <w:p w14:paraId="1A0602D5">
                  <w:pPr>
                    <w:adjustRightInd w:val="0"/>
                    <w:snapToGrid w:val="0"/>
                    <w:jc w:val="center"/>
                    <w:rPr>
                      <w:color w:val="auto"/>
                      <w:sz w:val="18"/>
                      <w:szCs w:val="18"/>
                    </w:rPr>
                  </w:pPr>
                </w:p>
              </w:tc>
              <w:tc>
                <w:tcPr>
                  <w:tcW w:w="1136" w:type="pct"/>
                  <w:vAlign w:val="center"/>
                </w:tcPr>
                <w:p w14:paraId="710450D5">
                  <w:pPr>
                    <w:adjustRightInd w:val="0"/>
                    <w:snapToGrid w:val="0"/>
                    <w:jc w:val="center"/>
                    <w:rPr>
                      <w:color w:val="auto"/>
                      <w:sz w:val="18"/>
                      <w:szCs w:val="18"/>
                    </w:rPr>
                  </w:pPr>
                </w:p>
              </w:tc>
              <w:tc>
                <w:tcPr>
                  <w:tcW w:w="1213" w:type="pct"/>
                  <w:vAlign w:val="center"/>
                </w:tcPr>
                <w:p w14:paraId="32AC4BBF">
                  <w:pPr>
                    <w:adjustRightInd w:val="0"/>
                    <w:snapToGrid w:val="0"/>
                    <w:jc w:val="center"/>
                    <w:rPr>
                      <w:bCs/>
                      <w:color w:val="auto"/>
                      <w:sz w:val="18"/>
                      <w:szCs w:val="18"/>
                      <w14:ligatures w14:val="standardContextual"/>
                    </w:rPr>
                  </w:pPr>
                </w:p>
              </w:tc>
              <w:tc>
                <w:tcPr>
                  <w:tcW w:w="1063" w:type="pct"/>
                  <w:vAlign w:val="center"/>
                </w:tcPr>
                <w:p w14:paraId="4F0BAF74">
                  <w:pPr>
                    <w:adjustRightInd w:val="0"/>
                    <w:snapToGrid w:val="0"/>
                    <w:jc w:val="center"/>
                    <w:rPr>
                      <w:bCs/>
                      <w:color w:val="auto"/>
                      <w:sz w:val="18"/>
                      <w:szCs w:val="18"/>
                      <w14:ligatures w14:val="standardContextual"/>
                    </w:rPr>
                  </w:pPr>
                </w:p>
              </w:tc>
              <w:tc>
                <w:tcPr>
                  <w:tcW w:w="1063" w:type="pct"/>
                  <w:vAlign w:val="center"/>
                </w:tcPr>
                <w:p w14:paraId="6272FFE0">
                  <w:pPr>
                    <w:adjustRightInd w:val="0"/>
                    <w:snapToGrid w:val="0"/>
                    <w:jc w:val="center"/>
                    <w:rPr>
                      <w:color w:val="auto"/>
                      <w:sz w:val="18"/>
                      <w:szCs w:val="18"/>
                    </w:rPr>
                  </w:pPr>
                </w:p>
              </w:tc>
            </w:tr>
            <w:tr w14:paraId="14B5DC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198" w:type="pct"/>
                  <w:vMerge w:val="continue"/>
                  <w:tcMar>
                    <w:left w:w="57" w:type="dxa"/>
                    <w:right w:w="57" w:type="dxa"/>
                  </w:tcMar>
                  <w:vAlign w:val="center"/>
                </w:tcPr>
                <w:p w14:paraId="6514CACA">
                  <w:pPr>
                    <w:adjustRightInd w:val="0"/>
                    <w:snapToGrid w:val="0"/>
                    <w:jc w:val="center"/>
                    <w:rPr>
                      <w:color w:val="auto"/>
                      <w:sz w:val="18"/>
                      <w:szCs w:val="18"/>
                    </w:rPr>
                  </w:pPr>
                </w:p>
              </w:tc>
              <w:tc>
                <w:tcPr>
                  <w:tcW w:w="325" w:type="pct"/>
                  <w:tcMar>
                    <w:left w:w="57" w:type="dxa"/>
                    <w:right w:w="57" w:type="dxa"/>
                  </w:tcMar>
                  <w:vAlign w:val="center"/>
                </w:tcPr>
                <w:p w14:paraId="69B73967">
                  <w:pPr>
                    <w:adjustRightInd w:val="0"/>
                    <w:snapToGrid w:val="0"/>
                    <w:jc w:val="center"/>
                    <w:rPr>
                      <w:color w:val="auto"/>
                      <w:sz w:val="18"/>
                      <w:szCs w:val="18"/>
                    </w:rPr>
                  </w:pPr>
                </w:p>
              </w:tc>
              <w:tc>
                <w:tcPr>
                  <w:tcW w:w="1136" w:type="pct"/>
                  <w:vAlign w:val="center"/>
                </w:tcPr>
                <w:p w14:paraId="2A83BE06">
                  <w:pPr>
                    <w:widowControl/>
                    <w:numPr>
                      <w:numId w:val="0"/>
                    </w:numPr>
                    <w:contextualSpacing/>
                    <w:jc w:val="both"/>
                    <w:rPr>
                      <w:color w:val="auto"/>
                      <w:sz w:val="18"/>
                      <w:szCs w:val="18"/>
                    </w:rPr>
                  </w:pPr>
                </w:p>
              </w:tc>
              <w:tc>
                <w:tcPr>
                  <w:tcW w:w="1213" w:type="pct"/>
                  <w:vAlign w:val="center"/>
                </w:tcPr>
                <w:p w14:paraId="03065892">
                  <w:pPr>
                    <w:adjustRightInd w:val="0"/>
                    <w:snapToGrid w:val="0"/>
                    <w:jc w:val="center"/>
                    <w:rPr>
                      <w:color w:val="auto"/>
                      <w:sz w:val="18"/>
                      <w:szCs w:val="18"/>
                      <w:highlight w:val="none"/>
                    </w:rPr>
                  </w:pPr>
                </w:p>
              </w:tc>
              <w:tc>
                <w:tcPr>
                  <w:tcW w:w="1063" w:type="pct"/>
                  <w:vAlign w:val="center"/>
                </w:tcPr>
                <w:p w14:paraId="3D0242E9">
                  <w:pPr>
                    <w:adjustRightInd w:val="0"/>
                    <w:snapToGrid w:val="0"/>
                    <w:jc w:val="center"/>
                    <w:rPr>
                      <w:color w:val="auto"/>
                      <w:sz w:val="18"/>
                      <w:szCs w:val="18"/>
                      <w:highlight w:val="none"/>
                    </w:rPr>
                  </w:pPr>
                </w:p>
              </w:tc>
              <w:tc>
                <w:tcPr>
                  <w:tcW w:w="1063" w:type="pct"/>
                  <w:vAlign w:val="center"/>
                </w:tcPr>
                <w:p w14:paraId="4AEA8114">
                  <w:pPr>
                    <w:adjustRightInd w:val="0"/>
                    <w:snapToGrid w:val="0"/>
                    <w:jc w:val="center"/>
                    <w:rPr>
                      <w:color w:val="auto"/>
                      <w:sz w:val="18"/>
                      <w:szCs w:val="18"/>
                      <w:highlight w:val="none"/>
                    </w:rPr>
                  </w:pPr>
                </w:p>
              </w:tc>
            </w:tr>
            <w:tr w14:paraId="518DEF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198" w:type="pct"/>
                  <w:vMerge w:val="continue"/>
                  <w:tcMar>
                    <w:left w:w="57" w:type="dxa"/>
                    <w:right w:w="57" w:type="dxa"/>
                  </w:tcMar>
                  <w:vAlign w:val="center"/>
                </w:tcPr>
                <w:p w14:paraId="243DBD66">
                  <w:pPr>
                    <w:adjustRightInd w:val="0"/>
                    <w:snapToGrid w:val="0"/>
                    <w:jc w:val="center"/>
                    <w:rPr>
                      <w:color w:val="auto"/>
                      <w:sz w:val="18"/>
                      <w:szCs w:val="18"/>
                    </w:rPr>
                  </w:pPr>
                </w:p>
              </w:tc>
              <w:tc>
                <w:tcPr>
                  <w:tcW w:w="325" w:type="pct"/>
                  <w:tcMar>
                    <w:left w:w="57" w:type="dxa"/>
                    <w:right w:w="57" w:type="dxa"/>
                  </w:tcMar>
                  <w:vAlign w:val="center"/>
                </w:tcPr>
                <w:p w14:paraId="02029282">
                  <w:pPr>
                    <w:adjustRightInd w:val="0"/>
                    <w:snapToGrid w:val="0"/>
                    <w:jc w:val="center"/>
                    <w:rPr>
                      <w:color w:val="auto"/>
                      <w:sz w:val="18"/>
                      <w:szCs w:val="18"/>
                    </w:rPr>
                  </w:pPr>
                </w:p>
              </w:tc>
              <w:tc>
                <w:tcPr>
                  <w:tcW w:w="1136" w:type="pct"/>
                  <w:vAlign w:val="center"/>
                </w:tcPr>
                <w:p w14:paraId="36F52EBF">
                  <w:pPr>
                    <w:adjustRightInd w:val="0"/>
                    <w:snapToGrid w:val="0"/>
                    <w:jc w:val="center"/>
                    <w:rPr>
                      <w:color w:val="auto"/>
                      <w:spacing w:val="5"/>
                      <w:sz w:val="18"/>
                      <w:szCs w:val="18"/>
                    </w:rPr>
                  </w:pPr>
                </w:p>
              </w:tc>
              <w:tc>
                <w:tcPr>
                  <w:tcW w:w="1213" w:type="pct"/>
                  <w:vAlign w:val="center"/>
                </w:tcPr>
                <w:p w14:paraId="22F18A31">
                  <w:pPr>
                    <w:adjustRightInd w:val="0"/>
                    <w:snapToGrid w:val="0"/>
                    <w:jc w:val="center"/>
                    <w:rPr>
                      <w:bCs/>
                      <w:color w:val="auto"/>
                      <w:sz w:val="18"/>
                      <w:szCs w:val="18"/>
                      <w14:ligatures w14:val="standardContextual"/>
                    </w:rPr>
                  </w:pPr>
                </w:p>
              </w:tc>
              <w:tc>
                <w:tcPr>
                  <w:tcW w:w="1063" w:type="pct"/>
                  <w:vAlign w:val="center"/>
                </w:tcPr>
                <w:p w14:paraId="686D7E58">
                  <w:pPr>
                    <w:adjustRightInd w:val="0"/>
                    <w:snapToGrid w:val="0"/>
                    <w:jc w:val="center"/>
                    <w:rPr>
                      <w:bCs/>
                      <w:color w:val="auto"/>
                      <w:sz w:val="18"/>
                      <w:szCs w:val="18"/>
                      <w14:ligatures w14:val="standardContextual"/>
                    </w:rPr>
                  </w:pPr>
                </w:p>
              </w:tc>
              <w:tc>
                <w:tcPr>
                  <w:tcW w:w="1063" w:type="pct"/>
                  <w:vAlign w:val="center"/>
                </w:tcPr>
                <w:p w14:paraId="17A7CE55">
                  <w:pPr>
                    <w:adjustRightInd w:val="0"/>
                    <w:snapToGrid w:val="0"/>
                    <w:jc w:val="center"/>
                    <w:rPr>
                      <w:color w:val="auto"/>
                      <w:spacing w:val="5"/>
                      <w:sz w:val="18"/>
                      <w:szCs w:val="18"/>
                    </w:rPr>
                  </w:pPr>
                </w:p>
              </w:tc>
            </w:tr>
            <w:tr w14:paraId="314FA6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0" w:hRule="atLeast"/>
                <w:jc w:val="center"/>
              </w:trPr>
              <w:tc>
                <w:tcPr>
                  <w:tcW w:w="198" w:type="pct"/>
                  <w:vMerge w:val="continue"/>
                  <w:tcMar>
                    <w:left w:w="57" w:type="dxa"/>
                    <w:right w:w="57" w:type="dxa"/>
                  </w:tcMar>
                  <w:vAlign w:val="center"/>
                </w:tcPr>
                <w:p w14:paraId="26FA6E60">
                  <w:pPr>
                    <w:adjustRightInd w:val="0"/>
                    <w:snapToGrid w:val="0"/>
                    <w:jc w:val="center"/>
                    <w:rPr>
                      <w:color w:val="auto"/>
                      <w:sz w:val="18"/>
                      <w:szCs w:val="18"/>
                    </w:rPr>
                  </w:pPr>
                </w:p>
              </w:tc>
              <w:tc>
                <w:tcPr>
                  <w:tcW w:w="325" w:type="pct"/>
                  <w:tcMar>
                    <w:left w:w="57" w:type="dxa"/>
                    <w:right w:w="57" w:type="dxa"/>
                  </w:tcMar>
                  <w:vAlign w:val="center"/>
                </w:tcPr>
                <w:p w14:paraId="0C6DDF33">
                  <w:pPr>
                    <w:adjustRightInd w:val="0"/>
                    <w:snapToGrid w:val="0"/>
                    <w:jc w:val="center"/>
                    <w:rPr>
                      <w:color w:val="auto"/>
                      <w:sz w:val="18"/>
                      <w:szCs w:val="18"/>
                    </w:rPr>
                  </w:pPr>
                </w:p>
              </w:tc>
              <w:tc>
                <w:tcPr>
                  <w:tcW w:w="1136" w:type="pct"/>
                  <w:vAlign w:val="center"/>
                </w:tcPr>
                <w:p w14:paraId="1B9980FF">
                  <w:pPr>
                    <w:adjustRightInd w:val="0"/>
                    <w:snapToGrid w:val="0"/>
                    <w:jc w:val="center"/>
                    <w:rPr>
                      <w:color w:val="auto"/>
                      <w:spacing w:val="5"/>
                      <w:sz w:val="18"/>
                      <w:szCs w:val="18"/>
                    </w:rPr>
                  </w:pPr>
                </w:p>
              </w:tc>
              <w:tc>
                <w:tcPr>
                  <w:tcW w:w="1213" w:type="pct"/>
                  <w:vAlign w:val="center"/>
                </w:tcPr>
                <w:p w14:paraId="6DEA7303">
                  <w:pPr>
                    <w:adjustRightInd w:val="0"/>
                    <w:snapToGrid w:val="0"/>
                    <w:jc w:val="center"/>
                    <w:rPr>
                      <w:bCs/>
                      <w:color w:val="auto"/>
                      <w:sz w:val="18"/>
                      <w:szCs w:val="18"/>
                      <w14:ligatures w14:val="standardContextual"/>
                    </w:rPr>
                  </w:pPr>
                </w:p>
              </w:tc>
              <w:tc>
                <w:tcPr>
                  <w:tcW w:w="1063" w:type="pct"/>
                  <w:vAlign w:val="center"/>
                </w:tcPr>
                <w:p w14:paraId="15530AC6">
                  <w:pPr>
                    <w:adjustRightInd w:val="0"/>
                    <w:snapToGrid w:val="0"/>
                    <w:jc w:val="center"/>
                    <w:rPr>
                      <w:bCs/>
                      <w:color w:val="auto"/>
                      <w:sz w:val="18"/>
                      <w:szCs w:val="18"/>
                      <w14:ligatures w14:val="standardContextual"/>
                    </w:rPr>
                  </w:pPr>
                </w:p>
              </w:tc>
              <w:tc>
                <w:tcPr>
                  <w:tcW w:w="1063" w:type="pct"/>
                  <w:vAlign w:val="center"/>
                </w:tcPr>
                <w:p w14:paraId="494E63F6">
                  <w:pPr>
                    <w:adjustRightInd w:val="0"/>
                    <w:snapToGrid w:val="0"/>
                    <w:jc w:val="center"/>
                    <w:rPr>
                      <w:color w:val="auto"/>
                      <w:spacing w:val="5"/>
                      <w:sz w:val="18"/>
                      <w:szCs w:val="18"/>
                    </w:rPr>
                  </w:pPr>
                </w:p>
              </w:tc>
            </w:tr>
            <w:bookmarkEnd w:id="5"/>
          </w:tbl>
          <w:p w14:paraId="5A9A6D23">
            <w:pPr>
              <w:adjustRightInd w:val="0"/>
              <w:snapToGrid w:val="0"/>
              <w:spacing w:line="500" w:lineRule="exact"/>
              <w:rPr>
                <w:bCs/>
                <w:color w:val="auto"/>
                <w:szCs w:val="21"/>
              </w:rPr>
            </w:pPr>
          </w:p>
        </w:tc>
      </w:tr>
    </w:tbl>
    <w:p w14:paraId="1221ECC6">
      <w:pPr>
        <w:pStyle w:val="18"/>
        <w:rPr>
          <w:snapToGrid w:val="0"/>
          <w:color w:val="auto"/>
        </w:rPr>
        <w:sectPr>
          <w:type w:val="nextColumn"/>
          <w:pgSz w:w="16838" w:h="11906" w:orient="landscape"/>
          <w:pgMar w:top="1418" w:right="1418" w:bottom="1418" w:left="1418" w:header="851" w:footer="851" w:gutter="0"/>
          <w:cols w:space="720" w:num="1"/>
          <w:docGrid w:linePitch="312" w:charSpace="0"/>
        </w:sectPr>
      </w:pPr>
    </w:p>
    <w:tbl>
      <w:tblPr>
        <w:tblStyle w:val="21"/>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8427"/>
      </w:tblGrid>
      <w:tr w14:paraId="0385E4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56" w:hRule="atLeast"/>
          <w:jc w:val="center"/>
        </w:trPr>
        <w:tc>
          <w:tcPr>
            <w:tcW w:w="425" w:type="dxa"/>
            <w:vAlign w:val="center"/>
          </w:tcPr>
          <w:p w14:paraId="3A851809">
            <w:pPr>
              <w:pStyle w:val="18"/>
              <w:rPr>
                <w:color w:val="auto"/>
                <w:sz w:val="21"/>
                <w:szCs w:val="16"/>
              </w:rPr>
            </w:pPr>
            <w:r>
              <w:rPr>
                <w:color w:val="auto"/>
                <w:sz w:val="21"/>
                <w:szCs w:val="16"/>
              </w:rPr>
              <w:t>建设</w:t>
            </w:r>
          </w:p>
          <w:p w14:paraId="1EF7DC46">
            <w:pPr>
              <w:pStyle w:val="18"/>
              <w:rPr>
                <w:color w:val="auto"/>
              </w:rPr>
            </w:pPr>
            <w:r>
              <w:rPr>
                <w:color w:val="auto"/>
                <w:sz w:val="21"/>
                <w:szCs w:val="16"/>
              </w:rPr>
              <w:t>内容</w:t>
            </w:r>
          </w:p>
        </w:tc>
        <w:tc>
          <w:tcPr>
            <w:tcW w:w="8399" w:type="dxa"/>
          </w:tcPr>
          <w:p w14:paraId="43D82E5F">
            <w:pPr>
              <w:adjustRightInd w:val="0"/>
              <w:snapToGrid w:val="0"/>
              <w:spacing w:line="500" w:lineRule="exact"/>
              <w:ind w:firstLine="422" w:firstLineChars="200"/>
              <w:jc w:val="left"/>
              <w:rPr>
                <w:b/>
                <w:bCs/>
                <w:color w:val="auto"/>
                <w:szCs w:val="21"/>
              </w:rPr>
            </w:pPr>
            <w:r>
              <w:rPr>
                <w:b/>
                <w:bCs/>
                <w:color w:val="auto"/>
                <w:szCs w:val="21"/>
              </w:rPr>
              <w:t xml:space="preserve">4. </w:t>
            </w:r>
            <w:r>
              <w:rPr>
                <w:rFonts w:hint="eastAsia"/>
                <w:b/>
                <w:bCs/>
                <w:color w:val="auto"/>
                <w:szCs w:val="21"/>
              </w:rPr>
              <w:t>劳动定员及工作制度</w:t>
            </w:r>
          </w:p>
          <w:p w14:paraId="3897E564">
            <w:pPr>
              <w:adjustRightInd w:val="0"/>
              <w:snapToGrid w:val="0"/>
              <w:spacing w:line="500" w:lineRule="exact"/>
              <w:ind w:firstLine="420" w:firstLineChars="200"/>
              <w:jc w:val="left"/>
              <w:rPr>
                <w:bCs/>
                <w:color w:val="auto"/>
                <w:szCs w:val="21"/>
              </w:rPr>
            </w:pPr>
            <w:r>
              <w:rPr>
                <w:bCs/>
                <w:color w:val="auto"/>
                <w:szCs w:val="21"/>
              </w:rPr>
              <w:t>职工人数：</w:t>
            </w:r>
            <w:r>
              <w:rPr>
                <w:rFonts w:hint="eastAsia"/>
                <w:bCs/>
                <w:color w:val="auto"/>
                <w:szCs w:val="21"/>
              </w:rPr>
              <w:t>本项目依托现有管理人员和操作人员，不新增定员；</w:t>
            </w:r>
          </w:p>
          <w:p w14:paraId="01A30B96">
            <w:pPr>
              <w:adjustRightInd w:val="0"/>
              <w:snapToGrid w:val="0"/>
              <w:spacing w:line="500" w:lineRule="exact"/>
              <w:ind w:firstLine="420" w:firstLineChars="200"/>
              <w:jc w:val="left"/>
              <w:rPr>
                <w:b/>
                <w:bCs/>
                <w:color w:val="auto"/>
                <w:szCs w:val="21"/>
              </w:rPr>
            </w:pPr>
            <w:r>
              <w:rPr>
                <w:bCs/>
                <w:color w:val="auto"/>
                <w:szCs w:val="21"/>
              </w:rPr>
              <w:t>工作时间：</w:t>
            </w:r>
            <w:r>
              <w:rPr>
                <w:rFonts w:hint="eastAsia"/>
                <w:bCs/>
                <w:color w:val="auto"/>
                <w:szCs w:val="21"/>
              </w:rPr>
              <w:t>每天工作2</w:t>
            </w:r>
            <w:r>
              <w:rPr>
                <w:bCs/>
                <w:color w:val="auto"/>
                <w:szCs w:val="21"/>
              </w:rPr>
              <w:t>4</w:t>
            </w:r>
            <w:r>
              <w:rPr>
                <w:rFonts w:hint="eastAsia"/>
                <w:bCs/>
                <w:color w:val="auto"/>
                <w:szCs w:val="21"/>
              </w:rPr>
              <w:t>小时，全年工作333天。全年操作时数为8000小时。</w:t>
            </w:r>
          </w:p>
          <w:p w14:paraId="25CA3C74">
            <w:pPr>
              <w:adjustRightInd w:val="0"/>
              <w:snapToGrid w:val="0"/>
              <w:spacing w:line="500" w:lineRule="exact"/>
              <w:ind w:firstLine="422" w:firstLineChars="200"/>
              <w:jc w:val="left"/>
              <w:rPr>
                <w:b/>
                <w:bCs/>
                <w:color w:val="auto"/>
                <w:szCs w:val="21"/>
              </w:rPr>
            </w:pPr>
            <w:r>
              <w:rPr>
                <w:rFonts w:hint="eastAsia"/>
                <w:b/>
                <w:bCs/>
                <w:color w:val="auto"/>
                <w:szCs w:val="21"/>
              </w:rPr>
              <w:t>5</w:t>
            </w:r>
            <w:r>
              <w:rPr>
                <w:b/>
                <w:bCs/>
                <w:color w:val="auto"/>
                <w:szCs w:val="21"/>
              </w:rPr>
              <w:t>. 原辅材料</w:t>
            </w:r>
          </w:p>
          <w:p w14:paraId="5A7DEB81">
            <w:pPr>
              <w:adjustRightInd w:val="0"/>
              <w:snapToGrid w:val="0"/>
              <w:spacing w:line="500" w:lineRule="exact"/>
              <w:ind w:firstLine="420" w:firstLineChars="200"/>
              <w:jc w:val="left"/>
              <w:rPr>
                <w:bCs/>
                <w:color w:val="auto"/>
                <w:szCs w:val="21"/>
              </w:rPr>
            </w:pPr>
            <w:r>
              <w:rPr>
                <w:rFonts w:hint="eastAsia"/>
                <w:bCs/>
                <w:color w:val="auto"/>
                <w:szCs w:val="21"/>
              </w:rPr>
              <w:t>建设项目原辅材料用量情况见表2-</w:t>
            </w:r>
            <w:r>
              <w:rPr>
                <w:bCs/>
                <w:color w:val="auto"/>
                <w:szCs w:val="21"/>
              </w:rPr>
              <w:t>2。</w:t>
            </w:r>
          </w:p>
          <w:p w14:paraId="2BC0AB00">
            <w:pPr>
              <w:snapToGrid w:val="0"/>
              <w:spacing w:line="500" w:lineRule="exact"/>
              <w:jc w:val="center"/>
              <w:rPr>
                <w:b/>
                <w:color w:val="auto"/>
                <w:szCs w:val="21"/>
              </w:rPr>
            </w:pPr>
            <w:r>
              <w:rPr>
                <w:rFonts w:hint="eastAsia"/>
                <w:b/>
                <w:color w:val="auto"/>
                <w:szCs w:val="21"/>
              </w:rPr>
              <w:t>表</w:t>
            </w:r>
            <w:r>
              <w:rPr>
                <w:b/>
                <w:color w:val="auto"/>
                <w:szCs w:val="21"/>
              </w:rPr>
              <w:t xml:space="preserve">2-2  </w:t>
            </w:r>
            <w:r>
              <w:rPr>
                <w:rFonts w:hint="eastAsia"/>
                <w:b/>
                <w:color w:val="auto"/>
                <w:szCs w:val="21"/>
              </w:rPr>
              <w:t>建设项目原辅材料用量表</w:t>
            </w:r>
          </w:p>
          <w:tbl>
            <w:tblPr>
              <w:tblStyle w:val="21"/>
              <w:tblW w:w="0" w:type="auto"/>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27"/>
              <w:gridCol w:w="427"/>
              <w:gridCol w:w="1583"/>
              <w:gridCol w:w="1357"/>
              <w:gridCol w:w="709"/>
              <w:gridCol w:w="992"/>
              <w:gridCol w:w="1053"/>
              <w:gridCol w:w="850"/>
              <w:gridCol w:w="785"/>
            </w:tblGrid>
            <w:tr w14:paraId="44BD32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27" w:type="dxa"/>
                  <w:shd w:val="clear" w:color="auto" w:fill="auto"/>
                  <w:vAlign w:val="center"/>
                </w:tcPr>
                <w:p w14:paraId="24DEFA7D">
                  <w:pPr>
                    <w:widowControl/>
                    <w:jc w:val="center"/>
                    <w:rPr>
                      <w:b/>
                      <w:bCs/>
                      <w:color w:val="auto"/>
                      <w:kern w:val="0"/>
                      <w:sz w:val="18"/>
                      <w:szCs w:val="18"/>
                    </w:rPr>
                  </w:pPr>
                  <w:r>
                    <w:rPr>
                      <w:b/>
                      <w:bCs/>
                      <w:color w:val="auto"/>
                      <w:kern w:val="0"/>
                      <w:sz w:val="18"/>
                      <w:szCs w:val="18"/>
                    </w:rPr>
                    <w:t>序号</w:t>
                  </w:r>
                </w:p>
              </w:tc>
              <w:tc>
                <w:tcPr>
                  <w:tcW w:w="427" w:type="dxa"/>
                  <w:shd w:val="clear" w:color="auto" w:fill="auto"/>
                  <w:vAlign w:val="center"/>
                </w:tcPr>
                <w:p w14:paraId="6FBF0582">
                  <w:pPr>
                    <w:widowControl/>
                    <w:jc w:val="center"/>
                    <w:rPr>
                      <w:b/>
                      <w:bCs/>
                      <w:color w:val="auto"/>
                      <w:kern w:val="0"/>
                      <w:sz w:val="18"/>
                      <w:szCs w:val="18"/>
                    </w:rPr>
                  </w:pPr>
                  <w:r>
                    <w:rPr>
                      <w:b/>
                      <w:bCs/>
                      <w:color w:val="auto"/>
                      <w:kern w:val="0"/>
                      <w:sz w:val="18"/>
                      <w:szCs w:val="18"/>
                    </w:rPr>
                    <w:t>分类</w:t>
                  </w:r>
                </w:p>
              </w:tc>
              <w:tc>
                <w:tcPr>
                  <w:tcW w:w="1583" w:type="dxa"/>
                  <w:shd w:val="clear" w:color="auto" w:fill="auto"/>
                  <w:vAlign w:val="center"/>
                </w:tcPr>
                <w:p w14:paraId="2203B750">
                  <w:pPr>
                    <w:widowControl/>
                    <w:jc w:val="center"/>
                    <w:rPr>
                      <w:b/>
                      <w:bCs/>
                      <w:color w:val="auto"/>
                      <w:kern w:val="0"/>
                      <w:sz w:val="18"/>
                      <w:szCs w:val="18"/>
                    </w:rPr>
                  </w:pPr>
                  <w:r>
                    <w:rPr>
                      <w:b/>
                      <w:bCs/>
                      <w:color w:val="auto"/>
                      <w:kern w:val="0"/>
                      <w:sz w:val="18"/>
                      <w:szCs w:val="18"/>
                    </w:rPr>
                    <w:t>名称</w:t>
                  </w:r>
                </w:p>
              </w:tc>
              <w:tc>
                <w:tcPr>
                  <w:tcW w:w="1357" w:type="dxa"/>
                  <w:shd w:val="clear" w:color="auto" w:fill="auto"/>
                  <w:vAlign w:val="center"/>
                </w:tcPr>
                <w:p w14:paraId="2EABC853">
                  <w:pPr>
                    <w:widowControl/>
                    <w:jc w:val="center"/>
                    <w:rPr>
                      <w:b/>
                      <w:bCs/>
                      <w:color w:val="auto"/>
                      <w:kern w:val="0"/>
                      <w:sz w:val="18"/>
                      <w:szCs w:val="18"/>
                    </w:rPr>
                  </w:pPr>
                  <w:r>
                    <w:rPr>
                      <w:b/>
                      <w:bCs/>
                      <w:color w:val="auto"/>
                      <w:kern w:val="0"/>
                      <w:sz w:val="18"/>
                      <w:szCs w:val="18"/>
                    </w:rPr>
                    <w:t>成分含量</w:t>
                  </w:r>
                </w:p>
              </w:tc>
              <w:tc>
                <w:tcPr>
                  <w:tcW w:w="709" w:type="dxa"/>
                  <w:shd w:val="clear" w:color="auto" w:fill="auto"/>
                  <w:vAlign w:val="center"/>
                </w:tcPr>
                <w:p w14:paraId="6B1A947A">
                  <w:pPr>
                    <w:widowControl/>
                    <w:jc w:val="center"/>
                    <w:rPr>
                      <w:b/>
                      <w:bCs/>
                      <w:color w:val="auto"/>
                      <w:kern w:val="0"/>
                      <w:sz w:val="18"/>
                      <w:szCs w:val="18"/>
                    </w:rPr>
                  </w:pPr>
                  <w:r>
                    <w:rPr>
                      <w:b/>
                      <w:bCs/>
                      <w:color w:val="auto"/>
                      <w:kern w:val="0"/>
                      <w:sz w:val="18"/>
                      <w:szCs w:val="18"/>
                    </w:rPr>
                    <w:t>状态</w:t>
                  </w:r>
                </w:p>
              </w:tc>
              <w:tc>
                <w:tcPr>
                  <w:tcW w:w="992" w:type="dxa"/>
                  <w:shd w:val="clear" w:color="auto" w:fill="auto"/>
                  <w:vAlign w:val="center"/>
                </w:tcPr>
                <w:p w14:paraId="3B002955">
                  <w:pPr>
                    <w:widowControl/>
                    <w:jc w:val="center"/>
                    <w:rPr>
                      <w:b/>
                      <w:bCs/>
                      <w:color w:val="auto"/>
                      <w:kern w:val="0"/>
                      <w:sz w:val="18"/>
                      <w:szCs w:val="18"/>
                    </w:rPr>
                  </w:pPr>
                  <w:r>
                    <w:rPr>
                      <w:b/>
                      <w:bCs/>
                      <w:color w:val="auto"/>
                      <w:kern w:val="0"/>
                      <w:sz w:val="18"/>
                      <w:szCs w:val="18"/>
                    </w:rPr>
                    <w:t>规格</w:t>
                  </w:r>
                </w:p>
              </w:tc>
              <w:tc>
                <w:tcPr>
                  <w:tcW w:w="1053" w:type="dxa"/>
                  <w:shd w:val="clear" w:color="auto" w:fill="auto"/>
                  <w:vAlign w:val="center"/>
                </w:tcPr>
                <w:p w14:paraId="3C5669C7">
                  <w:pPr>
                    <w:widowControl/>
                    <w:jc w:val="center"/>
                    <w:rPr>
                      <w:b/>
                      <w:bCs/>
                      <w:color w:val="auto"/>
                      <w:kern w:val="0"/>
                      <w:sz w:val="18"/>
                      <w:szCs w:val="18"/>
                    </w:rPr>
                  </w:pPr>
                  <w:r>
                    <w:rPr>
                      <w:b/>
                      <w:bCs/>
                      <w:color w:val="auto"/>
                      <w:kern w:val="0"/>
                      <w:sz w:val="18"/>
                      <w:szCs w:val="18"/>
                    </w:rPr>
                    <w:t>储存位置</w:t>
                  </w:r>
                </w:p>
              </w:tc>
              <w:tc>
                <w:tcPr>
                  <w:tcW w:w="850" w:type="dxa"/>
                  <w:shd w:val="clear" w:color="auto" w:fill="auto"/>
                  <w:vAlign w:val="center"/>
                </w:tcPr>
                <w:p w14:paraId="3F610387">
                  <w:pPr>
                    <w:widowControl/>
                    <w:jc w:val="center"/>
                    <w:rPr>
                      <w:b/>
                      <w:bCs/>
                      <w:color w:val="auto"/>
                      <w:kern w:val="0"/>
                      <w:sz w:val="18"/>
                      <w:szCs w:val="18"/>
                    </w:rPr>
                  </w:pPr>
                  <w:r>
                    <w:rPr>
                      <w:b/>
                      <w:bCs/>
                      <w:color w:val="auto"/>
                      <w:kern w:val="0"/>
                      <w:sz w:val="18"/>
                      <w:szCs w:val="18"/>
                    </w:rPr>
                    <w:t>储存量</w:t>
                  </w:r>
                </w:p>
              </w:tc>
              <w:tc>
                <w:tcPr>
                  <w:tcW w:w="785" w:type="dxa"/>
                  <w:shd w:val="clear" w:color="auto" w:fill="auto"/>
                  <w:vAlign w:val="center"/>
                </w:tcPr>
                <w:p w14:paraId="7FC3B340">
                  <w:pPr>
                    <w:widowControl/>
                    <w:jc w:val="center"/>
                    <w:rPr>
                      <w:b/>
                      <w:bCs/>
                      <w:color w:val="auto"/>
                      <w:kern w:val="0"/>
                      <w:sz w:val="18"/>
                      <w:szCs w:val="18"/>
                    </w:rPr>
                  </w:pPr>
                  <w:r>
                    <w:rPr>
                      <w:b/>
                      <w:bCs/>
                      <w:color w:val="auto"/>
                      <w:kern w:val="0"/>
                      <w:sz w:val="18"/>
                      <w:szCs w:val="18"/>
                    </w:rPr>
                    <w:t>年用量（kg）</w:t>
                  </w:r>
                </w:p>
              </w:tc>
            </w:tr>
            <w:tr w14:paraId="4D22EB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27" w:type="dxa"/>
                  <w:shd w:val="clear" w:color="auto" w:fill="auto"/>
                  <w:vAlign w:val="center"/>
                </w:tcPr>
                <w:p w14:paraId="73892347">
                  <w:pPr>
                    <w:widowControl/>
                    <w:jc w:val="center"/>
                    <w:rPr>
                      <w:color w:val="auto"/>
                      <w:kern w:val="0"/>
                      <w:sz w:val="18"/>
                      <w:szCs w:val="18"/>
                    </w:rPr>
                  </w:pPr>
                  <w:r>
                    <w:rPr>
                      <w:color w:val="auto"/>
                      <w:kern w:val="0"/>
                      <w:sz w:val="18"/>
                      <w:szCs w:val="18"/>
                    </w:rPr>
                    <w:t>1</w:t>
                  </w:r>
                </w:p>
              </w:tc>
              <w:tc>
                <w:tcPr>
                  <w:tcW w:w="427" w:type="dxa"/>
                  <w:vMerge w:val="restart"/>
                  <w:shd w:val="clear" w:color="auto" w:fill="auto"/>
                  <w:vAlign w:val="center"/>
                </w:tcPr>
                <w:p w14:paraId="2419CE70">
                  <w:pPr>
                    <w:widowControl/>
                    <w:jc w:val="center"/>
                    <w:rPr>
                      <w:color w:val="auto"/>
                      <w:kern w:val="0"/>
                      <w:sz w:val="18"/>
                      <w:szCs w:val="18"/>
                    </w:rPr>
                  </w:pPr>
                </w:p>
              </w:tc>
              <w:tc>
                <w:tcPr>
                  <w:tcW w:w="1583" w:type="dxa"/>
                  <w:shd w:val="clear" w:color="auto" w:fill="auto"/>
                  <w:vAlign w:val="center"/>
                </w:tcPr>
                <w:p w14:paraId="19698032">
                  <w:pPr>
                    <w:widowControl/>
                    <w:jc w:val="center"/>
                    <w:rPr>
                      <w:color w:val="auto"/>
                      <w:kern w:val="0"/>
                      <w:sz w:val="18"/>
                      <w:szCs w:val="18"/>
                    </w:rPr>
                  </w:pPr>
                </w:p>
              </w:tc>
              <w:tc>
                <w:tcPr>
                  <w:tcW w:w="1357" w:type="dxa"/>
                  <w:shd w:val="clear" w:color="auto" w:fill="auto"/>
                  <w:vAlign w:val="center"/>
                </w:tcPr>
                <w:p w14:paraId="6D7A7E99">
                  <w:pPr>
                    <w:widowControl/>
                    <w:jc w:val="center"/>
                    <w:rPr>
                      <w:color w:val="auto"/>
                      <w:kern w:val="0"/>
                      <w:sz w:val="18"/>
                      <w:szCs w:val="18"/>
                    </w:rPr>
                  </w:pPr>
                </w:p>
              </w:tc>
              <w:tc>
                <w:tcPr>
                  <w:tcW w:w="709" w:type="dxa"/>
                  <w:shd w:val="clear" w:color="auto" w:fill="auto"/>
                  <w:vAlign w:val="center"/>
                </w:tcPr>
                <w:p w14:paraId="0C02D2D5">
                  <w:pPr>
                    <w:widowControl/>
                    <w:jc w:val="center"/>
                    <w:rPr>
                      <w:color w:val="auto"/>
                      <w:kern w:val="0"/>
                      <w:sz w:val="18"/>
                      <w:szCs w:val="18"/>
                    </w:rPr>
                  </w:pPr>
                </w:p>
              </w:tc>
              <w:tc>
                <w:tcPr>
                  <w:tcW w:w="992" w:type="dxa"/>
                  <w:shd w:val="clear" w:color="auto" w:fill="auto"/>
                  <w:vAlign w:val="center"/>
                </w:tcPr>
                <w:p w14:paraId="38AFAB58">
                  <w:pPr>
                    <w:widowControl/>
                    <w:jc w:val="center"/>
                    <w:rPr>
                      <w:color w:val="auto"/>
                      <w:kern w:val="0"/>
                      <w:sz w:val="18"/>
                      <w:szCs w:val="18"/>
                    </w:rPr>
                  </w:pPr>
                </w:p>
              </w:tc>
              <w:tc>
                <w:tcPr>
                  <w:tcW w:w="1053" w:type="dxa"/>
                  <w:shd w:val="clear" w:color="auto" w:fill="auto"/>
                  <w:vAlign w:val="center"/>
                </w:tcPr>
                <w:p w14:paraId="19B8E936">
                  <w:pPr>
                    <w:widowControl/>
                    <w:jc w:val="center"/>
                    <w:rPr>
                      <w:color w:val="auto"/>
                      <w:kern w:val="0"/>
                      <w:sz w:val="18"/>
                      <w:szCs w:val="18"/>
                    </w:rPr>
                  </w:pPr>
                </w:p>
              </w:tc>
              <w:tc>
                <w:tcPr>
                  <w:tcW w:w="850" w:type="dxa"/>
                  <w:shd w:val="clear" w:color="auto" w:fill="auto"/>
                  <w:vAlign w:val="center"/>
                </w:tcPr>
                <w:p w14:paraId="6EF4AF7E">
                  <w:pPr>
                    <w:widowControl/>
                    <w:jc w:val="center"/>
                    <w:rPr>
                      <w:color w:val="auto"/>
                      <w:kern w:val="0"/>
                      <w:sz w:val="18"/>
                      <w:szCs w:val="18"/>
                    </w:rPr>
                  </w:pPr>
                </w:p>
              </w:tc>
              <w:tc>
                <w:tcPr>
                  <w:tcW w:w="785" w:type="dxa"/>
                  <w:shd w:val="clear" w:color="auto" w:fill="auto"/>
                  <w:vAlign w:val="center"/>
                </w:tcPr>
                <w:p w14:paraId="6CA82488">
                  <w:pPr>
                    <w:widowControl/>
                    <w:jc w:val="center"/>
                    <w:rPr>
                      <w:color w:val="auto"/>
                      <w:kern w:val="0"/>
                      <w:sz w:val="18"/>
                      <w:szCs w:val="18"/>
                    </w:rPr>
                  </w:pPr>
                </w:p>
              </w:tc>
            </w:tr>
            <w:tr w14:paraId="0983AD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27" w:type="dxa"/>
                  <w:shd w:val="clear" w:color="auto" w:fill="auto"/>
                  <w:vAlign w:val="center"/>
                </w:tcPr>
                <w:p w14:paraId="11B76D68">
                  <w:pPr>
                    <w:widowControl/>
                    <w:jc w:val="center"/>
                    <w:rPr>
                      <w:color w:val="auto"/>
                      <w:kern w:val="0"/>
                      <w:sz w:val="18"/>
                      <w:szCs w:val="18"/>
                    </w:rPr>
                  </w:pPr>
                  <w:r>
                    <w:rPr>
                      <w:rFonts w:hint="eastAsia"/>
                      <w:color w:val="auto"/>
                      <w:kern w:val="0"/>
                      <w:sz w:val="18"/>
                      <w:szCs w:val="18"/>
                    </w:rPr>
                    <w:t>2</w:t>
                  </w:r>
                </w:p>
              </w:tc>
              <w:tc>
                <w:tcPr>
                  <w:tcW w:w="427" w:type="dxa"/>
                  <w:vMerge w:val="continue"/>
                  <w:shd w:val="clear" w:color="auto" w:fill="auto"/>
                  <w:vAlign w:val="center"/>
                </w:tcPr>
                <w:p w14:paraId="17F6FA87">
                  <w:pPr>
                    <w:widowControl/>
                    <w:jc w:val="center"/>
                    <w:rPr>
                      <w:color w:val="auto"/>
                      <w:kern w:val="0"/>
                      <w:sz w:val="18"/>
                      <w:szCs w:val="18"/>
                    </w:rPr>
                  </w:pPr>
                </w:p>
              </w:tc>
              <w:tc>
                <w:tcPr>
                  <w:tcW w:w="1583" w:type="dxa"/>
                  <w:shd w:val="clear" w:color="auto" w:fill="auto"/>
                  <w:vAlign w:val="center"/>
                </w:tcPr>
                <w:p w14:paraId="42DDBF30">
                  <w:pPr>
                    <w:widowControl/>
                    <w:jc w:val="center"/>
                    <w:rPr>
                      <w:color w:val="auto"/>
                      <w:kern w:val="0"/>
                      <w:sz w:val="18"/>
                      <w:szCs w:val="18"/>
                    </w:rPr>
                  </w:pPr>
                </w:p>
              </w:tc>
              <w:tc>
                <w:tcPr>
                  <w:tcW w:w="1357" w:type="dxa"/>
                  <w:shd w:val="clear" w:color="auto" w:fill="auto"/>
                  <w:vAlign w:val="center"/>
                </w:tcPr>
                <w:p w14:paraId="7FA88143">
                  <w:pPr>
                    <w:widowControl/>
                    <w:jc w:val="center"/>
                    <w:rPr>
                      <w:color w:val="auto"/>
                      <w:kern w:val="0"/>
                      <w:sz w:val="18"/>
                      <w:szCs w:val="18"/>
                    </w:rPr>
                  </w:pPr>
                </w:p>
              </w:tc>
              <w:tc>
                <w:tcPr>
                  <w:tcW w:w="709" w:type="dxa"/>
                  <w:shd w:val="clear" w:color="auto" w:fill="auto"/>
                  <w:vAlign w:val="center"/>
                </w:tcPr>
                <w:p w14:paraId="1B57283B">
                  <w:pPr>
                    <w:widowControl/>
                    <w:jc w:val="center"/>
                    <w:rPr>
                      <w:color w:val="auto"/>
                      <w:kern w:val="0"/>
                      <w:sz w:val="18"/>
                      <w:szCs w:val="18"/>
                    </w:rPr>
                  </w:pPr>
                </w:p>
              </w:tc>
              <w:tc>
                <w:tcPr>
                  <w:tcW w:w="992" w:type="dxa"/>
                  <w:shd w:val="clear" w:color="auto" w:fill="auto"/>
                  <w:vAlign w:val="center"/>
                </w:tcPr>
                <w:p w14:paraId="67CBA635">
                  <w:pPr>
                    <w:widowControl/>
                    <w:jc w:val="center"/>
                    <w:rPr>
                      <w:color w:val="auto"/>
                      <w:kern w:val="0"/>
                      <w:sz w:val="18"/>
                      <w:szCs w:val="18"/>
                    </w:rPr>
                  </w:pPr>
                </w:p>
              </w:tc>
              <w:tc>
                <w:tcPr>
                  <w:tcW w:w="1053" w:type="dxa"/>
                  <w:shd w:val="clear" w:color="auto" w:fill="auto"/>
                  <w:vAlign w:val="center"/>
                </w:tcPr>
                <w:p w14:paraId="11652C6B">
                  <w:pPr>
                    <w:widowControl/>
                    <w:jc w:val="center"/>
                    <w:rPr>
                      <w:color w:val="auto"/>
                      <w:kern w:val="0"/>
                      <w:sz w:val="18"/>
                      <w:szCs w:val="18"/>
                    </w:rPr>
                  </w:pPr>
                </w:p>
              </w:tc>
              <w:tc>
                <w:tcPr>
                  <w:tcW w:w="850" w:type="dxa"/>
                  <w:shd w:val="clear" w:color="auto" w:fill="auto"/>
                  <w:vAlign w:val="center"/>
                </w:tcPr>
                <w:p w14:paraId="58D3F240">
                  <w:pPr>
                    <w:widowControl/>
                    <w:jc w:val="center"/>
                    <w:rPr>
                      <w:color w:val="auto"/>
                      <w:kern w:val="0"/>
                      <w:sz w:val="18"/>
                      <w:szCs w:val="18"/>
                    </w:rPr>
                  </w:pPr>
                </w:p>
              </w:tc>
              <w:tc>
                <w:tcPr>
                  <w:tcW w:w="785" w:type="dxa"/>
                  <w:shd w:val="clear" w:color="auto" w:fill="auto"/>
                  <w:vAlign w:val="center"/>
                </w:tcPr>
                <w:p w14:paraId="7D7D5483">
                  <w:pPr>
                    <w:widowControl/>
                    <w:jc w:val="center"/>
                    <w:rPr>
                      <w:color w:val="auto"/>
                      <w:kern w:val="0"/>
                      <w:sz w:val="18"/>
                      <w:szCs w:val="18"/>
                    </w:rPr>
                  </w:pPr>
                </w:p>
              </w:tc>
            </w:tr>
            <w:tr w14:paraId="6F88DE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27" w:type="dxa"/>
                  <w:shd w:val="clear" w:color="auto" w:fill="auto"/>
                  <w:vAlign w:val="center"/>
                </w:tcPr>
                <w:p w14:paraId="227E5505">
                  <w:pPr>
                    <w:widowControl/>
                    <w:jc w:val="center"/>
                    <w:rPr>
                      <w:color w:val="auto"/>
                      <w:kern w:val="0"/>
                      <w:sz w:val="18"/>
                      <w:szCs w:val="18"/>
                    </w:rPr>
                  </w:pPr>
                  <w:r>
                    <w:rPr>
                      <w:rFonts w:hint="eastAsia"/>
                      <w:color w:val="auto"/>
                      <w:kern w:val="0"/>
                      <w:sz w:val="18"/>
                      <w:szCs w:val="18"/>
                    </w:rPr>
                    <w:t>3</w:t>
                  </w:r>
                </w:p>
              </w:tc>
              <w:tc>
                <w:tcPr>
                  <w:tcW w:w="427" w:type="dxa"/>
                  <w:vMerge w:val="continue"/>
                  <w:shd w:val="clear" w:color="auto" w:fill="auto"/>
                  <w:vAlign w:val="center"/>
                </w:tcPr>
                <w:p w14:paraId="1296D74B">
                  <w:pPr>
                    <w:widowControl/>
                    <w:jc w:val="center"/>
                    <w:rPr>
                      <w:color w:val="auto"/>
                      <w:kern w:val="0"/>
                      <w:sz w:val="18"/>
                      <w:szCs w:val="18"/>
                    </w:rPr>
                  </w:pPr>
                </w:p>
              </w:tc>
              <w:tc>
                <w:tcPr>
                  <w:tcW w:w="1583" w:type="dxa"/>
                  <w:shd w:val="clear" w:color="auto" w:fill="auto"/>
                  <w:vAlign w:val="center"/>
                </w:tcPr>
                <w:p w14:paraId="175C928F">
                  <w:pPr>
                    <w:widowControl/>
                    <w:jc w:val="center"/>
                    <w:rPr>
                      <w:color w:val="auto"/>
                      <w:kern w:val="0"/>
                      <w:sz w:val="18"/>
                      <w:szCs w:val="18"/>
                    </w:rPr>
                  </w:pPr>
                </w:p>
              </w:tc>
              <w:tc>
                <w:tcPr>
                  <w:tcW w:w="1357" w:type="dxa"/>
                  <w:shd w:val="clear" w:color="auto" w:fill="auto"/>
                  <w:vAlign w:val="center"/>
                </w:tcPr>
                <w:p w14:paraId="76996498">
                  <w:pPr>
                    <w:jc w:val="center"/>
                    <w:rPr>
                      <w:color w:val="auto"/>
                      <w:sz w:val="18"/>
                      <w:szCs w:val="18"/>
                    </w:rPr>
                  </w:pPr>
                </w:p>
              </w:tc>
              <w:tc>
                <w:tcPr>
                  <w:tcW w:w="709" w:type="dxa"/>
                  <w:shd w:val="clear" w:color="auto" w:fill="auto"/>
                  <w:vAlign w:val="center"/>
                </w:tcPr>
                <w:p w14:paraId="3CC6796E">
                  <w:pPr>
                    <w:widowControl/>
                    <w:jc w:val="center"/>
                    <w:rPr>
                      <w:color w:val="auto"/>
                      <w:kern w:val="0"/>
                      <w:sz w:val="18"/>
                      <w:szCs w:val="18"/>
                    </w:rPr>
                  </w:pPr>
                </w:p>
              </w:tc>
              <w:tc>
                <w:tcPr>
                  <w:tcW w:w="992" w:type="dxa"/>
                  <w:shd w:val="clear" w:color="auto" w:fill="auto"/>
                  <w:vAlign w:val="center"/>
                </w:tcPr>
                <w:p w14:paraId="30B4CA87">
                  <w:pPr>
                    <w:widowControl/>
                    <w:jc w:val="center"/>
                    <w:rPr>
                      <w:color w:val="auto"/>
                      <w:kern w:val="0"/>
                      <w:sz w:val="18"/>
                      <w:szCs w:val="18"/>
                    </w:rPr>
                  </w:pPr>
                </w:p>
              </w:tc>
              <w:tc>
                <w:tcPr>
                  <w:tcW w:w="1053" w:type="dxa"/>
                  <w:shd w:val="clear" w:color="auto" w:fill="auto"/>
                  <w:vAlign w:val="center"/>
                </w:tcPr>
                <w:p w14:paraId="39CDEA12">
                  <w:pPr>
                    <w:widowControl/>
                    <w:jc w:val="center"/>
                    <w:rPr>
                      <w:color w:val="auto"/>
                      <w:kern w:val="0"/>
                      <w:sz w:val="18"/>
                      <w:szCs w:val="18"/>
                    </w:rPr>
                  </w:pPr>
                </w:p>
              </w:tc>
              <w:tc>
                <w:tcPr>
                  <w:tcW w:w="850" w:type="dxa"/>
                  <w:shd w:val="clear" w:color="auto" w:fill="auto"/>
                  <w:vAlign w:val="center"/>
                </w:tcPr>
                <w:p w14:paraId="724BD4A6">
                  <w:pPr>
                    <w:widowControl/>
                    <w:jc w:val="center"/>
                    <w:rPr>
                      <w:color w:val="auto"/>
                      <w:kern w:val="0"/>
                      <w:sz w:val="18"/>
                      <w:szCs w:val="18"/>
                    </w:rPr>
                  </w:pPr>
                </w:p>
              </w:tc>
              <w:tc>
                <w:tcPr>
                  <w:tcW w:w="785" w:type="dxa"/>
                  <w:shd w:val="clear" w:color="auto" w:fill="auto"/>
                  <w:vAlign w:val="center"/>
                </w:tcPr>
                <w:p w14:paraId="2221A259">
                  <w:pPr>
                    <w:widowControl/>
                    <w:jc w:val="center"/>
                    <w:rPr>
                      <w:color w:val="auto"/>
                      <w:kern w:val="0"/>
                      <w:sz w:val="18"/>
                      <w:szCs w:val="18"/>
                    </w:rPr>
                  </w:pPr>
                </w:p>
              </w:tc>
            </w:tr>
            <w:tr w14:paraId="523EBA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427" w:type="dxa"/>
                  <w:shd w:val="clear" w:color="auto" w:fill="auto"/>
                  <w:vAlign w:val="center"/>
                </w:tcPr>
                <w:p w14:paraId="76ECAA2C">
                  <w:pPr>
                    <w:widowControl/>
                    <w:jc w:val="center"/>
                    <w:rPr>
                      <w:color w:val="auto"/>
                      <w:kern w:val="0"/>
                      <w:sz w:val="18"/>
                      <w:szCs w:val="18"/>
                    </w:rPr>
                  </w:pPr>
                  <w:r>
                    <w:rPr>
                      <w:rFonts w:hint="eastAsia"/>
                      <w:color w:val="auto"/>
                      <w:kern w:val="0"/>
                      <w:sz w:val="18"/>
                      <w:szCs w:val="18"/>
                    </w:rPr>
                    <w:t>4</w:t>
                  </w:r>
                </w:p>
              </w:tc>
              <w:tc>
                <w:tcPr>
                  <w:tcW w:w="427" w:type="dxa"/>
                  <w:vMerge w:val="continue"/>
                  <w:shd w:val="clear" w:color="auto" w:fill="auto"/>
                  <w:vAlign w:val="center"/>
                </w:tcPr>
                <w:p w14:paraId="7CF0E188">
                  <w:pPr>
                    <w:widowControl/>
                    <w:jc w:val="center"/>
                    <w:rPr>
                      <w:color w:val="auto"/>
                      <w:kern w:val="0"/>
                      <w:sz w:val="18"/>
                      <w:szCs w:val="18"/>
                    </w:rPr>
                  </w:pPr>
                </w:p>
              </w:tc>
              <w:tc>
                <w:tcPr>
                  <w:tcW w:w="1583" w:type="dxa"/>
                  <w:shd w:val="clear" w:color="auto" w:fill="auto"/>
                  <w:vAlign w:val="center"/>
                </w:tcPr>
                <w:p w14:paraId="59C63FA0">
                  <w:pPr>
                    <w:widowControl/>
                    <w:jc w:val="center"/>
                    <w:rPr>
                      <w:color w:val="auto"/>
                      <w:kern w:val="0"/>
                      <w:sz w:val="18"/>
                      <w:szCs w:val="18"/>
                    </w:rPr>
                  </w:pPr>
                </w:p>
              </w:tc>
              <w:tc>
                <w:tcPr>
                  <w:tcW w:w="1357" w:type="dxa"/>
                  <w:shd w:val="clear" w:color="auto" w:fill="auto"/>
                  <w:vAlign w:val="center"/>
                </w:tcPr>
                <w:p w14:paraId="3457B593">
                  <w:pPr>
                    <w:jc w:val="center"/>
                    <w:rPr>
                      <w:color w:val="auto"/>
                      <w:sz w:val="18"/>
                      <w:szCs w:val="18"/>
                    </w:rPr>
                  </w:pPr>
                </w:p>
              </w:tc>
              <w:tc>
                <w:tcPr>
                  <w:tcW w:w="709" w:type="dxa"/>
                  <w:shd w:val="clear" w:color="auto" w:fill="auto"/>
                  <w:vAlign w:val="center"/>
                </w:tcPr>
                <w:p w14:paraId="74322F41">
                  <w:pPr>
                    <w:widowControl/>
                    <w:jc w:val="center"/>
                    <w:rPr>
                      <w:color w:val="auto"/>
                      <w:kern w:val="0"/>
                      <w:sz w:val="18"/>
                      <w:szCs w:val="18"/>
                    </w:rPr>
                  </w:pPr>
                </w:p>
              </w:tc>
              <w:tc>
                <w:tcPr>
                  <w:tcW w:w="992" w:type="dxa"/>
                  <w:shd w:val="clear" w:color="auto" w:fill="auto"/>
                  <w:vAlign w:val="center"/>
                </w:tcPr>
                <w:p w14:paraId="2E44FDEF">
                  <w:pPr>
                    <w:widowControl/>
                    <w:jc w:val="center"/>
                    <w:rPr>
                      <w:color w:val="auto"/>
                      <w:kern w:val="0"/>
                      <w:sz w:val="18"/>
                      <w:szCs w:val="18"/>
                    </w:rPr>
                  </w:pPr>
                </w:p>
              </w:tc>
              <w:tc>
                <w:tcPr>
                  <w:tcW w:w="1053" w:type="dxa"/>
                  <w:shd w:val="clear" w:color="auto" w:fill="auto"/>
                  <w:vAlign w:val="center"/>
                </w:tcPr>
                <w:p w14:paraId="672B3B5F">
                  <w:pPr>
                    <w:widowControl/>
                    <w:jc w:val="center"/>
                    <w:rPr>
                      <w:color w:val="auto"/>
                      <w:kern w:val="0"/>
                      <w:sz w:val="18"/>
                      <w:szCs w:val="18"/>
                    </w:rPr>
                  </w:pPr>
                </w:p>
              </w:tc>
              <w:tc>
                <w:tcPr>
                  <w:tcW w:w="850" w:type="dxa"/>
                  <w:shd w:val="clear" w:color="auto" w:fill="auto"/>
                  <w:vAlign w:val="center"/>
                </w:tcPr>
                <w:p w14:paraId="6C35DE11">
                  <w:pPr>
                    <w:widowControl/>
                    <w:jc w:val="center"/>
                    <w:rPr>
                      <w:color w:val="auto"/>
                      <w:kern w:val="0"/>
                      <w:sz w:val="18"/>
                      <w:szCs w:val="18"/>
                    </w:rPr>
                  </w:pPr>
                </w:p>
              </w:tc>
              <w:tc>
                <w:tcPr>
                  <w:tcW w:w="785" w:type="dxa"/>
                  <w:shd w:val="clear" w:color="auto" w:fill="auto"/>
                  <w:vAlign w:val="center"/>
                </w:tcPr>
                <w:p w14:paraId="58462FB1">
                  <w:pPr>
                    <w:widowControl/>
                    <w:jc w:val="center"/>
                    <w:rPr>
                      <w:color w:val="auto"/>
                      <w:kern w:val="0"/>
                      <w:sz w:val="18"/>
                      <w:szCs w:val="18"/>
                    </w:rPr>
                  </w:pPr>
                </w:p>
              </w:tc>
            </w:tr>
            <w:tr w14:paraId="6D6664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27" w:type="dxa"/>
                  <w:shd w:val="clear" w:color="auto" w:fill="auto"/>
                  <w:vAlign w:val="center"/>
                </w:tcPr>
                <w:p w14:paraId="0F91A584">
                  <w:pPr>
                    <w:widowControl/>
                    <w:jc w:val="center"/>
                    <w:rPr>
                      <w:rFonts w:hint="default" w:eastAsia="宋体"/>
                      <w:color w:val="auto"/>
                      <w:kern w:val="0"/>
                      <w:sz w:val="18"/>
                      <w:szCs w:val="18"/>
                      <w:lang w:val="en-US" w:eastAsia="zh-CN"/>
                    </w:rPr>
                  </w:pPr>
                  <w:bookmarkStart w:id="7" w:name="_Hlk240378138"/>
                  <w:r>
                    <w:rPr>
                      <w:rFonts w:hint="eastAsia"/>
                      <w:color w:val="auto"/>
                      <w:kern w:val="0"/>
                      <w:sz w:val="18"/>
                      <w:szCs w:val="18"/>
                      <w:lang w:val="en-US" w:eastAsia="zh-CN"/>
                    </w:rPr>
                    <w:t>5</w:t>
                  </w:r>
                </w:p>
              </w:tc>
              <w:tc>
                <w:tcPr>
                  <w:tcW w:w="427" w:type="dxa"/>
                  <w:vMerge w:val="restart"/>
                  <w:shd w:val="clear" w:color="auto" w:fill="auto"/>
                  <w:vAlign w:val="center"/>
                </w:tcPr>
                <w:p w14:paraId="3F3E90EA">
                  <w:pPr>
                    <w:widowControl/>
                    <w:jc w:val="center"/>
                    <w:rPr>
                      <w:color w:val="auto"/>
                      <w:kern w:val="0"/>
                      <w:sz w:val="18"/>
                      <w:szCs w:val="18"/>
                    </w:rPr>
                  </w:pPr>
                </w:p>
              </w:tc>
              <w:tc>
                <w:tcPr>
                  <w:tcW w:w="1583" w:type="dxa"/>
                  <w:shd w:val="clear" w:color="auto" w:fill="auto"/>
                  <w:vAlign w:val="center"/>
                </w:tcPr>
                <w:p w14:paraId="2B1FCC2B">
                  <w:pPr>
                    <w:widowControl/>
                    <w:jc w:val="center"/>
                    <w:rPr>
                      <w:color w:val="auto"/>
                      <w:kern w:val="0"/>
                      <w:sz w:val="18"/>
                      <w:szCs w:val="18"/>
                    </w:rPr>
                  </w:pPr>
                </w:p>
              </w:tc>
              <w:tc>
                <w:tcPr>
                  <w:tcW w:w="1357" w:type="dxa"/>
                  <w:shd w:val="clear" w:color="auto" w:fill="auto"/>
                  <w:vAlign w:val="center"/>
                </w:tcPr>
                <w:p w14:paraId="309AD1B8">
                  <w:pPr>
                    <w:widowControl/>
                    <w:jc w:val="center"/>
                    <w:rPr>
                      <w:color w:val="auto"/>
                      <w:kern w:val="0"/>
                      <w:sz w:val="18"/>
                      <w:szCs w:val="18"/>
                    </w:rPr>
                  </w:pPr>
                </w:p>
              </w:tc>
              <w:tc>
                <w:tcPr>
                  <w:tcW w:w="709" w:type="dxa"/>
                  <w:shd w:val="clear" w:color="auto" w:fill="auto"/>
                  <w:vAlign w:val="center"/>
                </w:tcPr>
                <w:p w14:paraId="618516F9">
                  <w:pPr>
                    <w:widowControl/>
                    <w:jc w:val="center"/>
                    <w:rPr>
                      <w:color w:val="auto"/>
                      <w:kern w:val="0"/>
                      <w:sz w:val="18"/>
                      <w:szCs w:val="18"/>
                    </w:rPr>
                  </w:pPr>
                </w:p>
              </w:tc>
              <w:tc>
                <w:tcPr>
                  <w:tcW w:w="992" w:type="dxa"/>
                  <w:shd w:val="clear" w:color="auto" w:fill="auto"/>
                  <w:vAlign w:val="center"/>
                </w:tcPr>
                <w:p w14:paraId="791D3AAD">
                  <w:pPr>
                    <w:widowControl/>
                    <w:jc w:val="center"/>
                    <w:rPr>
                      <w:color w:val="auto"/>
                      <w:kern w:val="0"/>
                      <w:sz w:val="18"/>
                      <w:szCs w:val="18"/>
                    </w:rPr>
                  </w:pPr>
                </w:p>
              </w:tc>
              <w:tc>
                <w:tcPr>
                  <w:tcW w:w="1053" w:type="dxa"/>
                  <w:shd w:val="clear" w:color="auto" w:fill="auto"/>
                  <w:vAlign w:val="center"/>
                </w:tcPr>
                <w:p w14:paraId="59805B0F">
                  <w:pPr>
                    <w:widowControl/>
                    <w:jc w:val="center"/>
                    <w:rPr>
                      <w:color w:val="auto"/>
                      <w:kern w:val="0"/>
                      <w:sz w:val="18"/>
                      <w:szCs w:val="18"/>
                    </w:rPr>
                  </w:pPr>
                </w:p>
              </w:tc>
              <w:tc>
                <w:tcPr>
                  <w:tcW w:w="850" w:type="dxa"/>
                  <w:shd w:val="clear" w:color="auto" w:fill="auto"/>
                  <w:vAlign w:val="center"/>
                </w:tcPr>
                <w:p w14:paraId="3718F6C0">
                  <w:pPr>
                    <w:widowControl/>
                    <w:jc w:val="center"/>
                    <w:rPr>
                      <w:color w:val="auto"/>
                      <w:kern w:val="0"/>
                      <w:sz w:val="18"/>
                      <w:szCs w:val="18"/>
                    </w:rPr>
                  </w:pPr>
                </w:p>
              </w:tc>
              <w:tc>
                <w:tcPr>
                  <w:tcW w:w="785" w:type="dxa"/>
                  <w:shd w:val="clear" w:color="auto" w:fill="auto"/>
                  <w:vAlign w:val="center"/>
                </w:tcPr>
                <w:p w14:paraId="7CBDBD3F">
                  <w:pPr>
                    <w:widowControl/>
                    <w:jc w:val="center"/>
                    <w:rPr>
                      <w:color w:val="auto"/>
                      <w:kern w:val="0"/>
                      <w:sz w:val="18"/>
                      <w:szCs w:val="18"/>
                    </w:rPr>
                  </w:pPr>
                </w:p>
              </w:tc>
            </w:tr>
            <w:bookmarkEnd w:id="7"/>
            <w:tr w14:paraId="4A0086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27" w:type="dxa"/>
                  <w:shd w:val="clear" w:color="auto" w:fill="auto"/>
                  <w:vAlign w:val="center"/>
                </w:tcPr>
                <w:p w14:paraId="1CB3D7D7">
                  <w:pPr>
                    <w:widowControl/>
                    <w:jc w:val="center"/>
                    <w:rPr>
                      <w:rFonts w:hint="eastAsia" w:eastAsia="宋体"/>
                      <w:color w:val="auto"/>
                      <w:kern w:val="0"/>
                      <w:sz w:val="18"/>
                      <w:szCs w:val="18"/>
                      <w:lang w:eastAsia="zh-CN"/>
                    </w:rPr>
                  </w:pPr>
                  <w:r>
                    <w:rPr>
                      <w:rFonts w:hint="eastAsia"/>
                      <w:color w:val="auto"/>
                      <w:kern w:val="0"/>
                      <w:sz w:val="18"/>
                      <w:szCs w:val="18"/>
                      <w:lang w:val="en-US" w:eastAsia="zh-CN"/>
                    </w:rPr>
                    <w:t>6</w:t>
                  </w:r>
                </w:p>
              </w:tc>
              <w:tc>
                <w:tcPr>
                  <w:tcW w:w="427" w:type="dxa"/>
                  <w:vMerge w:val="continue"/>
                  <w:shd w:val="clear" w:color="auto" w:fill="auto"/>
                  <w:vAlign w:val="center"/>
                </w:tcPr>
                <w:p w14:paraId="4C6268EE">
                  <w:pPr>
                    <w:widowControl/>
                    <w:jc w:val="center"/>
                    <w:rPr>
                      <w:color w:val="auto"/>
                      <w:kern w:val="0"/>
                      <w:sz w:val="18"/>
                      <w:szCs w:val="18"/>
                    </w:rPr>
                  </w:pPr>
                </w:p>
              </w:tc>
              <w:tc>
                <w:tcPr>
                  <w:tcW w:w="1583" w:type="dxa"/>
                  <w:shd w:val="clear" w:color="auto" w:fill="auto"/>
                  <w:vAlign w:val="center"/>
                </w:tcPr>
                <w:p w14:paraId="6FAB6611">
                  <w:pPr>
                    <w:widowControl/>
                    <w:jc w:val="center"/>
                    <w:rPr>
                      <w:color w:val="auto"/>
                      <w:kern w:val="0"/>
                      <w:sz w:val="18"/>
                      <w:szCs w:val="18"/>
                    </w:rPr>
                  </w:pPr>
                </w:p>
              </w:tc>
              <w:tc>
                <w:tcPr>
                  <w:tcW w:w="1357" w:type="dxa"/>
                  <w:shd w:val="clear" w:color="auto" w:fill="auto"/>
                  <w:vAlign w:val="center"/>
                </w:tcPr>
                <w:p w14:paraId="53DBE053">
                  <w:pPr>
                    <w:widowControl/>
                    <w:jc w:val="center"/>
                    <w:rPr>
                      <w:color w:val="auto"/>
                      <w:kern w:val="0"/>
                      <w:sz w:val="18"/>
                      <w:szCs w:val="18"/>
                    </w:rPr>
                  </w:pPr>
                </w:p>
              </w:tc>
              <w:tc>
                <w:tcPr>
                  <w:tcW w:w="709" w:type="dxa"/>
                  <w:shd w:val="clear" w:color="auto" w:fill="auto"/>
                  <w:vAlign w:val="center"/>
                </w:tcPr>
                <w:p w14:paraId="11D1AC53">
                  <w:pPr>
                    <w:widowControl/>
                    <w:jc w:val="center"/>
                    <w:rPr>
                      <w:color w:val="auto"/>
                      <w:kern w:val="0"/>
                      <w:sz w:val="18"/>
                      <w:szCs w:val="18"/>
                    </w:rPr>
                  </w:pPr>
                </w:p>
              </w:tc>
              <w:tc>
                <w:tcPr>
                  <w:tcW w:w="992" w:type="dxa"/>
                  <w:shd w:val="clear" w:color="auto" w:fill="auto"/>
                  <w:vAlign w:val="center"/>
                </w:tcPr>
                <w:p w14:paraId="47BB5E0E">
                  <w:pPr>
                    <w:widowControl/>
                    <w:jc w:val="center"/>
                    <w:rPr>
                      <w:color w:val="auto"/>
                      <w:kern w:val="0"/>
                      <w:sz w:val="18"/>
                      <w:szCs w:val="18"/>
                    </w:rPr>
                  </w:pPr>
                </w:p>
              </w:tc>
              <w:tc>
                <w:tcPr>
                  <w:tcW w:w="1053" w:type="dxa"/>
                  <w:shd w:val="clear" w:color="auto" w:fill="auto"/>
                  <w:vAlign w:val="center"/>
                </w:tcPr>
                <w:p w14:paraId="37DFE126">
                  <w:pPr>
                    <w:widowControl/>
                    <w:jc w:val="center"/>
                    <w:rPr>
                      <w:color w:val="auto"/>
                      <w:kern w:val="0"/>
                      <w:sz w:val="18"/>
                      <w:szCs w:val="18"/>
                    </w:rPr>
                  </w:pPr>
                </w:p>
              </w:tc>
              <w:tc>
                <w:tcPr>
                  <w:tcW w:w="850" w:type="dxa"/>
                  <w:shd w:val="clear" w:color="auto" w:fill="auto"/>
                  <w:vAlign w:val="center"/>
                </w:tcPr>
                <w:p w14:paraId="53FA0640">
                  <w:pPr>
                    <w:widowControl/>
                    <w:jc w:val="center"/>
                    <w:rPr>
                      <w:color w:val="auto"/>
                      <w:kern w:val="0"/>
                      <w:sz w:val="18"/>
                      <w:szCs w:val="18"/>
                    </w:rPr>
                  </w:pPr>
                </w:p>
              </w:tc>
              <w:tc>
                <w:tcPr>
                  <w:tcW w:w="785" w:type="dxa"/>
                  <w:shd w:val="clear" w:color="auto" w:fill="auto"/>
                  <w:vAlign w:val="center"/>
                </w:tcPr>
                <w:p w14:paraId="525A0DD2">
                  <w:pPr>
                    <w:widowControl/>
                    <w:jc w:val="center"/>
                    <w:rPr>
                      <w:color w:val="auto"/>
                      <w:kern w:val="0"/>
                      <w:sz w:val="18"/>
                      <w:szCs w:val="18"/>
                    </w:rPr>
                  </w:pPr>
                </w:p>
              </w:tc>
            </w:tr>
            <w:tr w14:paraId="414E07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27" w:type="dxa"/>
                  <w:shd w:val="clear" w:color="auto" w:fill="auto"/>
                  <w:vAlign w:val="center"/>
                </w:tcPr>
                <w:p w14:paraId="15FE8F16">
                  <w:pPr>
                    <w:widowControl/>
                    <w:jc w:val="center"/>
                    <w:rPr>
                      <w:rFonts w:hint="eastAsia" w:eastAsia="宋体"/>
                      <w:color w:val="auto"/>
                      <w:kern w:val="0"/>
                      <w:sz w:val="18"/>
                      <w:szCs w:val="18"/>
                      <w:lang w:val="en-US" w:eastAsia="zh-CN"/>
                    </w:rPr>
                  </w:pPr>
                  <w:r>
                    <w:rPr>
                      <w:rFonts w:hint="eastAsia"/>
                      <w:color w:val="auto"/>
                      <w:kern w:val="0"/>
                      <w:sz w:val="18"/>
                      <w:szCs w:val="18"/>
                      <w:lang w:val="en-US" w:eastAsia="zh-CN"/>
                    </w:rPr>
                    <w:t>7</w:t>
                  </w:r>
                </w:p>
              </w:tc>
              <w:tc>
                <w:tcPr>
                  <w:tcW w:w="427" w:type="dxa"/>
                  <w:vMerge w:val="restart"/>
                  <w:shd w:val="clear" w:color="auto" w:fill="auto"/>
                  <w:vAlign w:val="center"/>
                </w:tcPr>
                <w:p w14:paraId="0AEE18D3">
                  <w:pPr>
                    <w:widowControl/>
                    <w:jc w:val="center"/>
                    <w:rPr>
                      <w:color w:val="auto"/>
                      <w:kern w:val="0"/>
                      <w:sz w:val="18"/>
                      <w:szCs w:val="18"/>
                    </w:rPr>
                  </w:pPr>
                </w:p>
              </w:tc>
              <w:tc>
                <w:tcPr>
                  <w:tcW w:w="1583" w:type="dxa"/>
                  <w:shd w:val="clear" w:color="auto" w:fill="auto"/>
                  <w:vAlign w:val="center"/>
                </w:tcPr>
                <w:p w14:paraId="23CBAFAE">
                  <w:pPr>
                    <w:widowControl/>
                    <w:jc w:val="center"/>
                    <w:rPr>
                      <w:color w:val="auto"/>
                      <w:kern w:val="0"/>
                      <w:sz w:val="18"/>
                      <w:szCs w:val="18"/>
                    </w:rPr>
                  </w:pPr>
                </w:p>
              </w:tc>
              <w:tc>
                <w:tcPr>
                  <w:tcW w:w="1357" w:type="dxa"/>
                  <w:shd w:val="clear" w:color="auto" w:fill="auto"/>
                  <w:vAlign w:val="center"/>
                </w:tcPr>
                <w:p w14:paraId="445774B9">
                  <w:pPr>
                    <w:widowControl/>
                    <w:jc w:val="center"/>
                    <w:rPr>
                      <w:color w:val="auto"/>
                      <w:kern w:val="0"/>
                      <w:sz w:val="18"/>
                      <w:szCs w:val="18"/>
                    </w:rPr>
                  </w:pPr>
                </w:p>
              </w:tc>
              <w:tc>
                <w:tcPr>
                  <w:tcW w:w="709" w:type="dxa"/>
                  <w:shd w:val="clear" w:color="auto" w:fill="auto"/>
                  <w:vAlign w:val="center"/>
                </w:tcPr>
                <w:p w14:paraId="3F16433E">
                  <w:pPr>
                    <w:widowControl/>
                    <w:jc w:val="center"/>
                    <w:rPr>
                      <w:color w:val="auto"/>
                      <w:kern w:val="0"/>
                      <w:sz w:val="18"/>
                      <w:szCs w:val="18"/>
                    </w:rPr>
                  </w:pPr>
                </w:p>
              </w:tc>
              <w:tc>
                <w:tcPr>
                  <w:tcW w:w="992" w:type="dxa"/>
                  <w:shd w:val="clear" w:color="auto" w:fill="auto"/>
                  <w:vAlign w:val="center"/>
                </w:tcPr>
                <w:p w14:paraId="2304E367">
                  <w:pPr>
                    <w:widowControl/>
                    <w:jc w:val="center"/>
                    <w:rPr>
                      <w:color w:val="auto"/>
                      <w:kern w:val="0"/>
                      <w:sz w:val="18"/>
                      <w:szCs w:val="18"/>
                    </w:rPr>
                  </w:pPr>
                </w:p>
              </w:tc>
              <w:tc>
                <w:tcPr>
                  <w:tcW w:w="1053" w:type="dxa"/>
                  <w:shd w:val="clear" w:color="auto" w:fill="auto"/>
                  <w:vAlign w:val="center"/>
                </w:tcPr>
                <w:p w14:paraId="21098922">
                  <w:pPr>
                    <w:widowControl/>
                    <w:jc w:val="center"/>
                    <w:rPr>
                      <w:color w:val="auto"/>
                      <w:kern w:val="0"/>
                      <w:sz w:val="18"/>
                      <w:szCs w:val="18"/>
                    </w:rPr>
                  </w:pPr>
                </w:p>
              </w:tc>
              <w:tc>
                <w:tcPr>
                  <w:tcW w:w="850" w:type="dxa"/>
                  <w:shd w:val="clear" w:color="auto" w:fill="auto"/>
                  <w:vAlign w:val="center"/>
                </w:tcPr>
                <w:p w14:paraId="6545CEB3">
                  <w:pPr>
                    <w:widowControl/>
                    <w:jc w:val="center"/>
                    <w:rPr>
                      <w:color w:val="auto"/>
                      <w:kern w:val="0"/>
                      <w:sz w:val="18"/>
                      <w:szCs w:val="18"/>
                    </w:rPr>
                  </w:pPr>
                </w:p>
              </w:tc>
              <w:tc>
                <w:tcPr>
                  <w:tcW w:w="785" w:type="dxa"/>
                  <w:shd w:val="clear" w:color="auto" w:fill="auto"/>
                  <w:vAlign w:val="center"/>
                </w:tcPr>
                <w:p w14:paraId="04F7D42F">
                  <w:pPr>
                    <w:widowControl/>
                    <w:jc w:val="center"/>
                    <w:rPr>
                      <w:color w:val="auto"/>
                      <w:kern w:val="0"/>
                      <w:sz w:val="18"/>
                      <w:szCs w:val="18"/>
                    </w:rPr>
                  </w:pPr>
                </w:p>
              </w:tc>
            </w:tr>
            <w:tr w14:paraId="3F78D3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27" w:type="dxa"/>
                  <w:shd w:val="clear" w:color="auto" w:fill="auto"/>
                  <w:vAlign w:val="center"/>
                </w:tcPr>
                <w:p w14:paraId="063EC27A">
                  <w:pPr>
                    <w:widowControl/>
                    <w:jc w:val="center"/>
                    <w:rPr>
                      <w:rFonts w:hint="eastAsia" w:eastAsia="宋体"/>
                      <w:color w:val="auto"/>
                      <w:kern w:val="0"/>
                      <w:sz w:val="18"/>
                      <w:szCs w:val="18"/>
                      <w:lang w:eastAsia="zh-CN"/>
                    </w:rPr>
                  </w:pPr>
                  <w:r>
                    <w:rPr>
                      <w:rFonts w:hint="eastAsia"/>
                      <w:color w:val="auto"/>
                      <w:kern w:val="0"/>
                      <w:sz w:val="18"/>
                      <w:szCs w:val="18"/>
                      <w:lang w:val="en-US" w:eastAsia="zh-CN"/>
                    </w:rPr>
                    <w:t>8</w:t>
                  </w:r>
                </w:p>
              </w:tc>
              <w:tc>
                <w:tcPr>
                  <w:tcW w:w="427" w:type="dxa"/>
                  <w:vMerge w:val="continue"/>
                  <w:shd w:val="clear" w:color="auto" w:fill="auto"/>
                  <w:vAlign w:val="center"/>
                </w:tcPr>
                <w:p w14:paraId="3A885DEC">
                  <w:pPr>
                    <w:widowControl/>
                    <w:jc w:val="center"/>
                    <w:rPr>
                      <w:color w:val="auto"/>
                      <w:kern w:val="0"/>
                      <w:sz w:val="18"/>
                      <w:szCs w:val="18"/>
                    </w:rPr>
                  </w:pPr>
                </w:p>
              </w:tc>
              <w:tc>
                <w:tcPr>
                  <w:tcW w:w="1583" w:type="dxa"/>
                  <w:shd w:val="clear" w:color="auto" w:fill="auto"/>
                  <w:vAlign w:val="center"/>
                </w:tcPr>
                <w:p w14:paraId="4D68E645">
                  <w:pPr>
                    <w:widowControl/>
                    <w:jc w:val="center"/>
                    <w:rPr>
                      <w:color w:val="auto"/>
                      <w:kern w:val="0"/>
                      <w:sz w:val="18"/>
                      <w:szCs w:val="18"/>
                    </w:rPr>
                  </w:pPr>
                </w:p>
              </w:tc>
              <w:tc>
                <w:tcPr>
                  <w:tcW w:w="1357" w:type="dxa"/>
                  <w:shd w:val="clear" w:color="auto" w:fill="auto"/>
                  <w:vAlign w:val="center"/>
                </w:tcPr>
                <w:p w14:paraId="0DA610F5">
                  <w:pPr>
                    <w:widowControl/>
                    <w:jc w:val="center"/>
                    <w:rPr>
                      <w:color w:val="auto"/>
                      <w:kern w:val="0"/>
                      <w:sz w:val="18"/>
                      <w:szCs w:val="18"/>
                    </w:rPr>
                  </w:pPr>
                </w:p>
              </w:tc>
              <w:tc>
                <w:tcPr>
                  <w:tcW w:w="709" w:type="dxa"/>
                  <w:shd w:val="clear" w:color="auto" w:fill="auto"/>
                  <w:vAlign w:val="center"/>
                </w:tcPr>
                <w:p w14:paraId="69226896">
                  <w:pPr>
                    <w:widowControl/>
                    <w:jc w:val="center"/>
                    <w:rPr>
                      <w:color w:val="auto"/>
                      <w:kern w:val="0"/>
                      <w:sz w:val="18"/>
                      <w:szCs w:val="18"/>
                    </w:rPr>
                  </w:pPr>
                </w:p>
              </w:tc>
              <w:tc>
                <w:tcPr>
                  <w:tcW w:w="992" w:type="dxa"/>
                  <w:shd w:val="clear" w:color="auto" w:fill="auto"/>
                  <w:vAlign w:val="center"/>
                </w:tcPr>
                <w:p w14:paraId="36121CA5">
                  <w:pPr>
                    <w:widowControl/>
                    <w:jc w:val="center"/>
                    <w:rPr>
                      <w:color w:val="auto"/>
                      <w:kern w:val="0"/>
                      <w:sz w:val="18"/>
                      <w:szCs w:val="18"/>
                    </w:rPr>
                  </w:pPr>
                </w:p>
              </w:tc>
              <w:tc>
                <w:tcPr>
                  <w:tcW w:w="1053" w:type="dxa"/>
                  <w:shd w:val="clear" w:color="auto" w:fill="auto"/>
                  <w:vAlign w:val="center"/>
                </w:tcPr>
                <w:p w14:paraId="40170491">
                  <w:pPr>
                    <w:widowControl/>
                    <w:jc w:val="center"/>
                    <w:rPr>
                      <w:color w:val="auto"/>
                      <w:kern w:val="0"/>
                      <w:sz w:val="18"/>
                      <w:szCs w:val="18"/>
                    </w:rPr>
                  </w:pPr>
                </w:p>
              </w:tc>
              <w:tc>
                <w:tcPr>
                  <w:tcW w:w="850" w:type="dxa"/>
                  <w:shd w:val="clear" w:color="auto" w:fill="auto"/>
                  <w:vAlign w:val="center"/>
                </w:tcPr>
                <w:p w14:paraId="218A8D72">
                  <w:pPr>
                    <w:widowControl/>
                    <w:jc w:val="center"/>
                    <w:rPr>
                      <w:color w:val="auto"/>
                      <w:kern w:val="0"/>
                      <w:sz w:val="18"/>
                      <w:szCs w:val="18"/>
                    </w:rPr>
                  </w:pPr>
                </w:p>
              </w:tc>
              <w:tc>
                <w:tcPr>
                  <w:tcW w:w="785" w:type="dxa"/>
                  <w:shd w:val="clear" w:color="auto" w:fill="auto"/>
                  <w:vAlign w:val="center"/>
                </w:tcPr>
                <w:p w14:paraId="077191BD">
                  <w:pPr>
                    <w:widowControl/>
                    <w:jc w:val="center"/>
                    <w:rPr>
                      <w:color w:val="auto"/>
                      <w:kern w:val="0"/>
                      <w:sz w:val="18"/>
                      <w:szCs w:val="18"/>
                    </w:rPr>
                  </w:pPr>
                </w:p>
              </w:tc>
            </w:tr>
            <w:tr w14:paraId="642DC7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27" w:type="dxa"/>
                  <w:shd w:val="clear" w:color="auto" w:fill="auto"/>
                  <w:vAlign w:val="center"/>
                </w:tcPr>
                <w:p w14:paraId="74ACCD88">
                  <w:pPr>
                    <w:widowControl/>
                    <w:jc w:val="center"/>
                    <w:rPr>
                      <w:rFonts w:hint="default" w:eastAsia="宋体"/>
                      <w:color w:val="auto"/>
                      <w:kern w:val="0"/>
                      <w:sz w:val="18"/>
                      <w:szCs w:val="18"/>
                      <w:lang w:val="en-US" w:eastAsia="zh-CN"/>
                    </w:rPr>
                  </w:pPr>
                  <w:r>
                    <w:rPr>
                      <w:rFonts w:hint="eastAsia"/>
                      <w:color w:val="auto"/>
                      <w:kern w:val="0"/>
                      <w:sz w:val="18"/>
                      <w:szCs w:val="18"/>
                      <w:lang w:val="en-US" w:eastAsia="zh-CN"/>
                    </w:rPr>
                    <w:t>9</w:t>
                  </w:r>
                </w:p>
              </w:tc>
              <w:tc>
                <w:tcPr>
                  <w:tcW w:w="427" w:type="dxa"/>
                  <w:shd w:val="clear" w:color="auto" w:fill="auto"/>
                  <w:vAlign w:val="center"/>
                </w:tcPr>
                <w:p w14:paraId="15ED0B7A">
                  <w:pPr>
                    <w:widowControl/>
                    <w:jc w:val="center"/>
                    <w:rPr>
                      <w:color w:val="auto"/>
                      <w:kern w:val="0"/>
                      <w:sz w:val="18"/>
                      <w:szCs w:val="18"/>
                    </w:rPr>
                  </w:pPr>
                </w:p>
              </w:tc>
              <w:tc>
                <w:tcPr>
                  <w:tcW w:w="1583" w:type="dxa"/>
                  <w:shd w:val="clear" w:color="auto" w:fill="auto"/>
                  <w:vAlign w:val="center"/>
                </w:tcPr>
                <w:p w14:paraId="7BCBFADF">
                  <w:pPr>
                    <w:widowControl/>
                    <w:jc w:val="center"/>
                    <w:rPr>
                      <w:color w:val="auto"/>
                      <w:kern w:val="0"/>
                      <w:sz w:val="18"/>
                      <w:szCs w:val="18"/>
                    </w:rPr>
                  </w:pPr>
                </w:p>
              </w:tc>
              <w:tc>
                <w:tcPr>
                  <w:tcW w:w="1357" w:type="dxa"/>
                  <w:shd w:val="clear" w:color="auto" w:fill="auto"/>
                  <w:vAlign w:val="center"/>
                </w:tcPr>
                <w:p w14:paraId="6D71A3E6">
                  <w:pPr>
                    <w:widowControl/>
                    <w:jc w:val="center"/>
                    <w:rPr>
                      <w:color w:val="auto"/>
                      <w:kern w:val="0"/>
                      <w:sz w:val="18"/>
                      <w:szCs w:val="18"/>
                    </w:rPr>
                  </w:pPr>
                </w:p>
              </w:tc>
              <w:tc>
                <w:tcPr>
                  <w:tcW w:w="709" w:type="dxa"/>
                  <w:shd w:val="clear" w:color="auto" w:fill="auto"/>
                  <w:vAlign w:val="center"/>
                </w:tcPr>
                <w:p w14:paraId="1C54573F">
                  <w:pPr>
                    <w:widowControl/>
                    <w:jc w:val="center"/>
                    <w:rPr>
                      <w:color w:val="auto"/>
                      <w:kern w:val="0"/>
                      <w:sz w:val="18"/>
                      <w:szCs w:val="18"/>
                    </w:rPr>
                  </w:pPr>
                </w:p>
              </w:tc>
              <w:tc>
                <w:tcPr>
                  <w:tcW w:w="992" w:type="dxa"/>
                  <w:shd w:val="clear" w:color="auto" w:fill="auto"/>
                  <w:vAlign w:val="center"/>
                </w:tcPr>
                <w:p w14:paraId="5AF5539E">
                  <w:pPr>
                    <w:widowControl/>
                    <w:jc w:val="center"/>
                    <w:rPr>
                      <w:color w:val="auto"/>
                      <w:kern w:val="0"/>
                      <w:sz w:val="18"/>
                      <w:szCs w:val="18"/>
                    </w:rPr>
                  </w:pPr>
                </w:p>
              </w:tc>
              <w:tc>
                <w:tcPr>
                  <w:tcW w:w="1053" w:type="dxa"/>
                  <w:shd w:val="clear" w:color="auto" w:fill="auto"/>
                  <w:vAlign w:val="center"/>
                </w:tcPr>
                <w:p w14:paraId="7EE7CD9F">
                  <w:pPr>
                    <w:widowControl/>
                    <w:jc w:val="center"/>
                    <w:rPr>
                      <w:color w:val="auto"/>
                      <w:kern w:val="0"/>
                      <w:sz w:val="18"/>
                      <w:szCs w:val="18"/>
                    </w:rPr>
                  </w:pPr>
                </w:p>
              </w:tc>
              <w:tc>
                <w:tcPr>
                  <w:tcW w:w="850" w:type="dxa"/>
                  <w:shd w:val="clear" w:color="auto" w:fill="auto"/>
                  <w:vAlign w:val="center"/>
                </w:tcPr>
                <w:p w14:paraId="277FF5FC">
                  <w:pPr>
                    <w:widowControl/>
                    <w:jc w:val="center"/>
                    <w:rPr>
                      <w:color w:val="auto"/>
                      <w:kern w:val="0"/>
                      <w:sz w:val="18"/>
                      <w:szCs w:val="18"/>
                    </w:rPr>
                  </w:pPr>
                </w:p>
              </w:tc>
              <w:tc>
                <w:tcPr>
                  <w:tcW w:w="785" w:type="dxa"/>
                  <w:shd w:val="clear" w:color="auto" w:fill="auto"/>
                  <w:vAlign w:val="center"/>
                </w:tcPr>
                <w:p w14:paraId="152F3E27">
                  <w:pPr>
                    <w:widowControl/>
                    <w:jc w:val="center"/>
                    <w:rPr>
                      <w:color w:val="auto"/>
                      <w:kern w:val="0"/>
                      <w:sz w:val="18"/>
                      <w:szCs w:val="18"/>
                    </w:rPr>
                  </w:pPr>
                </w:p>
              </w:tc>
            </w:tr>
            <w:tr w14:paraId="11A4D4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27" w:type="dxa"/>
                  <w:shd w:val="clear" w:color="auto" w:fill="auto"/>
                  <w:vAlign w:val="center"/>
                </w:tcPr>
                <w:p w14:paraId="3290749F">
                  <w:pPr>
                    <w:widowControl/>
                    <w:jc w:val="center"/>
                    <w:rPr>
                      <w:color w:val="auto"/>
                      <w:kern w:val="0"/>
                      <w:sz w:val="18"/>
                      <w:szCs w:val="18"/>
                    </w:rPr>
                  </w:pPr>
                  <w:r>
                    <w:rPr>
                      <w:rFonts w:hint="eastAsia"/>
                      <w:color w:val="auto"/>
                      <w:kern w:val="0"/>
                      <w:sz w:val="18"/>
                      <w:szCs w:val="18"/>
                      <w:lang w:val="en-US" w:eastAsia="zh-CN"/>
                    </w:rPr>
                    <w:t>10</w:t>
                  </w:r>
                </w:p>
              </w:tc>
              <w:tc>
                <w:tcPr>
                  <w:tcW w:w="427" w:type="dxa"/>
                  <w:vMerge w:val="restart"/>
                  <w:shd w:val="clear" w:color="auto" w:fill="auto"/>
                  <w:vAlign w:val="center"/>
                </w:tcPr>
                <w:p w14:paraId="03147DE4">
                  <w:pPr>
                    <w:widowControl/>
                    <w:jc w:val="center"/>
                    <w:rPr>
                      <w:color w:val="auto"/>
                      <w:kern w:val="0"/>
                      <w:sz w:val="18"/>
                      <w:szCs w:val="18"/>
                    </w:rPr>
                  </w:pPr>
                </w:p>
              </w:tc>
              <w:tc>
                <w:tcPr>
                  <w:tcW w:w="1583" w:type="dxa"/>
                  <w:shd w:val="clear" w:color="auto" w:fill="auto"/>
                  <w:vAlign w:val="center"/>
                </w:tcPr>
                <w:p w14:paraId="2987ABCA">
                  <w:pPr>
                    <w:widowControl/>
                    <w:jc w:val="center"/>
                    <w:rPr>
                      <w:color w:val="auto"/>
                      <w:kern w:val="0"/>
                      <w:sz w:val="18"/>
                      <w:szCs w:val="18"/>
                    </w:rPr>
                  </w:pPr>
                </w:p>
              </w:tc>
              <w:tc>
                <w:tcPr>
                  <w:tcW w:w="1357" w:type="dxa"/>
                  <w:shd w:val="clear" w:color="auto" w:fill="auto"/>
                  <w:vAlign w:val="center"/>
                </w:tcPr>
                <w:p w14:paraId="1CC52CA1">
                  <w:pPr>
                    <w:widowControl/>
                    <w:jc w:val="center"/>
                    <w:rPr>
                      <w:color w:val="auto"/>
                      <w:kern w:val="0"/>
                      <w:sz w:val="18"/>
                      <w:szCs w:val="18"/>
                    </w:rPr>
                  </w:pPr>
                </w:p>
              </w:tc>
              <w:tc>
                <w:tcPr>
                  <w:tcW w:w="709" w:type="dxa"/>
                  <w:shd w:val="clear" w:color="auto" w:fill="auto"/>
                  <w:vAlign w:val="center"/>
                </w:tcPr>
                <w:p w14:paraId="773EA4D8">
                  <w:pPr>
                    <w:widowControl/>
                    <w:jc w:val="center"/>
                    <w:rPr>
                      <w:color w:val="auto"/>
                      <w:kern w:val="0"/>
                      <w:sz w:val="18"/>
                      <w:szCs w:val="18"/>
                    </w:rPr>
                  </w:pPr>
                </w:p>
              </w:tc>
              <w:tc>
                <w:tcPr>
                  <w:tcW w:w="992" w:type="dxa"/>
                  <w:shd w:val="clear" w:color="auto" w:fill="auto"/>
                  <w:vAlign w:val="center"/>
                </w:tcPr>
                <w:p w14:paraId="71F25768">
                  <w:pPr>
                    <w:widowControl/>
                    <w:jc w:val="center"/>
                    <w:rPr>
                      <w:color w:val="auto"/>
                      <w:kern w:val="0"/>
                      <w:sz w:val="18"/>
                      <w:szCs w:val="18"/>
                    </w:rPr>
                  </w:pPr>
                </w:p>
              </w:tc>
              <w:tc>
                <w:tcPr>
                  <w:tcW w:w="1053" w:type="dxa"/>
                  <w:shd w:val="clear" w:color="auto" w:fill="auto"/>
                  <w:vAlign w:val="center"/>
                </w:tcPr>
                <w:p w14:paraId="030A97F8">
                  <w:pPr>
                    <w:widowControl/>
                    <w:jc w:val="center"/>
                    <w:rPr>
                      <w:color w:val="auto"/>
                      <w:kern w:val="0"/>
                      <w:sz w:val="18"/>
                      <w:szCs w:val="18"/>
                    </w:rPr>
                  </w:pPr>
                </w:p>
              </w:tc>
              <w:tc>
                <w:tcPr>
                  <w:tcW w:w="850" w:type="dxa"/>
                  <w:shd w:val="clear" w:color="auto" w:fill="auto"/>
                  <w:vAlign w:val="center"/>
                </w:tcPr>
                <w:p w14:paraId="4F58CB65">
                  <w:pPr>
                    <w:widowControl/>
                    <w:jc w:val="center"/>
                    <w:rPr>
                      <w:color w:val="auto"/>
                      <w:kern w:val="0"/>
                      <w:sz w:val="18"/>
                      <w:szCs w:val="18"/>
                    </w:rPr>
                  </w:pPr>
                </w:p>
              </w:tc>
              <w:tc>
                <w:tcPr>
                  <w:tcW w:w="785" w:type="dxa"/>
                  <w:shd w:val="clear" w:color="auto" w:fill="auto"/>
                  <w:vAlign w:val="center"/>
                </w:tcPr>
                <w:p w14:paraId="4B053A6F">
                  <w:pPr>
                    <w:widowControl/>
                    <w:jc w:val="center"/>
                    <w:rPr>
                      <w:color w:val="auto"/>
                      <w:kern w:val="0"/>
                      <w:sz w:val="18"/>
                      <w:szCs w:val="18"/>
                    </w:rPr>
                  </w:pPr>
                </w:p>
              </w:tc>
            </w:tr>
            <w:tr w14:paraId="00F737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27" w:type="dxa"/>
                  <w:shd w:val="clear" w:color="auto" w:fill="auto"/>
                  <w:vAlign w:val="center"/>
                </w:tcPr>
                <w:p w14:paraId="44144809">
                  <w:pPr>
                    <w:widowControl/>
                    <w:jc w:val="center"/>
                    <w:rPr>
                      <w:color w:val="auto"/>
                      <w:kern w:val="0"/>
                      <w:sz w:val="18"/>
                      <w:szCs w:val="18"/>
                    </w:rPr>
                  </w:pPr>
                  <w:r>
                    <w:rPr>
                      <w:rFonts w:hint="eastAsia"/>
                      <w:color w:val="auto"/>
                      <w:kern w:val="0"/>
                      <w:sz w:val="18"/>
                      <w:szCs w:val="18"/>
                    </w:rPr>
                    <w:t>10</w:t>
                  </w:r>
                </w:p>
              </w:tc>
              <w:tc>
                <w:tcPr>
                  <w:tcW w:w="427" w:type="dxa"/>
                  <w:vMerge w:val="continue"/>
                  <w:shd w:val="clear" w:color="auto" w:fill="auto"/>
                  <w:vAlign w:val="center"/>
                </w:tcPr>
                <w:p w14:paraId="4480A568">
                  <w:pPr>
                    <w:widowControl/>
                    <w:jc w:val="center"/>
                    <w:rPr>
                      <w:color w:val="auto"/>
                      <w:kern w:val="0"/>
                      <w:sz w:val="18"/>
                      <w:szCs w:val="18"/>
                    </w:rPr>
                  </w:pPr>
                </w:p>
              </w:tc>
              <w:tc>
                <w:tcPr>
                  <w:tcW w:w="1583" w:type="dxa"/>
                  <w:shd w:val="clear" w:color="auto" w:fill="auto"/>
                  <w:vAlign w:val="center"/>
                </w:tcPr>
                <w:p w14:paraId="3AFCAA62">
                  <w:pPr>
                    <w:widowControl/>
                    <w:jc w:val="center"/>
                    <w:rPr>
                      <w:rFonts w:hint="eastAsia" w:eastAsia="宋体"/>
                      <w:color w:val="auto"/>
                      <w:kern w:val="0"/>
                      <w:sz w:val="18"/>
                      <w:szCs w:val="18"/>
                      <w:lang w:eastAsia="zh-CN"/>
                    </w:rPr>
                  </w:pPr>
                </w:p>
              </w:tc>
              <w:tc>
                <w:tcPr>
                  <w:tcW w:w="1357" w:type="dxa"/>
                  <w:shd w:val="clear" w:color="auto" w:fill="auto"/>
                  <w:vAlign w:val="center"/>
                </w:tcPr>
                <w:p w14:paraId="347DC471">
                  <w:pPr>
                    <w:widowControl/>
                    <w:jc w:val="center"/>
                    <w:rPr>
                      <w:color w:val="auto"/>
                      <w:kern w:val="0"/>
                      <w:sz w:val="18"/>
                      <w:szCs w:val="18"/>
                    </w:rPr>
                  </w:pPr>
                </w:p>
              </w:tc>
              <w:tc>
                <w:tcPr>
                  <w:tcW w:w="709" w:type="dxa"/>
                  <w:shd w:val="clear" w:color="auto" w:fill="auto"/>
                  <w:vAlign w:val="center"/>
                </w:tcPr>
                <w:p w14:paraId="05AE1CBF">
                  <w:pPr>
                    <w:widowControl/>
                    <w:jc w:val="center"/>
                    <w:rPr>
                      <w:color w:val="auto"/>
                      <w:kern w:val="0"/>
                      <w:sz w:val="18"/>
                      <w:szCs w:val="18"/>
                    </w:rPr>
                  </w:pPr>
                </w:p>
              </w:tc>
              <w:tc>
                <w:tcPr>
                  <w:tcW w:w="992" w:type="dxa"/>
                  <w:shd w:val="clear" w:color="auto" w:fill="auto"/>
                  <w:vAlign w:val="center"/>
                </w:tcPr>
                <w:p w14:paraId="434F4D1D">
                  <w:pPr>
                    <w:widowControl/>
                    <w:jc w:val="center"/>
                    <w:rPr>
                      <w:color w:val="auto"/>
                      <w:kern w:val="0"/>
                      <w:sz w:val="18"/>
                      <w:szCs w:val="18"/>
                    </w:rPr>
                  </w:pPr>
                </w:p>
              </w:tc>
              <w:tc>
                <w:tcPr>
                  <w:tcW w:w="1053" w:type="dxa"/>
                  <w:shd w:val="clear" w:color="auto" w:fill="auto"/>
                  <w:vAlign w:val="center"/>
                </w:tcPr>
                <w:p w14:paraId="4A36A309">
                  <w:pPr>
                    <w:widowControl/>
                    <w:jc w:val="center"/>
                    <w:rPr>
                      <w:color w:val="auto"/>
                      <w:kern w:val="0"/>
                      <w:sz w:val="18"/>
                      <w:szCs w:val="18"/>
                    </w:rPr>
                  </w:pPr>
                </w:p>
              </w:tc>
              <w:tc>
                <w:tcPr>
                  <w:tcW w:w="850" w:type="dxa"/>
                  <w:shd w:val="clear" w:color="auto" w:fill="auto"/>
                  <w:vAlign w:val="center"/>
                </w:tcPr>
                <w:p w14:paraId="004FDF12">
                  <w:pPr>
                    <w:widowControl/>
                    <w:jc w:val="center"/>
                    <w:rPr>
                      <w:color w:val="auto"/>
                      <w:kern w:val="0"/>
                      <w:sz w:val="18"/>
                      <w:szCs w:val="18"/>
                    </w:rPr>
                  </w:pPr>
                </w:p>
              </w:tc>
              <w:tc>
                <w:tcPr>
                  <w:tcW w:w="785" w:type="dxa"/>
                  <w:shd w:val="clear" w:color="auto" w:fill="auto"/>
                  <w:vAlign w:val="center"/>
                </w:tcPr>
                <w:p w14:paraId="528C34D2">
                  <w:pPr>
                    <w:widowControl/>
                    <w:jc w:val="center"/>
                    <w:rPr>
                      <w:color w:val="auto"/>
                      <w:kern w:val="0"/>
                      <w:sz w:val="18"/>
                      <w:szCs w:val="18"/>
                    </w:rPr>
                  </w:pPr>
                </w:p>
              </w:tc>
            </w:tr>
            <w:tr w14:paraId="7DEE3B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27" w:type="dxa"/>
                  <w:shd w:val="clear" w:color="auto" w:fill="auto"/>
                  <w:vAlign w:val="center"/>
                </w:tcPr>
                <w:p w14:paraId="29571074">
                  <w:pPr>
                    <w:widowControl/>
                    <w:jc w:val="center"/>
                    <w:rPr>
                      <w:color w:val="auto"/>
                      <w:kern w:val="0"/>
                      <w:sz w:val="18"/>
                      <w:szCs w:val="18"/>
                    </w:rPr>
                  </w:pPr>
                  <w:r>
                    <w:rPr>
                      <w:rFonts w:hint="eastAsia"/>
                      <w:color w:val="auto"/>
                      <w:kern w:val="0"/>
                      <w:sz w:val="18"/>
                      <w:szCs w:val="18"/>
                    </w:rPr>
                    <w:t>11</w:t>
                  </w:r>
                </w:p>
              </w:tc>
              <w:tc>
                <w:tcPr>
                  <w:tcW w:w="427" w:type="dxa"/>
                  <w:vMerge w:val="continue"/>
                  <w:shd w:val="clear" w:color="auto" w:fill="auto"/>
                  <w:vAlign w:val="center"/>
                </w:tcPr>
                <w:p w14:paraId="1C7D81EB">
                  <w:pPr>
                    <w:widowControl/>
                    <w:jc w:val="center"/>
                    <w:rPr>
                      <w:color w:val="auto"/>
                      <w:kern w:val="0"/>
                      <w:sz w:val="18"/>
                      <w:szCs w:val="18"/>
                    </w:rPr>
                  </w:pPr>
                </w:p>
              </w:tc>
              <w:tc>
                <w:tcPr>
                  <w:tcW w:w="1583" w:type="dxa"/>
                  <w:shd w:val="clear" w:color="auto" w:fill="auto"/>
                  <w:vAlign w:val="center"/>
                </w:tcPr>
                <w:p w14:paraId="64F365E3">
                  <w:pPr>
                    <w:widowControl/>
                    <w:jc w:val="center"/>
                    <w:rPr>
                      <w:color w:val="auto"/>
                      <w:kern w:val="0"/>
                      <w:sz w:val="18"/>
                      <w:szCs w:val="18"/>
                    </w:rPr>
                  </w:pPr>
                </w:p>
              </w:tc>
              <w:tc>
                <w:tcPr>
                  <w:tcW w:w="1357" w:type="dxa"/>
                  <w:shd w:val="clear" w:color="auto" w:fill="auto"/>
                  <w:vAlign w:val="center"/>
                </w:tcPr>
                <w:p w14:paraId="67E7C814">
                  <w:pPr>
                    <w:widowControl/>
                    <w:jc w:val="center"/>
                    <w:rPr>
                      <w:color w:val="auto"/>
                      <w:kern w:val="0"/>
                      <w:sz w:val="18"/>
                      <w:szCs w:val="18"/>
                    </w:rPr>
                  </w:pPr>
                </w:p>
              </w:tc>
              <w:tc>
                <w:tcPr>
                  <w:tcW w:w="709" w:type="dxa"/>
                  <w:shd w:val="clear" w:color="auto" w:fill="auto"/>
                  <w:vAlign w:val="center"/>
                </w:tcPr>
                <w:p w14:paraId="1E0E6AE7">
                  <w:pPr>
                    <w:widowControl/>
                    <w:jc w:val="center"/>
                    <w:rPr>
                      <w:color w:val="auto"/>
                      <w:kern w:val="0"/>
                      <w:sz w:val="18"/>
                      <w:szCs w:val="18"/>
                    </w:rPr>
                  </w:pPr>
                </w:p>
              </w:tc>
              <w:tc>
                <w:tcPr>
                  <w:tcW w:w="992" w:type="dxa"/>
                  <w:shd w:val="clear" w:color="auto" w:fill="auto"/>
                  <w:vAlign w:val="center"/>
                </w:tcPr>
                <w:p w14:paraId="1289B7BF">
                  <w:pPr>
                    <w:widowControl/>
                    <w:jc w:val="center"/>
                    <w:rPr>
                      <w:color w:val="auto"/>
                      <w:kern w:val="0"/>
                      <w:sz w:val="18"/>
                      <w:szCs w:val="18"/>
                    </w:rPr>
                  </w:pPr>
                </w:p>
              </w:tc>
              <w:tc>
                <w:tcPr>
                  <w:tcW w:w="1053" w:type="dxa"/>
                  <w:shd w:val="clear" w:color="auto" w:fill="auto"/>
                  <w:vAlign w:val="center"/>
                </w:tcPr>
                <w:p w14:paraId="259093CB">
                  <w:pPr>
                    <w:widowControl/>
                    <w:jc w:val="center"/>
                    <w:rPr>
                      <w:color w:val="auto"/>
                      <w:kern w:val="0"/>
                      <w:sz w:val="18"/>
                      <w:szCs w:val="18"/>
                    </w:rPr>
                  </w:pPr>
                </w:p>
              </w:tc>
              <w:tc>
                <w:tcPr>
                  <w:tcW w:w="850" w:type="dxa"/>
                  <w:shd w:val="clear" w:color="auto" w:fill="auto"/>
                  <w:vAlign w:val="center"/>
                </w:tcPr>
                <w:p w14:paraId="6B61D6F0">
                  <w:pPr>
                    <w:widowControl/>
                    <w:jc w:val="center"/>
                    <w:rPr>
                      <w:color w:val="auto"/>
                      <w:kern w:val="0"/>
                      <w:sz w:val="18"/>
                      <w:szCs w:val="18"/>
                    </w:rPr>
                  </w:pPr>
                </w:p>
              </w:tc>
              <w:tc>
                <w:tcPr>
                  <w:tcW w:w="785" w:type="dxa"/>
                  <w:shd w:val="clear" w:color="auto" w:fill="auto"/>
                  <w:vAlign w:val="center"/>
                </w:tcPr>
                <w:p w14:paraId="25195351">
                  <w:pPr>
                    <w:widowControl/>
                    <w:jc w:val="center"/>
                    <w:rPr>
                      <w:color w:val="auto"/>
                      <w:kern w:val="0"/>
                      <w:sz w:val="18"/>
                      <w:szCs w:val="18"/>
                    </w:rPr>
                  </w:pPr>
                </w:p>
              </w:tc>
            </w:tr>
            <w:tr w14:paraId="33BA01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27" w:type="dxa"/>
                  <w:shd w:val="clear" w:color="auto" w:fill="auto"/>
                  <w:vAlign w:val="center"/>
                </w:tcPr>
                <w:p w14:paraId="3712C67D">
                  <w:pPr>
                    <w:widowControl/>
                    <w:jc w:val="center"/>
                    <w:rPr>
                      <w:color w:val="auto"/>
                      <w:kern w:val="0"/>
                      <w:sz w:val="18"/>
                      <w:szCs w:val="18"/>
                    </w:rPr>
                  </w:pPr>
                  <w:r>
                    <w:rPr>
                      <w:rFonts w:hint="eastAsia"/>
                      <w:color w:val="auto"/>
                      <w:kern w:val="0"/>
                      <w:sz w:val="18"/>
                      <w:szCs w:val="18"/>
                    </w:rPr>
                    <w:t>12</w:t>
                  </w:r>
                </w:p>
              </w:tc>
              <w:tc>
                <w:tcPr>
                  <w:tcW w:w="427" w:type="dxa"/>
                  <w:vMerge w:val="continue"/>
                  <w:shd w:val="clear" w:color="auto" w:fill="auto"/>
                  <w:vAlign w:val="center"/>
                </w:tcPr>
                <w:p w14:paraId="162E37F0">
                  <w:pPr>
                    <w:widowControl/>
                    <w:jc w:val="center"/>
                    <w:rPr>
                      <w:color w:val="auto"/>
                      <w:kern w:val="0"/>
                      <w:sz w:val="18"/>
                      <w:szCs w:val="18"/>
                    </w:rPr>
                  </w:pPr>
                </w:p>
              </w:tc>
              <w:tc>
                <w:tcPr>
                  <w:tcW w:w="1583" w:type="dxa"/>
                  <w:shd w:val="clear" w:color="auto" w:fill="auto"/>
                  <w:vAlign w:val="center"/>
                </w:tcPr>
                <w:p w14:paraId="56DB6C85">
                  <w:pPr>
                    <w:widowControl/>
                    <w:jc w:val="center"/>
                    <w:rPr>
                      <w:rFonts w:hint="eastAsia" w:eastAsia="宋体"/>
                      <w:color w:val="auto"/>
                      <w:kern w:val="0"/>
                      <w:sz w:val="18"/>
                      <w:szCs w:val="18"/>
                      <w:lang w:eastAsia="zh-CN"/>
                    </w:rPr>
                  </w:pPr>
                </w:p>
              </w:tc>
              <w:tc>
                <w:tcPr>
                  <w:tcW w:w="1357" w:type="dxa"/>
                  <w:shd w:val="clear" w:color="auto" w:fill="auto"/>
                  <w:vAlign w:val="center"/>
                </w:tcPr>
                <w:p w14:paraId="1C466CF6">
                  <w:pPr>
                    <w:widowControl/>
                    <w:jc w:val="center"/>
                    <w:rPr>
                      <w:color w:val="auto"/>
                      <w:kern w:val="0"/>
                      <w:sz w:val="18"/>
                      <w:szCs w:val="18"/>
                    </w:rPr>
                  </w:pPr>
                </w:p>
              </w:tc>
              <w:tc>
                <w:tcPr>
                  <w:tcW w:w="709" w:type="dxa"/>
                  <w:shd w:val="clear" w:color="auto" w:fill="auto"/>
                  <w:vAlign w:val="center"/>
                </w:tcPr>
                <w:p w14:paraId="69E4F38F">
                  <w:pPr>
                    <w:widowControl/>
                    <w:jc w:val="center"/>
                    <w:rPr>
                      <w:color w:val="auto"/>
                      <w:kern w:val="0"/>
                      <w:sz w:val="18"/>
                      <w:szCs w:val="18"/>
                    </w:rPr>
                  </w:pPr>
                </w:p>
              </w:tc>
              <w:tc>
                <w:tcPr>
                  <w:tcW w:w="992" w:type="dxa"/>
                  <w:shd w:val="clear" w:color="auto" w:fill="auto"/>
                  <w:vAlign w:val="center"/>
                </w:tcPr>
                <w:p w14:paraId="61616456">
                  <w:pPr>
                    <w:widowControl/>
                    <w:jc w:val="center"/>
                    <w:rPr>
                      <w:color w:val="auto"/>
                      <w:kern w:val="0"/>
                      <w:sz w:val="18"/>
                      <w:szCs w:val="18"/>
                    </w:rPr>
                  </w:pPr>
                </w:p>
              </w:tc>
              <w:tc>
                <w:tcPr>
                  <w:tcW w:w="1053" w:type="dxa"/>
                  <w:shd w:val="clear" w:color="auto" w:fill="auto"/>
                  <w:vAlign w:val="center"/>
                </w:tcPr>
                <w:p w14:paraId="1FB00D77">
                  <w:pPr>
                    <w:widowControl/>
                    <w:jc w:val="center"/>
                    <w:rPr>
                      <w:color w:val="auto"/>
                      <w:kern w:val="0"/>
                      <w:sz w:val="18"/>
                      <w:szCs w:val="18"/>
                    </w:rPr>
                  </w:pPr>
                </w:p>
              </w:tc>
              <w:tc>
                <w:tcPr>
                  <w:tcW w:w="850" w:type="dxa"/>
                  <w:shd w:val="clear" w:color="auto" w:fill="auto"/>
                  <w:vAlign w:val="center"/>
                </w:tcPr>
                <w:p w14:paraId="4439B4CB">
                  <w:pPr>
                    <w:widowControl/>
                    <w:jc w:val="center"/>
                    <w:rPr>
                      <w:color w:val="auto"/>
                      <w:kern w:val="0"/>
                      <w:sz w:val="18"/>
                      <w:szCs w:val="18"/>
                    </w:rPr>
                  </w:pPr>
                </w:p>
              </w:tc>
              <w:tc>
                <w:tcPr>
                  <w:tcW w:w="785" w:type="dxa"/>
                  <w:shd w:val="clear" w:color="auto" w:fill="auto"/>
                  <w:vAlign w:val="center"/>
                </w:tcPr>
                <w:p w14:paraId="6825E64B">
                  <w:pPr>
                    <w:widowControl/>
                    <w:jc w:val="center"/>
                    <w:rPr>
                      <w:color w:val="auto"/>
                      <w:kern w:val="0"/>
                      <w:sz w:val="18"/>
                      <w:szCs w:val="18"/>
                    </w:rPr>
                  </w:pPr>
                </w:p>
              </w:tc>
            </w:tr>
            <w:tr w14:paraId="75D66F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27" w:type="dxa"/>
                  <w:shd w:val="clear" w:color="auto" w:fill="auto"/>
                  <w:vAlign w:val="center"/>
                </w:tcPr>
                <w:p w14:paraId="1F6E3392">
                  <w:pPr>
                    <w:widowControl/>
                    <w:jc w:val="center"/>
                    <w:rPr>
                      <w:color w:val="auto"/>
                      <w:kern w:val="0"/>
                      <w:sz w:val="18"/>
                      <w:szCs w:val="18"/>
                    </w:rPr>
                  </w:pPr>
                  <w:r>
                    <w:rPr>
                      <w:rFonts w:hint="eastAsia"/>
                      <w:color w:val="auto"/>
                      <w:kern w:val="0"/>
                      <w:sz w:val="18"/>
                      <w:szCs w:val="18"/>
                    </w:rPr>
                    <w:t>13</w:t>
                  </w:r>
                </w:p>
              </w:tc>
              <w:tc>
                <w:tcPr>
                  <w:tcW w:w="427" w:type="dxa"/>
                  <w:vMerge w:val="continue"/>
                  <w:shd w:val="clear" w:color="auto" w:fill="auto"/>
                  <w:vAlign w:val="center"/>
                </w:tcPr>
                <w:p w14:paraId="3EBA5A49">
                  <w:pPr>
                    <w:widowControl/>
                    <w:jc w:val="center"/>
                    <w:rPr>
                      <w:color w:val="auto"/>
                      <w:kern w:val="0"/>
                      <w:sz w:val="18"/>
                      <w:szCs w:val="18"/>
                    </w:rPr>
                  </w:pPr>
                </w:p>
              </w:tc>
              <w:tc>
                <w:tcPr>
                  <w:tcW w:w="1583" w:type="dxa"/>
                  <w:shd w:val="clear" w:color="auto" w:fill="auto"/>
                  <w:vAlign w:val="center"/>
                </w:tcPr>
                <w:p w14:paraId="67EA7CE1">
                  <w:pPr>
                    <w:widowControl/>
                    <w:jc w:val="center"/>
                    <w:rPr>
                      <w:color w:val="auto"/>
                      <w:kern w:val="0"/>
                      <w:sz w:val="18"/>
                      <w:szCs w:val="18"/>
                    </w:rPr>
                  </w:pPr>
                </w:p>
              </w:tc>
              <w:tc>
                <w:tcPr>
                  <w:tcW w:w="1357" w:type="dxa"/>
                  <w:shd w:val="clear" w:color="auto" w:fill="auto"/>
                  <w:vAlign w:val="center"/>
                </w:tcPr>
                <w:p w14:paraId="77BB9A05">
                  <w:pPr>
                    <w:widowControl/>
                    <w:jc w:val="center"/>
                    <w:rPr>
                      <w:rFonts w:hint="eastAsia" w:eastAsia="宋体"/>
                      <w:color w:val="auto"/>
                      <w:kern w:val="0"/>
                      <w:sz w:val="18"/>
                      <w:szCs w:val="18"/>
                      <w:lang w:eastAsia="zh-CN"/>
                    </w:rPr>
                  </w:pPr>
                </w:p>
              </w:tc>
              <w:tc>
                <w:tcPr>
                  <w:tcW w:w="709" w:type="dxa"/>
                  <w:shd w:val="clear" w:color="auto" w:fill="auto"/>
                  <w:vAlign w:val="center"/>
                </w:tcPr>
                <w:p w14:paraId="545A751B">
                  <w:pPr>
                    <w:widowControl/>
                    <w:jc w:val="center"/>
                    <w:rPr>
                      <w:color w:val="auto"/>
                      <w:kern w:val="0"/>
                      <w:sz w:val="18"/>
                      <w:szCs w:val="18"/>
                    </w:rPr>
                  </w:pPr>
                </w:p>
              </w:tc>
              <w:tc>
                <w:tcPr>
                  <w:tcW w:w="992" w:type="dxa"/>
                  <w:shd w:val="clear" w:color="auto" w:fill="auto"/>
                  <w:vAlign w:val="center"/>
                </w:tcPr>
                <w:p w14:paraId="6F717D94">
                  <w:pPr>
                    <w:widowControl/>
                    <w:jc w:val="center"/>
                    <w:rPr>
                      <w:color w:val="auto"/>
                      <w:kern w:val="0"/>
                      <w:sz w:val="18"/>
                      <w:szCs w:val="18"/>
                    </w:rPr>
                  </w:pPr>
                </w:p>
              </w:tc>
              <w:tc>
                <w:tcPr>
                  <w:tcW w:w="1053" w:type="dxa"/>
                  <w:shd w:val="clear" w:color="auto" w:fill="auto"/>
                  <w:vAlign w:val="center"/>
                </w:tcPr>
                <w:p w14:paraId="7ACEE451">
                  <w:pPr>
                    <w:widowControl/>
                    <w:jc w:val="center"/>
                    <w:rPr>
                      <w:color w:val="auto"/>
                      <w:kern w:val="0"/>
                      <w:sz w:val="18"/>
                      <w:szCs w:val="18"/>
                    </w:rPr>
                  </w:pPr>
                </w:p>
              </w:tc>
              <w:tc>
                <w:tcPr>
                  <w:tcW w:w="850" w:type="dxa"/>
                  <w:shd w:val="clear" w:color="auto" w:fill="auto"/>
                  <w:vAlign w:val="center"/>
                </w:tcPr>
                <w:p w14:paraId="4BB1E791">
                  <w:pPr>
                    <w:widowControl/>
                    <w:jc w:val="center"/>
                    <w:rPr>
                      <w:color w:val="auto"/>
                      <w:kern w:val="0"/>
                      <w:sz w:val="18"/>
                      <w:szCs w:val="18"/>
                    </w:rPr>
                  </w:pPr>
                </w:p>
              </w:tc>
              <w:tc>
                <w:tcPr>
                  <w:tcW w:w="785" w:type="dxa"/>
                  <w:shd w:val="clear" w:color="auto" w:fill="auto"/>
                  <w:vAlign w:val="center"/>
                </w:tcPr>
                <w:p w14:paraId="0CC14514">
                  <w:pPr>
                    <w:widowControl/>
                    <w:jc w:val="center"/>
                    <w:rPr>
                      <w:color w:val="auto"/>
                      <w:kern w:val="0"/>
                      <w:sz w:val="18"/>
                      <w:szCs w:val="18"/>
                    </w:rPr>
                  </w:pPr>
                </w:p>
              </w:tc>
            </w:tr>
            <w:tr w14:paraId="26F639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27" w:type="dxa"/>
                  <w:shd w:val="clear" w:color="auto" w:fill="auto"/>
                  <w:vAlign w:val="center"/>
                </w:tcPr>
                <w:p w14:paraId="7DE788EA">
                  <w:pPr>
                    <w:widowControl/>
                    <w:jc w:val="center"/>
                    <w:rPr>
                      <w:color w:val="auto"/>
                      <w:kern w:val="0"/>
                      <w:sz w:val="18"/>
                      <w:szCs w:val="18"/>
                    </w:rPr>
                  </w:pPr>
                  <w:r>
                    <w:rPr>
                      <w:rFonts w:hint="eastAsia"/>
                      <w:color w:val="auto"/>
                      <w:kern w:val="0"/>
                      <w:sz w:val="18"/>
                      <w:szCs w:val="18"/>
                    </w:rPr>
                    <w:t>14</w:t>
                  </w:r>
                </w:p>
              </w:tc>
              <w:tc>
                <w:tcPr>
                  <w:tcW w:w="427" w:type="dxa"/>
                  <w:shd w:val="clear" w:color="auto" w:fill="auto"/>
                  <w:vAlign w:val="center"/>
                </w:tcPr>
                <w:p w14:paraId="76D84A7B">
                  <w:pPr>
                    <w:widowControl/>
                    <w:jc w:val="center"/>
                    <w:rPr>
                      <w:color w:val="auto"/>
                      <w:kern w:val="0"/>
                      <w:sz w:val="18"/>
                      <w:szCs w:val="18"/>
                    </w:rPr>
                  </w:pPr>
                </w:p>
              </w:tc>
              <w:tc>
                <w:tcPr>
                  <w:tcW w:w="1583" w:type="dxa"/>
                  <w:shd w:val="clear" w:color="auto" w:fill="auto"/>
                  <w:vAlign w:val="center"/>
                </w:tcPr>
                <w:p w14:paraId="309474AA">
                  <w:pPr>
                    <w:widowControl/>
                    <w:jc w:val="center"/>
                    <w:rPr>
                      <w:color w:val="auto"/>
                      <w:kern w:val="0"/>
                      <w:sz w:val="18"/>
                      <w:szCs w:val="18"/>
                    </w:rPr>
                  </w:pPr>
                </w:p>
              </w:tc>
              <w:tc>
                <w:tcPr>
                  <w:tcW w:w="1357" w:type="dxa"/>
                  <w:shd w:val="clear" w:color="auto" w:fill="auto"/>
                  <w:vAlign w:val="center"/>
                </w:tcPr>
                <w:p w14:paraId="4629A3AD">
                  <w:pPr>
                    <w:widowControl/>
                    <w:jc w:val="center"/>
                    <w:rPr>
                      <w:color w:val="auto"/>
                      <w:kern w:val="0"/>
                      <w:sz w:val="18"/>
                      <w:szCs w:val="18"/>
                    </w:rPr>
                  </w:pPr>
                </w:p>
              </w:tc>
              <w:tc>
                <w:tcPr>
                  <w:tcW w:w="709" w:type="dxa"/>
                  <w:shd w:val="clear" w:color="auto" w:fill="auto"/>
                  <w:vAlign w:val="center"/>
                </w:tcPr>
                <w:p w14:paraId="503D010E">
                  <w:pPr>
                    <w:widowControl/>
                    <w:jc w:val="center"/>
                    <w:rPr>
                      <w:color w:val="auto"/>
                      <w:kern w:val="0"/>
                      <w:sz w:val="18"/>
                      <w:szCs w:val="18"/>
                    </w:rPr>
                  </w:pPr>
                </w:p>
              </w:tc>
              <w:tc>
                <w:tcPr>
                  <w:tcW w:w="992" w:type="dxa"/>
                  <w:shd w:val="clear" w:color="auto" w:fill="auto"/>
                  <w:vAlign w:val="center"/>
                </w:tcPr>
                <w:p w14:paraId="21CB60F9">
                  <w:pPr>
                    <w:widowControl/>
                    <w:jc w:val="center"/>
                    <w:rPr>
                      <w:color w:val="auto"/>
                      <w:kern w:val="0"/>
                      <w:sz w:val="18"/>
                      <w:szCs w:val="18"/>
                    </w:rPr>
                  </w:pPr>
                </w:p>
              </w:tc>
              <w:tc>
                <w:tcPr>
                  <w:tcW w:w="1053" w:type="dxa"/>
                  <w:shd w:val="clear" w:color="auto" w:fill="auto"/>
                  <w:vAlign w:val="center"/>
                </w:tcPr>
                <w:p w14:paraId="61E51EB5">
                  <w:pPr>
                    <w:widowControl/>
                    <w:jc w:val="center"/>
                    <w:rPr>
                      <w:color w:val="auto"/>
                      <w:kern w:val="0"/>
                      <w:sz w:val="18"/>
                      <w:szCs w:val="18"/>
                    </w:rPr>
                  </w:pPr>
                </w:p>
              </w:tc>
              <w:tc>
                <w:tcPr>
                  <w:tcW w:w="850" w:type="dxa"/>
                  <w:shd w:val="clear" w:color="auto" w:fill="auto"/>
                  <w:vAlign w:val="center"/>
                </w:tcPr>
                <w:p w14:paraId="7261FD9B">
                  <w:pPr>
                    <w:widowControl/>
                    <w:jc w:val="center"/>
                    <w:rPr>
                      <w:color w:val="auto"/>
                      <w:kern w:val="0"/>
                      <w:sz w:val="18"/>
                      <w:szCs w:val="18"/>
                    </w:rPr>
                  </w:pPr>
                </w:p>
              </w:tc>
              <w:tc>
                <w:tcPr>
                  <w:tcW w:w="785" w:type="dxa"/>
                  <w:shd w:val="clear" w:color="auto" w:fill="auto"/>
                  <w:vAlign w:val="center"/>
                </w:tcPr>
                <w:p w14:paraId="6B23251F">
                  <w:pPr>
                    <w:widowControl/>
                    <w:jc w:val="center"/>
                    <w:rPr>
                      <w:color w:val="auto"/>
                      <w:kern w:val="0"/>
                      <w:sz w:val="18"/>
                      <w:szCs w:val="18"/>
                    </w:rPr>
                  </w:pPr>
                </w:p>
              </w:tc>
            </w:tr>
            <w:tr w14:paraId="6036C0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27" w:type="dxa"/>
                  <w:shd w:val="clear" w:color="auto" w:fill="auto"/>
                  <w:vAlign w:val="center"/>
                </w:tcPr>
                <w:p w14:paraId="69E3F5E7">
                  <w:pPr>
                    <w:widowControl/>
                    <w:jc w:val="center"/>
                    <w:rPr>
                      <w:color w:val="auto"/>
                      <w:kern w:val="0"/>
                      <w:sz w:val="18"/>
                      <w:szCs w:val="18"/>
                    </w:rPr>
                  </w:pPr>
                  <w:r>
                    <w:rPr>
                      <w:rFonts w:hint="eastAsia"/>
                      <w:color w:val="auto"/>
                      <w:kern w:val="0"/>
                      <w:sz w:val="18"/>
                      <w:szCs w:val="18"/>
                    </w:rPr>
                    <w:t>15</w:t>
                  </w:r>
                </w:p>
              </w:tc>
              <w:tc>
                <w:tcPr>
                  <w:tcW w:w="427" w:type="dxa"/>
                  <w:shd w:val="clear" w:color="auto" w:fill="auto"/>
                  <w:vAlign w:val="center"/>
                </w:tcPr>
                <w:p w14:paraId="759CE4C5">
                  <w:pPr>
                    <w:widowControl/>
                    <w:jc w:val="center"/>
                    <w:rPr>
                      <w:color w:val="auto"/>
                      <w:kern w:val="0"/>
                      <w:sz w:val="18"/>
                      <w:szCs w:val="18"/>
                    </w:rPr>
                  </w:pPr>
                </w:p>
              </w:tc>
              <w:tc>
                <w:tcPr>
                  <w:tcW w:w="1583" w:type="dxa"/>
                  <w:shd w:val="clear" w:color="auto" w:fill="auto"/>
                  <w:vAlign w:val="center"/>
                </w:tcPr>
                <w:p w14:paraId="62644A4C">
                  <w:pPr>
                    <w:widowControl/>
                    <w:jc w:val="center"/>
                    <w:rPr>
                      <w:color w:val="auto"/>
                      <w:kern w:val="0"/>
                      <w:sz w:val="18"/>
                      <w:szCs w:val="18"/>
                    </w:rPr>
                  </w:pPr>
                </w:p>
              </w:tc>
              <w:tc>
                <w:tcPr>
                  <w:tcW w:w="1357" w:type="dxa"/>
                  <w:shd w:val="clear" w:color="auto" w:fill="auto"/>
                  <w:vAlign w:val="center"/>
                </w:tcPr>
                <w:p w14:paraId="46E4B92F">
                  <w:pPr>
                    <w:widowControl/>
                    <w:jc w:val="center"/>
                    <w:rPr>
                      <w:color w:val="auto"/>
                      <w:kern w:val="0"/>
                      <w:sz w:val="18"/>
                      <w:szCs w:val="18"/>
                    </w:rPr>
                  </w:pPr>
                </w:p>
              </w:tc>
              <w:tc>
                <w:tcPr>
                  <w:tcW w:w="709" w:type="dxa"/>
                  <w:shd w:val="clear" w:color="auto" w:fill="auto"/>
                  <w:vAlign w:val="center"/>
                </w:tcPr>
                <w:p w14:paraId="4BAEB2F1">
                  <w:pPr>
                    <w:widowControl/>
                    <w:jc w:val="center"/>
                    <w:rPr>
                      <w:color w:val="auto"/>
                      <w:kern w:val="0"/>
                      <w:sz w:val="18"/>
                      <w:szCs w:val="18"/>
                    </w:rPr>
                  </w:pPr>
                </w:p>
              </w:tc>
              <w:tc>
                <w:tcPr>
                  <w:tcW w:w="992" w:type="dxa"/>
                  <w:shd w:val="clear" w:color="auto" w:fill="auto"/>
                  <w:vAlign w:val="center"/>
                </w:tcPr>
                <w:p w14:paraId="08D87608">
                  <w:pPr>
                    <w:widowControl/>
                    <w:jc w:val="center"/>
                    <w:rPr>
                      <w:color w:val="auto"/>
                      <w:kern w:val="0"/>
                      <w:sz w:val="18"/>
                      <w:szCs w:val="18"/>
                    </w:rPr>
                  </w:pPr>
                </w:p>
              </w:tc>
              <w:tc>
                <w:tcPr>
                  <w:tcW w:w="1053" w:type="dxa"/>
                  <w:shd w:val="clear" w:color="auto" w:fill="auto"/>
                  <w:vAlign w:val="center"/>
                </w:tcPr>
                <w:p w14:paraId="1193521E">
                  <w:pPr>
                    <w:widowControl/>
                    <w:jc w:val="center"/>
                    <w:rPr>
                      <w:color w:val="auto"/>
                      <w:kern w:val="0"/>
                      <w:sz w:val="18"/>
                      <w:szCs w:val="18"/>
                    </w:rPr>
                  </w:pPr>
                </w:p>
              </w:tc>
              <w:tc>
                <w:tcPr>
                  <w:tcW w:w="850" w:type="dxa"/>
                  <w:shd w:val="clear" w:color="auto" w:fill="auto"/>
                  <w:vAlign w:val="center"/>
                </w:tcPr>
                <w:p w14:paraId="47B5A30B">
                  <w:pPr>
                    <w:widowControl/>
                    <w:jc w:val="center"/>
                    <w:rPr>
                      <w:color w:val="auto"/>
                      <w:kern w:val="0"/>
                      <w:sz w:val="18"/>
                      <w:szCs w:val="18"/>
                    </w:rPr>
                  </w:pPr>
                </w:p>
              </w:tc>
              <w:tc>
                <w:tcPr>
                  <w:tcW w:w="785" w:type="dxa"/>
                  <w:shd w:val="clear" w:color="auto" w:fill="auto"/>
                  <w:vAlign w:val="center"/>
                </w:tcPr>
                <w:p w14:paraId="66FC3553">
                  <w:pPr>
                    <w:widowControl/>
                    <w:jc w:val="center"/>
                    <w:rPr>
                      <w:color w:val="auto"/>
                      <w:kern w:val="0"/>
                      <w:sz w:val="18"/>
                      <w:szCs w:val="18"/>
                    </w:rPr>
                  </w:pPr>
                </w:p>
              </w:tc>
            </w:tr>
          </w:tbl>
          <w:p w14:paraId="627A5B01">
            <w:pPr>
              <w:adjustRightInd w:val="0"/>
              <w:snapToGrid w:val="0"/>
              <w:spacing w:line="500" w:lineRule="exact"/>
              <w:ind w:firstLine="420" w:firstLineChars="200"/>
              <w:jc w:val="left"/>
              <w:rPr>
                <w:bCs/>
                <w:color w:val="auto"/>
                <w:szCs w:val="21"/>
              </w:rPr>
            </w:pPr>
            <w:r>
              <w:rPr>
                <w:rFonts w:hint="eastAsia"/>
                <w:bCs/>
                <w:color w:val="auto"/>
                <w:szCs w:val="21"/>
              </w:rPr>
              <w:t>主要原辅材料理化性质见表2-</w:t>
            </w:r>
            <w:r>
              <w:rPr>
                <w:bCs/>
                <w:color w:val="auto"/>
                <w:szCs w:val="21"/>
              </w:rPr>
              <w:t>3</w:t>
            </w:r>
            <w:r>
              <w:rPr>
                <w:rFonts w:hint="eastAsia"/>
                <w:bCs/>
                <w:color w:val="auto"/>
                <w:szCs w:val="21"/>
              </w:rPr>
              <w:t>。</w:t>
            </w:r>
          </w:p>
          <w:p w14:paraId="0B022AB4">
            <w:pPr>
              <w:snapToGrid w:val="0"/>
              <w:spacing w:line="500" w:lineRule="exact"/>
              <w:jc w:val="center"/>
              <w:rPr>
                <w:b/>
                <w:color w:val="auto"/>
                <w:szCs w:val="21"/>
              </w:rPr>
            </w:pPr>
            <w:r>
              <w:rPr>
                <w:b/>
                <w:color w:val="auto"/>
                <w:szCs w:val="21"/>
              </w:rPr>
              <w:t xml:space="preserve">表2-3  </w:t>
            </w:r>
            <w:r>
              <w:rPr>
                <w:rFonts w:hint="eastAsia"/>
                <w:b/>
                <w:color w:val="auto"/>
                <w:szCs w:val="21"/>
              </w:rPr>
              <w:t>主要原辅材料理化性质表</w:t>
            </w:r>
          </w:p>
          <w:tbl>
            <w:tblPr>
              <w:tblStyle w:val="21"/>
              <w:tblW w:w="8211"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12"/>
              <w:gridCol w:w="1056"/>
              <w:gridCol w:w="2311"/>
              <w:gridCol w:w="1916"/>
              <w:gridCol w:w="1916"/>
            </w:tblGrid>
            <w:tr w14:paraId="656302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12" w:type="dxa"/>
                  <w:shd w:val="clear" w:color="auto" w:fill="auto"/>
                  <w:vAlign w:val="center"/>
                </w:tcPr>
                <w:p w14:paraId="6D2D0019">
                  <w:pPr>
                    <w:widowControl/>
                    <w:jc w:val="center"/>
                    <w:rPr>
                      <w:b/>
                      <w:color w:val="auto"/>
                      <w:kern w:val="0"/>
                      <w:sz w:val="18"/>
                      <w:szCs w:val="18"/>
                    </w:rPr>
                  </w:pPr>
                  <w:r>
                    <w:rPr>
                      <w:b/>
                      <w:color w:val="auto"/>
                      <w:kern w:val="0"/>
                      <w:sz w:val="18"/>
                      <w:szCs w:val="18"/>
                    </w:rPr>
                    <w:t>名称</w:t>
                  </w:r>
                </w:p>
              </w:tc>
              <w:tc>
                <w:tcPr>
                  <w:tcW w:w="1056" w:type="dxa"/>
                  <w:vAlign w:val="center"/>
                </w:tcPr>
                <w:p w14:paraId="7269AE93">
                  <w:pPr>
                    <w:widowControl/>
                    <w:jc w:val="center"/>
                    <w:rPr>
                      <w:b/>
                      <w:color w:val="auto"/>
                      <w:kern w:val="0"/>
                      <w:sz w:val="18"/>
                      <w:szCs w:val="18"/>
                    </w:rPr>
                  </w:pPr>
                  <w:r>
                    <w:rPr>
                      <w:rFonts w:hint="eastAsia"/>
                      <w:b/>
                      <w:color w:val="auto"/>
                      <w:kern w:val="0"/>
                      <w:sz w:val="18"/>
                      <w:szCs w:val="18"/>
                    </w:rPr>
                    <w:t>C</w:t>
                  </w:r>
                  <w:r>
                    <w:rPr>
                      <w:b/>
                      <w:color w:val="auto"/>
                      <w:kern w:val="0"/>
                      <w:sz w:val="18"/>
                      <w:szCs w:val="18"/>
                    </w:rPr>
                    <w:t>AS</w:t>
                  </w:r>
                  <w:r>
                    <w:rPr>
                      <w:rFonts w:hint="eastAsia"/>
                      <w:b/>
                      <w:color w:val="auto"/>
                      <w:kern w:val="0"/>
                      <w:sz w:val="18"/>
                      <w:szCs w:val="18"/>
                    </w:rPr>
                    <w:t>号</w:t>
                  </w:r>
                </w:p>
              </w:tc>
              <w:tc>
                <w:tcPr>
                  <w:tcW w:w="2311" w:type="dxa"/>
                  <w:shd w:val="clear" w:color="auto" w:fill="auto"/>
                  <w:vAlign w:val="center"/>
                </w:tcPr>
                <w:p w14:paraId="5B5B2208">
                  <w:pPr>
                    <w:widowControl/>
                    <w:jc w:val="center"/>
                    <w:rPr>
                      <w:b/>
                      <w:color w:val="auto"/>
                      <w:kern w:val="0"/>
                      <w:sz w:val="18"/>
                      <w:szCs w:val="18"/>
                    </w:rPr>
                  </w:pPr>
                  <w:r>
                    <w:rPr>
                      <w:b/>
                      <w:color w:val="auto"/>
                      <w:kern w:val="0"/>
                      <w:sz w:val="18"/>
                      <w:szCs w:val="18"/>
                    </w:rPr>
                    <w:t>理化性质</w:t>
                  </w:r>
                </w:p>
              </w:tc>
              <w:tc>
                <w:tcPr>
                  <w:tcW w:w="1916" w:type="dxa"/>
                  <w:shd w:val="clear" w:color="auto" w:fill="auto"/>
                  <w:vAlign w:val="center"/>
                </w:tcPr>
                <w:p w14:paraId="32CBB793">
                  <w:pPr>
                    <w:widowControl/>
                    <w:jc w:val="center"/>
                    <w:rPr>
                      <w:b/>
                      <w:color w:val="auto"/>
                      <w:kern w:val="0"/>
                      <w:sz w:val="18"/>
                      <w:szCs w:val="18"/>
                    </w:rPr>
                  </w:pPr>
                  <w:r>
                    <w:rPr>
                      <w:rFonts w:hint="eastAsia"/>
                      <w:b/>
                      <w:color w:val="auto"/>
                      <w:kern w:val="0"/>
                      <w:sz w:val="18"/>
                      <w:szCs w:val="18"/>
                    </w:rPr>
                    <w:t>燃爆性质</w:t>
                  </w:r>
                </w:p>
              </w:tc>
              <w:tc>
                <w:tcPr>
                  <w:tcW w:w="1916" w:type="dxa"/>
                  <w:shd w:val="clear" w:color="auto" w:fill="auto"/>
                  <w:vAlign w:val="center"/>
                </w:tcPr>
                <w:p w14:paraId="523564A6">
                  <w:pPr>
                    <w:widowControl/>
                    <w:jc w:val="center"/>
                    <w:rPr>
                      <w:b/>
                      <w:color w:val="auto"/>
                      <w:kern w:val="0"/>
                      <w:sz w:val="18"/>
                      <w:szCs w:val="18"/>
                    </w:rPr>
                  </w:pPr>
                  <w:r>
                    <w:rPr>
                      <w:b/>
                      <w:color w:val="auto"/>
                      <w:kern w:val="0"/>
                      <w:sz w:val="18"/>
                      <w:szCs w:val="18"/>
                    </w:rPr>
                    <w:t>毒理性质</w:t>
                  </w:r>
                </w:p>
              </w:tc>
            </w:tr>
            <w:tr w14:paraId="357E1C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12" w:type="dxa"/>
                  <w:shd w:val="clear" w:color="auto" w:fill="auto"/>
                  <w:vAlign w:val="center"/>
                </w:tcPr>
                <w:p w14:paraId="226AA6E7">
                  <w:pPr>
                    <w:widowControl/>
                    <w:jc w:val="center"/>
                    <w:rPr>
                      <w:color w:val="auto"/>
                      <w:kern w:val="0"/>
                      <w:sz w:val="18"/>
                      <w:szCs w:val="18"/>
                    </w:rPr>
                  </w:pPr>
                </w:p>
              </w:tc>
              <w:tc>
                <w:tcPr>
                  <w:tcW w:w="1056" w:type="dxa"/>
                  <w:vAlign w:val="center"/>
                </w:tcPr>
                <w:p w14:paraId="7091AFA7">
                  <w:pPr>
                    <w:widowControl/>
                    <w:jc w:val="center"/>
                    <w:textAlignment w:val="center"/>
                    <w:rPr>
                      <w:color w:val="auto"/>
                      <w:kern w:val="0"/>
                      <w:sz w:val="18"/>
                      <w:szCs w:val="18"/>
                    </w:rPr>
                  </w:pPr>
                </w:p>
              </w:tc>
              <w:tc>
                <w:tcPr>
                  <w:tcW w:w="2311" w:type="dxa"/>
                  <w:shd w:val="clear" w:color="auto" w:fill="auto"/>
                  <w:vAlign w:val="center"/>
                </w:tcPr>
                <w:p w14:paraId="200C7B4D">
                  <w:pPr>
                    <w:widowControl/>
                    <w:jc w:val="center"/>
                    <w:textAlignment w:val="center"/>
                    <w:rPr>
                      <w:color w:val="auto"/>
                      <w:kern w:val="0"/>
                      <w:sz w:val="18"/>
                      <w:szCs w:val="18"/>
                    </w:rPr>
                  </w:pPr>
                </w:p>
              </w:tc>
              <w:tc>
                <w:tcPr>
                  <w:tcW w:w="1916" w:type="dxa"/>
                  <w:shd w:val="clear" w:color="auto" w:fill="auto"/>
                  <w:noWrap/>
                  <w:vAlign w:val="center"/>
                </w:tcPr>
                <w:p w14:paraId="3862461A">
                  <w:pPr>
                    <w:widowControl/>
                    <w:jc w:val="center"/>
                    <w:textAlignment w:val="center"/>
                    <w:rPr>
                      <w:color w:val="auto"/>
                      <w:kern w:val="0"/>
                      <w:sz w:val="18"/>
                      <w:szCs w:val="18"/>
                    </w:rPr>
                  </w:pPr>
                </w:p>
              </w:tc>
              <w:tc>
                <w:tcPr>
                  <w:tcW w:w="1916" w:type="dxa"/>
                  <w:shd w:val="clear" w:color="auto" w:fill="auto"/>
                  <w:noWrap/>
                  <w:vAlign w:val="center"/>
                </w:tcPr>
                <w:p w14:paraId="19E30687">
                  <w:pPr>
                    <w:widowControl/>
                    <w:jc w:val="center"/>
                    <w:textAlignment w:val="center"/>
                    <w:rPr>
                      <w:color w:val="auto"/>
                      <w:kern w:val="0"/>
                      <w:sz w:val="18"/>
                      <w:szCs w:val="18"/>
                    </w:rPr>
                  </w:pPr>
                </w:p>
              </w:tc>
            </w:tr>
            <w:tr w14:paraId="6C85E2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12" w:type="dxa"/>
                  <w:shd w:val="clear" w:color="auto" w:fill="auto"/>
                  <w:vAlign w:val="center"/>
                </w:tcPr>
                <w:p w14:paraId="42160C1E">
                  <w:pPr>
                    <w:widowControl/>
                    <w:jc w:val="center"/>
                    <w:rPr>
                      <w:color w:val="auto"/>
                      <w:kern w:val="0"/>
                      <w:sz w:val="18"/>
                      <w:szCs w:val="18"/>
                    </w:rPr>
                  </w:pPr>
                </w:p>
              </w:tc>
              <w:tc>
                <w:tcPr>
                  <w:tcW w:w="1056" w:type="dxa"/>
                  <w:vAlign w:val="center"/>
                </w:tcPr>
                <w:p w14:paraId="62DBB868">
                  <w:pPr>
                    <w:widowControl/>
                    <w:jc w:val="center"/>
                    <w:textAlignment w:val="center"/>
                    <w:rPr>
                      <w:color w:val="auto"/>
                      <w:kern w:val="0"/>
                      <w:sz w:val="18"/>
                      <w:szCs w:val="18"/>
                    </w:rPr>
                  </w:pPr>
                </w:p>
              </w:tc>
              <w:tc>
                <w:tcPr>
                  <w:tcW w:w="2311" w:type="dxa"/>
                  <w:shd w:val="clear" w:color="auto" w:fill="auto"/>
                  <w:vAlign w:val="center"/>
                </w:tcPr>
                <w:p w14:paraId="223E61FF">
                  <w:pPr>
                    <w:widowControl/>
                    <w:jc w:val="center"/>
                    <w:textAlignment w:val="center"/>
                    <w:rPr>
                      <w:color w:val="auto"/>
                      <w:kern w:val="0"/>
                      <w:sz w:val="18"/>
                      <w:szCs w:val="18"/>
                    </w:rPr>
                  </w:pPr>
                </w:p>
              </w:tc>
              <w:tc>
                <w:tcPr>
                  <w:tcW w:w="1916" w:type="dxa"/>
                  <w:shd w:val="clear" w:color="auto" w:fill="auto"/>
                  <w:noWrap/>
                  <w:vAlign w:val="center"/>
                </w:tcPr>
                <w:p w14:paraId="4D71C2C6">
                  <w:pPr>
                    <w:widowControl/>
                    <w:jc w:val="center"/>
                    <w:textAlignment w:val="center"/>
                    <w:rPr>
                      <w:color w:val="auto"/>
                      <w:kern w:val="0"/>
                      <w:sz w:val="18"/>
                      <w:szCs w:val="18"/>
                    </w:rPr>
                  </w:pPr>
                </w:p>
              </w:tc>
              <w:tc>
                <w:tcPr>
                  <w:tcW w:w="1916" w:type="dxa"/>
                  <w:shd w:val="clear" w:color="auto" w:fill="auto"/>
                  <w:noWrap/>
                  <w:vAlign w:val="center"/>
                </w:tcPr>
                <w:p w14:paraId="2E542115">
                  <w:pPr>
                    <w:widowControl/>
                    <w:jc w:val="center"/>
                    <w:textAlignment w:val="center"/>
                    <w:rPr>
                      <w:color w:val="auto"/>
                      <w:kern w:val="0"/>
                      <w:sz w:val="18"/>
                      <w:szCs w:val="18"/>
                    </w:rPr>
                  </w:pPr>
                </w:p>
              </w:tc>
            </w:tr>
            <w:tr w14:paraId="296EA8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12" w:type="dxa"/>
                  <w:shd w:val="clear" w:color="auto" w:fill="auto"/>
                  <w:vAlign w:val="center"/>
                </w:tcPr>
                <w:p w14:paraId="674B0645">
                  <w:pPr>
                    <w:widowControl/>
                    <w:jc w:val="center"/>
                    <w:rPr>
                      <w:color w:val="auto"/>
                      <w:kern w:val="0"/>
                      <w:sz w:val="18"/>
                      <w:szCs w:val="18"/>
                    </w:rPr>
                  </w:pPr>
                </w:p>
              </w:tc>
              <w:tc>
                <w:tcPr>
                  <w:tcW w:w="1056" w:type="dxa"/>
                  <w:vAlign w:val="center"/>
                </w:tcPr>
                <w:p w14:paraId="443C6D4B">
                  <w:pPr>
                    <w:widowControl/>
                    <w:jc w:val="center"/>
                    <w:textAlignment w:val="center"/>
                    <w:rPr>
                      <w:color w:val="auto"/>
                      <w:kern w:val="0"/>
                      <w:sz w:val="18"/>
                      <w:szCs w:val="18"/>
                    </w:rPr>
                  </w:pPr>
                </w:p>
              </w:tc>
              <w:tc>
                <w:tcPr>
                  <w:tcW w:w="2311" w:type="dxa"/>
                  <w:shd w:val="clear" w:color="auto" w:fill="auto"/>
                  <w:vAlign w:val="center"/>
                </w:tcPr>
                <w:p w14:paraId="5D39A31F">
                  <w:pPr>
                    <w:widowControl/>
                    <w:jc w:val="center"/>
                    <w:textAlignment w:val="center"/>
                    <w:rPr>
                      <w:color w:val="auto"/>
                      <w:kern w:val="0"/>
                      <w:sz w:val="18"/>
                      <w:szCs w:val="18"/>
                    </w:rPr>
                  </w:pPr>
                </w:p>
              </w:tc>
              <w:tc>
                <w:tcPr>
                  <w:tcW w:w="1916" w:type="dxa"/>
                  <w:shd w:val="clear" w:color="auto" w:fill="auto"/>
                  <w:noWrap/>
                  <w:vAlign w:val="center"/>
                </w:tcPr>
                <w:p w14:paraId="778FE61B">
                  <w:pPr>
                    <w:widowControl/>
                    <w:jc w:val="center"/>
                    <w:textAlignment w:val="center"/>
                    <w:rPr>
                      <w:color w:val="auto"/>
                      <w:kern w:val="0"/>
                      <w:sz w:val="18"/>
                      <w:szCs w:val="18"/>
                    </w:rPr>
                  </w:pPr>
                </w:p>
              </w:tc>
              <w:tc>
                <w:tcPr>
                  <w:tcW w:w="1916" w:type="dxa"/>
                  <w:shd w:val="clear" w:color="auto" w:fill="auto"/>
                  <w:noWrap/>
                  <w:vAlign w:val="center"/>
                </w:tcPr>
                <w:p w14:paraId="67F47D0F">
                  <w:pPr>
                    <w:widowControl/>
                    <w:jc w:val="center"/>
                    <w:textAlignment w:val="center"/>
                    <w:rPr>
                      <w:color w:val="auto"/>
                      <w:kern w:val="0"/>
                      <w:sz w:val="18"/>
                      <w:szCs w:val="18"/>
                    </w:rPr>
                  </w:pPr>
                </w:p>
              </w:tc>
            </w:tr>
            <w:tr w14:paraId="26C3C7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12" w:type="dxa"/>
                  <w:shd w:val="clear" w:color="auto" w:fill="auto"/>
                  <w:vAlign w:val="center"/>
                </w:tcPr>
                <w:p w14:paraId="15545FD3">
                  <w:pPr>
                    <w:widowControl/>
                    <w:jc w:val="center"/>
                    <w:rPr>
                      <w:color w:val="auto"/>
                      <w:kern w:val="0"/>
                      <w:sz w:val="18"/>
                      <w:szCs w:val="18"/>
                    </w:rPr>
                  </w:pPr>
                </w:p>
              </w:tc>
              <w:tc>
                <w:tcPr>
                  <w:tcW w:w="1056" w:type="dxa"/>
                  <w:vAlign w:val="center"/>
                </w:tcPr>
                <w:p w14:paraId="60ECEA8E">
                  <w:pPr>
                    <w:widowControl/>
                    <w:jc w:val="center"/>
                    <w:textAlignment w:val="center"/>
                    <w:rPr>
                      <w:color w:val="auto"/>
                      <w:kern w:val="0"/>
                      <w:sz w:val="18"/>
                      <w:szCs w:val="18"/>
                    </w:rPr>
                  </w:pPr>
                </w:p>
              </w:tc>
              <w:tc>
                <w:tcPr>
                  <w:tcW w:w="2311" w:type="dxa"/>
                  <w:shd w:val="clear" w:color="auto" w:fill="auto"/>
                  <w:vAlign w:val="center"/>
                </w:tcPr>
                <w:p w14:paraId="7BEF3FAB">
                  <w:pPr>
                    <w:widowControl/>
                    <w:jc w:val="center"/>
                    <w:textAlignment w:val="center"/>
                    <w:rPr>
                      <w:color w:val="auto"/>
                      <w:kern w:val="0"/>
                      <w:sz w:val="18"/>
                      <w:szCs w:val="18"/>
                    </w:rPr>
                  </w:pPr>
                </w:p>
              </w:tc>
              <w:tc>
                <w:tcPr>
                  <w:tcW w:w="1916" w:type="dxa"/>
                  <w:shd w:val="clear" w:color="auto" w:fill="auto"/>
                  <w:noWrap/>
                  <w:vAlign w:val="center"/>
                </w:tcPr>
                <w:p w14:paraId="1FE97727">
                  <w:pPr>
                    <w:widowControl/>
                    <w:jc w:val="center"/>
                    <w:textAlignment w:val="center"/>
                    <w:rPr>
                      <w:color w:val="auto"/>
                      <w:kern w:val="0"/>
                      <w:sz w:val="18"/>
                      <w:szCs w:val="18"/>
                    </w:rPr>
                  </w:pPr>
                </w:p>
              </w:tc>
              <w:tc>
                <w:tcPr>
                  <w:tcW w:w="1916" w:type="dxa"/>
                  <w:shd w:val="clear" w:color="auto" w:fill="auto"/>
                  <w:noWrap/>
                  <w:vAlign w:val="center"/>
                </w:tcPr>
                <w:p w14:paraId="246A8D84">
                  <w:pPr>
                    <w:widowControl/>
                    <w:jc w:val="center"/>
                    <w:textAlignment w:val="center"/>
                    <w:rPr>
                      <w:color w:val="auto"/>
                      <w:kern w:val="0"/>
                      <w:sz w:val="18"/>
                      <w:szCs w:val="18"/>
                    </w:rPr>
                  </w:pPr>
                </w:p>
              </w:tc>
            </w:tr>
            <w:tr w14:paraId="051C2D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12" w:type="dxa"/>
                  <w:shd w:val="clear" w:color="auto" w:fill="auto"/>
                  <w:vAlign w:val="center"/>
                </w:tcPr>
                <w:p w14:paraId="3FC2110B">
                  <w:pPr>
                    <w:widowControl/>
                    <w:jc w:val="center"/>
                    <w:rPr>
                      <w:color w:val="auto"/>
                      <w:kern w:val="0"/>
                      <w:sz w:val="18"/>
                      <w:szCs w:val="18"/>
                    </w:rPr>
                  </w:pPr>
                </w:p>
              </w:tc>
              <w:tc>
                <w:tcPr>
                  <w:tcW w:w="1056" w:type="dxa"/>
                  <w:vAlign w:val="center"/>
                </w:tcPr>
                <w:p w14:paraId="1314A9B1">
                  <w:pPr>
                    <w:widowControl/>
                    <w:jc w:val="center"/>
                    <w:textAlignment w:val="center"/>
                    <w:rPr>
                      <w:color w:val="auto"/>
                      <w:kern w:val="0"/>
                      <w:sz w:val="18"/>
                      <w:szCs w:val="18"/>
                    </w:rPr>
                  </w:pPr>
                </w:p>
              </w:tc>
              <w:tc>
                <w:tcPr>
                  <w:tcW w:w="2311" w:type="dxa"/>
                  <w:shd w:val="clear" w:color="auto" w:fill="auto"/>
                  <w:vAlign w:val="center"/>
                </w:tcPr>
                <w:p w14:paraId="1ABEA4D9">
                  <w:pPr>
                    <w:widowControl/>
                    <w:jc w:val="center"/>
                    <w:textAlignment w:val="center"/>
                    <w:rPr>
                      <w:color w:val="auto"/>
                      <w:kern w:val="0"/>
                      <w:sz w:val="18"/>
                      <w:szCs w:val="18"/>
                    </w:rPr>
                  </w:pPr>
                </w:p>
              </w:tc>
              <w:tc>
                <w:tcPr>
                  <w:tcW w:w="1916" w:type="dxa"/>
                  <w:shd w:val="clear" w:color="auto" w:fill="auto"/>
                  <w:vAlign w:val="center"/>
                </w:tcPr>
                <w:p w14:paraId="7E6AE918">
                  <w:pPr>
                    <w:widowControl/>
                    <w:jc w:val="center"/>
                    <w:textAlignment w:val="center"/>
                    <w:rPr>
                      <w:color w:val="auto"/>
                      <w:kern w:val="0"/>
                      <w:sz w:val="18"/>
                      <w:szCs w:val="18"/>
                    </w:rPr>
                  </w:pPr>
                </w:p>
              </w:tc>
              <w:tc>
                <w:tcPr>
                  <w:tcW w:w="1916" w:type="dxa"/>
                  <w:shd w:val="clear" w:color="auto" w:fill="auto"/>
                  <w:vAlign w:val="center"/>
                </w:tcPr>
                <w:p w14:paraId="4E78A343">
                  <w:pPr>
                    <w:widowControl/>
                    <w:jc w:val="center"/>
                    <w:textAlignment w:val="center"/>
                    <w:rPr>
                      <w:color w:val="auto"/>
                      <w:kern w:val="0"/>
                      <w:sz w:val="18"/>
                      <w:szCs w:val="18"/>
                    </w:rPr>
                  </w:pPr>
                </w:p>
              </w:tc>
            </w:tr>
            <w:tr w14:paraId="177DFC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12" w:type="dxa"/>
                  <w:shd w:val="clear" w:color="auto" w:fill="auto"/>
                  <w:vAlign w:val="center"/>
                </w:tcPr>
                <w:p w14:paraId="251A250E">
                  <w:pPr>
                    <w:widowControl/>
                    <w:jc w:val="center"/>
                    <w:rPr>
                      <w:color w:val="auto"/>
                      <w:kern w:val="0"/>
                      <w:sz w:val="18"/>
                      <w:szCs w:val="18"/>
                    </w:rPr>
                  </w:pPr>
                </w:p>
              </w:tc>
              <w:tc>
                <w:tcPr>
                  <w:tcW w:w="1056" w:type="dxa"/>
                  <w:vAlign w:val="center"/>
                </w:tcPr>
                <w:p w14:paraId="770C42A7">
                  <w:pPr>
                    <w:widowControl/>
                    <w:jc w:val="center"/>
                    <w:textAlignment w:val="center"/>
                    <w:rPr>
                      <w:color w:val="auto"/>
                      <w:kern w:val="0"/>
                      <w:sz w:val="18"/>
                      <w:szCs w:val="18"/>
                    </w:rPr>
                  </w:pPr>
                </w:p>
              </w:tc>
              <w:tc>
                <w:tcPr>
                  <w:tcW w:w="2311" w:type="dxa"/>
                  <w:shd w:val="clear" w:color="auto" w:fill="auto"/>
                  <w:vAlign w:val="center"/>
                </w:tcPr>
                <w:p w14:paraId="2C660631">
                  <w:pPr>
                    <w:widowControl/>
                    <w:jc w:val="center"/>
                    <w:textAlignment w:val="center"/>
                    <w:rPr>
                      <w:color w:val="auto"/>
                      <w:kern w:val="0"/>
                      <w:sz w:val="18"/>
                      <w:szCs w:val="18"/>
                    </w:rPr>
                  </w:pPr>
                </w:p>
              </w:tc>
              <w:tc>
                <w:tcPr>
                  <w:tcW w:w="1916" w:type="dxa"/>
                  <w:shd w:val="clear" w:color="auto" w:fill="auto"/>
                  <w:vAlign w:val="center"/>
                </w:tcPr>
                <w:p w14:paraId="41569A31">
                  <w:pPr>
                    <w:widowControl/>
                    <w:jc w:val="center"/>
                    <w:textAlignment w:val="center"/>
                    <w:rPr>
                      <w:color w:val="auto"/>
                      <w:kern w:val="0"/>
                      <w:sz w:val="18"/>
                      <w:szCs w:val="18"/>
                    </w:rPr>
                  </w:pPr>
                </w:p>
              </w:tc>
              <w:tc>
                <w:tcPr>
                  <w:tcW w:w="1916" w:type="dxa"/>
                  <w:shd w:val="clear" w:color="auto" w:fill="auto"/>
                  <w:vAlign w:val="center"/>
                </w:tcPr>
                <w:p w14:paraId="610853A6">
                  <w:pPr>
                    <w:widowControl/>
                    <w:jc w:val="center"/>
                    <w:textAlignment w:val="center"/>
                    <w:rPr>
                      <w:color w:val="auto"/>
                      <w:kern w:val="0"/>
                      <w:sz w:val="18"/>
                      <w:szCs w:val="18"/>
                    </w:rPr>
                  </w:pPr>
                </w:p>
              </w:tc>
            </w:tr>
            <w:tr w14:paraId="66F5AA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12" w:type="dxa"/>
                  <w:shd w:val="clear" w:color="auto" w:fill="auto"/>
                  <w:vAlign w:val="center"/>
                </w:tcPr>
                <w:p w14:paraId="575D8A22">
                  <w:pPr>
                    <w:widowControl/>
                    <w:jc w:val="center"/>
                    <w:rPr>
                      <w:color w:val="auto"/>
                      <w:kern w:val="0"/>
                      <w:sz w:val="18"/>
                      <w:szCs w:val="18"/>
                    </w:rPr>
                  </w:pPr>
                </w:p>
              </w:tc>
              <w:tc>
                <w:tcPr>
                  <w:tcW w:w="1056" w:type="dxa"/>
                  <w:vAlign w:val="center"/>
                </w:tcPr>
                <w:p w14:paraId="3A89195C">
                  <w:pPr>
                    <w:widowControl/>
                    <w:jc w:val="center"/>
                    <w:textAlignment w:val="center"/>
                    <w:rPr>
                      <w:color w:val="auto"/>
                      <w:kern w:val="0"/>
                      <w:sz w:val="18"/>
                      <w:szCs w:val="18"/>
                    </w:rPr>
                  </w:pPr>
                </w:p>
              </w:tc>
              <w:tc>
                <w:tcPr>
                  <w:tcW w:w="2311" w:type="dxa"/>
                  <w:shd w:val="clear" w:color="auto" w:fill="auto"/>
                  <w:vAlign w:val="center"/>
                </w:tcPr>
                <w:p w14:paraId="389EC48D">
                  <w:pPr>
                    <w:widowControl/>
                    <w:jc w:val="center"/>
                    <w:textAlignment w:val="center"/>
                    <w:rPr>
                      <w:color w:val="auto"/>
                      <w:kern w:val="0"/>
                      <w:sz w:val="18"/>
                      <w:szCs w:val="18"/>
                    </w:rPr>
                  </w:pPr>
                </w:p>
              </w:tc>
              <w:tc>
                <w:tcPr>
                  <w:tcW w:w="1916" w:type="dxa"/>
                  <w:shd w:val="clear" w:color="auto" w:fill="auto"/>
                  <w:vAlign w:val="center"/>
                </w:tcPr>
                <w:p w14:paraId="13D7FF79">
                  <w:pPr>
                    <w:widowControl/>
                    <w:jc w:val="center"/>
                    <w:textAlignment w:val="center"/>
                    <w:rPr>
                      <w:color w:val="auto"/>
                      <w:kern w:val="0"/>
                      <w:sz w:val="18"/>
                      <w:szCs w:val="18"/>
                    </w:rPr>
                  </w:pPr>
                </w:p>
              </w:tc>
              <w:tc>
                <w:tcPr>
                  <w:tcW w:w="1916" w:type="dxa"/>
                  <w:shd w:val="clear" w:color="auto" w:fill="auto"/>
                  <w:vAlign w:val="center"/>
                </w:tcPr>
                <w:p w14:paraId="11578E2A">
                  <w:pPr>
                    <w:widowControl/>
                    <w:jc w:val="center"/>
                    <w:textAlignment w:val="center"/>
                    <w:rPr>
                      <w:color w:val="auto"/>
                      <w:kern w:val="0"/>
                      <w:sz w:val="18"/>
                      <w:szCs w:val="18"/>
                    </w:rPr>
                  </w:pPr>
                </w:p>
              </w:tc>
            </w:tr>
            <w:tr w14:paraId="2B9DCC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12" w:type="dxa"/>
                  <w:shd w:val="clear" w:color="auto" w:fill="auto"/>
                  <w:vAlign w:val="center"/>
                </w:tcPr>
                <w:p w14:paraId="79AA9BAF">
                  <w:pPr>
                    <w:widowControl/>
                    <w:jc w:val="center"/>
                    <w:rPr>
                      <w:color w:val="auto"/>
                      <w:kern w:val="0"/>
                      <w:sz w:val="18"/>
                      <w:szCs w:val="18"/>
                    </w:rPr>
                  </w:pPr>
                </w:p>
              </w:tc>
              <w:tc>
                <w:tcPr>
                  <w:tcW w:w="1056" w:type="dxa"/>
                  <w:vAlign w:val="center"/>
                </w:tcPr>
                <w:p w14:paraId="2123901F">
                  <w:pPr>
                    <w:widowControl/>
                    <w:jc w:val="center"/>
                    <w:textAlignment w:val="center"/>
                    <w:rPr>
                      <w:color w:val="auto"/>
                      <w:kern w:val="0"/>
                      <w:sz w:val="18"/>
                      <w:szCs w:val="18"/>
                    </w:rPr>
                  </w:pPr>
                </w:p>
              </w:tc>
              <w:tc>
                <w:tcPr>
                  <w:tcW w:w="2311" w:type="dxa"/>
                  <w:shd w:val="clear" w:color="auto" w:fill="auto"/>
                  <w:vAlign w:val="center"/>
                </w:tcPr>
                <w:p w14:paraId="6C5CBF5D">
                  <w:pPr>
                    <w:widowControl/>
                    <w:jc w:val="center"/>
                    <w:textAlignment w:val="center"/>
                    <w:rPr>
                      <w:color w:val="auto"/>
                      <w:kern w:val="0"/>
                      <w:sz w:val="18"/>
                      <w:szCs w:val="18"/>
                    </w:rPr>
                  </w:pPr>
                </w:p>
              </w:tc>
              <w:tc>
                <w:tcPr>
                  <w:tcW w:w="1916" w:type="dxa"/>
                  <w:shd w:val="clear" w:color="auto" w:fill="auto"/>
                  <w:vAlign w:val="center"/>
                </w:tcPr>
                <w:p w14:paraId="262146E5">
                  <w:pPr>
                    <w:widowControl/>
                    <w:jc w:val="center"/>
                    <w:textAlignment w:val="center"/>
                    <w:rPr>
                      <w:color w:val="auto"/>
                      <w:kern w:val="0"/>
                      <w:sz w:val="18"/>
                      <w:szCs w:val="18"/>
                    </w:rPr>
                  </w:pPr>
                </w:p>
              </w:tc>
              <w:tc>
                <w:tcPr>
                  <w:tcW w:w="1916" w:type="dxa"/>
                  <w:shd w:val="clear" w:color="auto" w:fill="auto"/>
                  <w:vAlign w:val="center"/>
                </w:tcPr>
                <w:p w14:paraId="003C7D41">
                  <w:pPr>
                    <w:widowControl/>
                    <w:jc w:val="center"/>
                    <w:textAlignment w:val="center"/>
                    <w:rPr>
                      <w:color w:val="auto"/>
                      <w:kern w:val="0"/>
                      <w:sz w:val="18"/>
                      <w:szCs w:val="18"/>
                    </w:rPr>
                  </w:pPr>
                </w:p>
              </w:tc>
            </w:tr>
            <w:tr w14:paraId="063899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12" w:type="dxa"/>
                  <w:shd w:val="clear" w:color="auto" w:fill="auto"/>
                  <w:vAlign w:val="center"/>
                </w:tcPr>
                <w:p w14:paraId="5FBC2D6F">
                  <w:pPr>
                    <w:widowControl/>
                    <w:jc w:val="center"/>
                    <w:rPr>
                      <w:color w:val="auto"/>
                      <w:kern w:val="0"/>
                      <w:sz w:val="18"/>
                      <w:szCs w:val="18"/>
                    </w:rPr>
                  </w:pPr>
                </w:p>
              </w:tc>
              <w:tc>
                <w:tcPr>
                  <w:tcW w:w="1056" w:type="dxa"/>
                  <w:vAlign w:val="center"/>
                </w:tcPr>
                <w:p w14:paraId="5127F41C">
                  <w:pPr>
                    <w:widowControl/>
                    <w:jc w:val="center"/>
                    <w:textAlignment w:val="center"/>
                    <w:rPr>
                      <w:color w:val="auto"/>
                      <w:kern w:val="0"/>
                      <w:sz w:val="18"/>
                      <w:szCs w:val="18"/>
                    </w:rPr>
                  </w:pPr>
                </w:p>
              </w:tc>
              <w:tc>
                <w:tcPr>
                  <w:tcW w:w="2311" w:type="dxa"/>
                  <w:shd w:val="clear" w:color="auto" w:fill="auto"/>
                  <w:vAlign w:val="center"/>
                </w:tcPr>
                <w:p w14:paraId="04CCA886">
                  <w:pPr>
                    <w:widowControl/>
                    <w:jc w:val="center"/>
                    <w:textAlignment w:val="center"/>
                    <w:rPr>
                      <w:color w:val="auto"/>
                      <w:kern w:val="0"/>
                      <w:sz w:val="18"/>
                      <w:szCs w:val="18"/>
                    </w:rPr>
                  </w:pPr>
                </w:p>
              </w:tc>
              <w:tc>
                <w:tcPr>
                  <w:tcW w:w="1916" w:type="dxa"/>
                  <w:shd w:val="clear" w:color="auto" w:fill="auto"/>
                  <w:vAlign w:val="center"/>
                </w:tcPr>
                <w:p w14:paraId="2F60F67D">
                  <w:pPr>
                    <w:widowControl/>
                    <w:jc w:val="center"/>
                    <w:textAlignment w:val="center"/>
                    <w:rPr>
                      <w:color w:val="auto"/>
                      <w:kern w:val="0"/>
                      <w:sz w:val="18"/>
                      <w:szCs w:val="18"/>
                    </w:rPr>
                  </w:pPr>
                </w:p>
              </w:tc>
              <w:tc>
                <w:tcPr>
                  <w:tcW w:w="1916" w:type="dxa"/>
                  <w:shd w:val="clear" w:color="auto" w:fill="auto"/>
                  <w:vAlign w:val="center"/>
                </w:tcPr>
                <w:p w14:paraId="3A69C1B2">
                  <w:pPr>
                    <w:widowControl/>
                    <w:jc w:val="center"/>
                    <w:textAlignment w:val="center"/>
                    <w:rPr>
                      <w:color w:val="auto"/>
                      <w:kern w:val="0"/>
                      <w:sz w:val="18"/>
                      <w:szCs w:val="18"/>
                    </w:rPr>
                  </w:pPr>
                </w:p>
              </w:tc>
            </w:tr>
            <w:tr w14:paraId="136BFE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12" w:type="dxa"/>
                  <w:shd w:val="clear" w:color="auto" w:fill="auto"/>
                  <w:vAlign w:val="center"/>
                </w:tcPr>
                <w:p w14:paraId="4458AF62">
                  <w:pPr>
                    <w:widowControl/>
                    <w:jc w:val="center"/>
                    <w:rPr>
                      <w:color w:val="auto"/>
                      <w:kern w:val="0"/>
                      <w:sz w:val="18"/>
                      <w:szCs w:val="18"/>
                    </w:rPr>
                  </w:pPr>
                </w:p>
              </w:tc>
              <w:tc>
                <w:tcPr>
                  <w:tcW w:w="1056" w:type="dxa"/>
                  <w:vAlign w:val="center"/>
                </w:tcPr>
                <w:p w14:paraId="194D1540">
                  <w:pPr>
                    <w:widowControl/>
                    <w:jc w:val="center"/>
                    <w:textAlignment w:val="center"/>
                    <w:rPr>
                      <w:color w:val="auto"/>
                      <w:kern w:val="0"/>
                      <w:sz w:val="18"/>
                      <w:szCs w:val="18"/>
                    </w:rPr>
                  </w:pPr>
                </w:p>
              </w:tc>
              <w:tc>
                <w:tcPr>
                  <w:tcW w:w="2311" w:type="dxa"/>
                  <w:shd w:val="clear" w:color="auto" w:fill="auto"/>
                  <w:vAlign w:val="center"/>
                </w:tcPr>
                <w:p w14:paraId="3D34F923">
                  <w:pPr>
                    <w:widowControl/>
                    <w:jc w:val="center"/>
                    <w:textAlignment w:val="center"/>
                    <w:rPr>
                      <w:color w:val="auto"/>
                      <w:kern w:val="0"/>
                      <w:sz w:val="18"/>
                      <w:szCs w:val="18"/>
                    </w:rPr>
                  </w:pPr>
                </w:p>
              </w:tc>
              <w:tc>
                <w:tcPr>
                  <w:tcW w:w="1916" w:type="dxa"/>
                  <w:shd w:val="clear" w:color="auto" w:fill="auto"/>
                  <w:vAlign w:val="center"/>
                </w:tcPr>
                <w:p w14:paraId="3CDD1875">
                  <w:pPr>
                    <w:widowControl/>
                    <w:jc w:val="center"/>
                    <w:textAlignment w:val="center"/>
                    <w:rPr>
                      <w:color w:val="auto"/>
                      <w:kern w:val="0"/>
                      <w:sz w:val="18"/>
                      <w:szCs w:val="18"/>
                    </w:rPr>
                  </w:pPr>
                </w:p>
              </w:tc>
              <w:tc>
                <w:tcPr>
                  <w:tcW w:w="1916" w:type="dxa"/>
                  <w:shd w:val="clear" w:color="auto" w:fill="auto"/>
                  <w:vAlign w:val="center"/>
                </w:tcPr>
                <w:p w14:paraId="34469918">
                  <w:pPr>
                    <w:widowControl/>
                    <w:jc w:val="center"/>
                    <w:textAlignment w:val="center"/>
                    <w:rPr>
                      <w:color w:val="auto"/>
                      <w:kern w:val="0"/>
                      <w:sz w:val="18"/>
                      <w:szCs w:val="18"/>
                    </w:rPr>
                  </w:pPr>
                </w:p>
              </w:tc>
            </w:tr>
            <w:tr w14:paraId="6619D7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12" w:type="dxa"/>
                  <w:shd w:val="clear" w:color="auto" w:fill="auto"/>
                  <w:vAlign w:val="center"/>
                </w:tcPr>
                <w:p w14:paraId="31093A88">
                  <w:pPr>
                    <w:widowControl/>
                    <w:jc w:val="center"/>
                    <w:rPr>
                      <w:color w:val="auto"/>
                      <w:kern w:val="0"/>
                      <w:sz w:val="18"/>
                      <w:szCs w:val="18"/>
                    </w:rPr>
                  </w:pPr>
                </w:p>
              </w:tc>
              <w:tc>
                <w:tcPr>
                  <w:tcW w:w="1056" w:type="dxa"/>
                  <w:vAlign w:val="center"/>
                </w:tcPr>
                <w:p w14:paraId="4A172E99">
                  <w:pPr>
                    <w:widowControl/>
                    <w:jc w:val="center"/>
                    <w:textAlignment w:val="center"/>
                    <w:rPr>
                      <w:color w:val="auto"/>
                      <w:kern w:val="0"/>
                      <w:sz w:val="18"/>
                      <w:szCs w:val="18"/>
                    </w:rPr>
                  </w:pPr>
                </w:p>
              </w:tc>
              <w:tc>
                <w:tcPr>
                  <w:tcW w:w="2311" w:type="dxa"/>
                  <w:shd w:val="clear" w:color="auto" w:fill="auto"/>
                  <w:vAlign w:val="center"/>
                </w:tcPr>
                <w:p w14:paraId="76639073">
                  <w:pPr>
                    <w:widowControl/>
                    <w:jc w:val="center"/>
                    <w:textAlignment w:val="center"/>
                    <w:rPr>
                      <w:color w:val="auto"/>
                      <w:kern w:val="0"/>
                      <w:sz w:val="18"/>
                      <w:szCs w:val="18"/>
                    </w:rPr>
                  </w:pPr>
                </w:p>
              </w:tc>
              <w:tc>
                <w:tcPr>
                  <w:tcW w:w="1916" w:type="dxa"/>
                  <w:shd w:val="clear" w:color="auto" w:fill="auto"/>
                  <w:vAlign w:val="center"/>
                </w:tcPr>
                <w:p w14:paraId="5975EC71">
                  <w:pPr>
                    <w:widowControl/>
                    <w:jc w:val="center"/>
                    <w:textAlignment w:val="center"/>
                    <w:rPr>
                      <w:color w:val="auto"/>
                      <w:kern w:val="0"/>
                      <w:sz w:val="18"/>
                      <w:szCs w:val="18"/>
                    </w:rPr>
                  </w:pPr>
                </w:p>
              </w:tc>
              <w:tc>
                <w:tcPr>
                  <w:tcW w:w="1916" w:type="dxa"/>
                  <w:shd w:val="clear" w:color="auto" w:fill="auto"/>
                  <w:vAlign w:val="center"/>
                </w:tcPr>
                <w:p w14:paraId="15D6A237">
                  <w:pPr>
                    <w:widowControl/>
                    <w:jc w:val="center"/>
                    <w:textAlignment w:val="center"/>
                    <w:rPr>
                      <w:color w:val="auto"/>
                      <w:kern w:val="0"/>
                      <w:sz w:val="18"/>
                      <w:szCs w:val="18"/>
                    </w:rPr>
                  </w:pPr>
                </w:p>
              </w:tc>
            </w:tr>
            <w:tr w14:paraId="666A4E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12" w:type="dxa"/>
                  <w:shd w:val="clear" w:color="auto" w:fill="auto"/>
                  <w:vAlign w:val="center"/>
                </w:tcPr>
                <w:p w14:paraId="247DE95C">
                  <w:pPr>
                    <w:widowControl/>
                    <w:jc w:val="center"/>
                    <w:rPr>
                      <w:color w:val="auto"/>
                      <w:kern w:val="0"/>
                      <w:sz w:val="18"/>
                      <w:szCs w:val="18"/>
                    </w:rPr>
                  </w:pPr>
                </w:p>
              </w:tc>
              <w:tc>
                <w:tcPr>
                  <w:tcW w:w="1056" w:type="dxa"/>
                  <w:vAlign w:val="center"/>
                </w:tcPr>
                <w:p w14:paraId="1A1DBB91">
                  <w:pPr>
                    <w:widowControl/>
                    <w:jc w:val="center"/>
                    <w:rPr>
                      <w:color w:val="auto"/>
                      <w:kern w:val="0"/>
                      <w:sz w:val="18"/>
                      <w:szCs w:val="18"/>
                      <w:lang w:bidi="ar"/>
                    </w:rPr>
                  </w:pPr>
                </w:p>
              </w:tc>
              <w:tc>
                <w:tcPr>
                  <w:tcW w:w="2311" w:type="dxa"/>
                  <w:shd w:val="clear" w:color="auto" w:fill="auto"/>
                  <w:vAlign w:val="center"/>
                </w:tcPr>
                <w:p w14:paraId="6EACB080">
                  <w:pPr>
                    <w:widowControl/>
                    <w:jc w:val="center"/>
                    <w:rPr>
                      <w:color w:val="auto"/>
                      <w:kern w:val="0"/>
                      <w:sz w:val="18"/>
                      <w:szCs w:val="18"/>
                      <w:lang w:bidi="ar"/>
                    </w:rPr>
                  </w:pPr>
                </w:p>
              </w:tc>
              <w:tc>
                <w:tcPr>
                  <w:tcW w:w="1916" w:type="dxa"/>
                  <w:shd w:val="clear" w:color="auto" w:fill="auto"/>
                  <w:vAlign w:val="center"/>
                </w:tcPr>
                <w:p w14:paraId="3C243E31">
                  <w:pPr>
                    <w:widowControl/>
                    <w:jc w:val="center"/>
                    <w:rPr>
                      <w:color w:val="auto"/>
                      <w:kern w:val="0"/>
                      <w:sz w:val="18"/>
                      <w:szCs w:val="18"/>
                      <w:lang w:bidi="ar"/>
                    </w:rPr>
                  </w:pPr>
                </w:p>
              </w:tc>
              <w:tc>
                <w:tcPr>
                  <w:tcW w:w="1916" w:type="dxa"/>
                  <w:shd w:val="clear" w:color="auto" w:fill="auto"/>
                  <w:vAlign w:val="center"/>
                </w:tcPr>
                <w:p w14:paraId="631F55AA">
                  <w:pPr>
                    <w:widowControl/>
                    <w:jc w:val="center"/>
                    <w:textAlignment w:val="center"/>
                    <w:rPr>
                      <w:color w:val="auto"/>
                      <w:kern w:val="0"/>
                      <w:sz w:val="18"/>
                      <w:szCs w:val="18"/>
                      <w:lang w:bidi="ar"/>
                    </w:rPr>
                  </w:pPr>
                </w:p>
              </w:tc>
            </w:tr>
            <w:tr w14:paraId="48E3D5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12" w:type="dxa"/>
                  <w:shd w:val="clear" w:color="auto" w:fill="auto"/>
                  <w:vAlign w:val="center"/>
                </w:tcPr>
                <w:p w14:paraId="5006013B">
                  <w:pPr>
                    <w:widowControl/>
                    <w:jc w:val="center"/>
                    <w:rPr>
                      <w:color w:val="auto"/>
                      <w:kern w:val="0"/>
                      <w:sz w:val="18"/>
                      <w:szCs w:val="18"/>
                    </w:rPr>
                  </w:pPr>
                </w:p>
              </w:tc>
              <w:tc>
                <w:tcPr>
                  <w:tcW w:w="1056" w:type="dxa"/>
                  <w:vAlign w:val="center"/>
                </w:tcPr>
                <w:p w14:paraId="0ED71C30">
                  <w:pPr>
                    <w:widowControl/>
                    <w:jc w:val="center"/>
                    <w:rPr>
                      <w:color w:val="auto"/>
                      <w:kern w:val="0"/>
                      <w:sz w:val="18"/>
                      <w:szCs w:val="18"/>
                      <w:lang w:bidi="ar"/>
                    </w:rPr>
                  </w:pPr>
                </w:p>
              </w:tc>
              <w:tc>
                <w:tcPr>
                  <w:tcW w:w="2311" w:type="dxa"/>
                  <w:shd w:val="clear" w:color="auto" w:fill="auto"/>
                  <w:vAlign w:val="center"/>
                </w:tcPr>
                <w:p w14:paraId="35376F0A">
                  <w:pPr>
                    <w:widowControl/>
                    <w:jc w:val="center"/>
                    <w:rPr>
                      <w:color w:val="auto"/>
                      <w:kern w:val="0"/>
                      <w:sz w:val="18"/>
                      <w:szCs w:val="18"/>
                      <w:lang w:bidi="ar"/>
                    </w:rPr>
                  </w:pPr>
                </w:p>
              </w:tc>
              <w:tc>
                <w:tcPr>
                  <w:tcW w:w="1916" w:type="dxa"/>
                  <w:shd w:val="clear" w:color="auto" w:fill="auto"/>
                  <w:vAlign w:val="center"/>
                </w:tcPr>
                <w:p w14:paraId="4F5BF03B">
                  <w:pPr>
                    <w:widowControl/>
                    <w:jc w:val="center"/>
                    <w:rPr>
                      <w:color w:val="auto"/>
                      <w:kern w:val="0"/>
                      <w:sz w:val="18"/>
                      <w:szCs w:val="18"/>
                      <w:lang w:bidi="ar"/>
                    </w:rPr>
                  </w:pPr>
                </w:p>
              </w:tc>
              <w:tc>
                <w:tcPr>
                  <w:tcW w:w="1916" w:type="dxa"/>
                  <w:shd w:val="clear" w:color="auto" w:fill="auto"/>
                  <w:vAlign w:val="center"/>
                </w:tcPr>
                <w:p w14:paraId="1E3A1537">
                  <w:pPr>
                    <w:widowControl/>
                    <w:jc w:val="center"/>
                    <w:textAlignment w:val="center"/>
                    <w:rPr>
                      <w:color w:val="auto"/>
                      <w:kern w:val="0"/>
                      <w:sz w:val="18"/>
                      <w:szCs w:val="18"/>
                      <w:lang w:bidi="ar"/>
                    </w:rPr>
                  </w:pPr>
                </w:p>
              </w:tc>
            </w:tr>
            <w:tr w14:paraId="523125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12" w:type="dxa"/>
                  <w:shd w:val="clear" w:color="auto" w:fill="auto"/>
                  <w:vAlign w:val="center"/>
                </w:tcPr>
                <w:p w14:paraId="1FD8A56E">
                  <w:pPr>
                    <w:widowControl/>
                    <w:jc w:val="center"/>
                    <w:rPr>
                      <w:rFonts w:hint="eastAsia"/>
                      <w:color w:val="auto"/>
                      <w:kern w:val="0"/>
                      <w:sz w:val="18"/>
                      <w:szCs w:val="18"/>
                    </w:rPr>
                  </w:pPr>
                </w:p>
              </w:tc>
              <w:tc>
                <w:tcPr>
                  <w:tcW w:w="1056" w:type="dxa"/>
                  <w:vAlign w:val="center"/>
                </w:tcPr>
                <w:p w14:paraId="546A2B87">
                  <w:pPr>
                    <w:widowControl/>
                    <w:jc w:val="center"/>
                    <w:rPr>
                      <w:rFonts w:hint="eastAsia"/>
                      <w:color w:val="auto"/>
                      <w:kern w:val="0"/>
                      <w:sz w:val="18"/>
                      <w:szCs w:val="18"/>
                    </w:rPr>
                  </w:pPr>
                </w:p>
              </w:tc>
              <w:tc>
                <w:tcPr>
                  <w:tcW w:w="2311" w:type="dxa"/>
                  <w:shd w:val="clear" w:color="auto" w:fill="auto"/>
                  <w:vAlign w:val="center"/>
                </w:tcPr>
                <w:p w14:paraId="13A51450">
                  <w:pPr>
                    <w:widowControl/>
                    <w:jc w:val="center"/>
                    <w:rPr>
                      <w:rFonts w:hint="eastAsia"/>
                      <w:color w:val="auto"/>
                      <w:kern w:val="0"/>
                      <w:sz w:val="18"/>
                      <w:szCs w:val="18"/>
                    </w:rPr>
                  </w:pPr>
                </w:p>
              </w:tc>
              <w:tc>
                <w:tcPr>
                  <w:tcW w:w="1916" w:type="dxa"/>
                  <w:shd w:val="clear" w:color="auto" w:fill="auto"/>
                  <w:vAlign w:val="center"/>
                </w:tcPr>
                <w:p w14:paraId="41EEC12C">
                  <w:pPr>
                    <w:widowControl/>
                    <w:jc w:val="center"/>
                    <w:rPr>
                      <w:rFonts w:hint="eastAsia"/>
                      <w:color w:val="auto"/>
                      <w:kern w:val="0"/>
                      <w:sz w:val="18"/>
                      <w:szCs w:val="18"/>
                    </w:rPr>
                  </w:pPr>
                </w:p>
              </w:tc>
              <w:tc>
                <w:tcPr>
                  <w:tcW w:w="1916" w:type="dxa"/>
                  <w:shd w:val="clear" w:color="auto" w:fill="auto"/>
                  <w:vAlign w:val="center"/>
                </w:tcPr>
                <w:p w14:paraId="58A98C60">
                  <w:pPr>
                    <w:widowControl/>
                    <w:jc w:val="center"/>
                    <w:rPr>
                      <w:rFonts w:hint="eastAsia"/>
                      <w:color w:val="auto"/>
                      <w:kern w:val="0"/>
                      <w:sz w:val="18"/>
                      <w:szCs w:val="18"/>
                    </w:rPr>
                  </w:pPr>
                </w:p>
              </w:tc>
            </w:tr>
            <w:tr w14:paraId="1ECAF4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12" w:type="dxa"/>
                  <w:shd w:val="clear" w:color="auto" w:fill="auto"/>
                  <w:vAlign w:val="center"/>
                </w:tcPr>
                <w:p w14:paraId="033F65FF">
                  <w:pPr>
                    <w:widowControl/>
                    <w:jc w:val="center"/>
                    <w:rPr>
                      <w:rFonts w:hint="eastAsia"/>
                      <w:color w:val="auto"/>
                      <w:kern w:val="0"/>
                      <w:sz w:val="18"/>
                      <w:szCs w:val="18"/>
                    </w:rPr>
                  </w:pPr>
                </w:p>
              </w:tc>
              <w:tc>
                <w:tcPr>
                  <w:tcW w:w="1056" w:type="dxa"/>
                  <w:vAlign w:val="center"/>
                </w:tcPr>
                <w:p w14:paraId="43DF73C7">
                  <w:pPr>
                    <w:widowControl/>
                    <w:jc w:val="center"/>
                    <w:rPr>
                      <w:rFonts w:hint="eastAsia"/>
                      <w:color w:val="auto"/>
                      <w:kern w:val="0"/>
                      <w:sz w:val="18"/>
                      <w:szCs w:val="18"/>
                    </w:rPr>
                  </w:pPr>
                </w:p>
              </w:tc>
              <w:tc>
                <w:tcPr>
                  <w:tcW w:w="2311" w:type="dxa"/>
                  <w:shd w:val="clear" w:color="auto" w:fill="auto"/>
                  <w:vAlign w:val="center"/>
                </w:tcPr>
                <w:p w14:paraId="731B6B67">
                  <w:pPr>
                    <w:widowControl/>
                    <w:jc w:val="center"/>
                    <w:rPr>
                      <w:rFonts w:hint="eastAsia"/>
                      <w:color w:val="auto"/>
                      <w:kern w:val="0"/>
                      <w:sz w:val="18"/>
                      <w:szCs w:val="18"/>
                    </w:rPr>
                  </w:pPr>
                </w:p>
              </w:tc>
              <w:tc>
                <w:tcPr>
                  <w:tcW w:w="1916" w:type="dxa"/>
                  <w:shd w:val="clear" w:color="auto" w:fill="auto"/>
                  <w:vAlign w:val="center"/>
                </w:tcPr>
                <w:p w14:paraId="5F6247FD">
                  <w:pPr>
                    <w:widowControl/>
                    <w:jc w:val="center"/>
                    <w:rPr>
                      <w:rFonts w:hint="eastAsia"/>
                      <w:color w:val="auto"/>
                      <w:kern w:val="0"/>
                      <w:sz w:val="18"/>
                      <w:szCs w:val="18"/>
                    </w:rPr>
                  </w:pPr>
                </w:p>
              </w:tc>
              <w:tc>
                <w:tcPr>
                  <w:tcW w:w="1916" w:type="dxa"/>
                  <w:shd w:val="clear" w:color="auto" w:fill="auto"/>
                  <w:vAlign w:val="center"/>
                </w:tcPr>
                <w:p w14:paraId="2EE754A4">
                  <w:pPr>
                    <w:widowControl/>
                    <w:jc w:val="center"/>
                    <w:rPr>
                      <w:rFonts w:hint="eastAsia"/>
                      <w:color w:val="auto"/>
                      <w:kern w:val="0"/>
                      <w:sz w:val="18"/>
                      <w:szCs w:val="18"/>
                    </w:rPr>
                  </w:pPr>
                </w:p>
              </w:tc>
            </w:tr>
            <w:tr w14:paraId="11E97D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12" w:type="dxa"/>
                  <w:shd w:val="clear" w:color="auto" w:fill="auto"/>
                  <w:vAlign w:val="center"/>
                </w:tcPr>
                <w:p w14:paraId="23A4F441">
                  <w:pPr>
                    <w:widowControl/>
                    <w:jc w:val="center"/>
                    <w:rPr>
                      <w:rFonts w:hint="eastAsia"/>
                      <w:color w:val="auto"/>
                      <w:kern w:val="0"/>
                      <w:sz w:val="18"/>
                      <w:szCs w:val="18"/>
                    </w:rPr>
                  </w:pPr>
                </w:p>
              </w:tc>
              <w:tc>
                <w:tcPr>
                  <w:tcW w:w="1056" w:type="dxa"/>
                  <w:vAlign w:val="center"/>
                </w:tcPr>
                <w:p w14:paraId="6A294B4D">
                  <w:pPr>
                    <w:widowControl/>
                    <w:jc w:val="center"/>
                    <w:rPr>
                      <w:rFonts w:hint="eastAsia"/>
                      <w:color w:val="auto"/>
                      <w:kern w:val="0"/>
                      <w:sz w:val="18"/>
                      <w:szCs w:val="18"/>
                    </w:rPr>
                  </w:pPr>
                </w:p>
              </w:tc>
              <w:tc>
                <w:tcPr>
                  <w:tcW w:w="2311" w:type="dxa"/>
                  <w:shd w:val="clear" w:color="auto" w:fill="auto"/>
                  <w:vAlign w:val="center"/>
                </w:tcPr>
                <w:p w14:paraId="00348DD4">
                  <w:pPr>
                    <w:widowControl/>
                    <w:jc w:val="center"/>
                    <w:rPr>
                      <w:rFonts w:hint="eastAsia"/>
                      <w:color w:val="auto"/>
                      <w:kern w:val="0"/>
                      <w:sz w:val="18"/>
                      <w:szCs w:val="18"/>
                    </w:rPr>
                  </w:pPr>
                </w:p>
              </w:tc>
              <w:tc>
                <w:tcPr>
                  <w:tcW w:w="1916" w:type="dxa"/>
                  <w:shd w:val="clear" w:color="auto" w:fill="auto"/>
                  <w:vAlign w:val="center"/>
                </w:tcPr>
                <w:p w14:paraId="65F83115">
                  <w:pPr>
                    <w:widowControl/>
                    <w:jc w:val="center"/>
                    <w:rPr>
                      <w:rFonts w:hint="eastAsia"/>
                      <w:color w:val="auto"/>
                      <w:kern w:val="0"/>
                      <w:sz w:val="18"/>
                      <w:szCs w:val="18"/>
                    </w:rPr>
                  </w:pPr>
                </w:p>
              </w:tc>
              <w:tc>
                <w:tcPr>
                  <w:tcW w:w="1916" w:type="dxa"/>
                  <w:shd w:val="clear" w:color="auto" w:fill="auto"/>
                  <w:vAlign w:val="center"/>
                </w:tcPr>
                <w:p w14:paraId="5CF07391">
                  <w:pPr>
                    <w:widowControl/>
                    <w:jc w:val="center"/>
                    <w:rPr>
                      <w:rFonts w:hint="eastAsia"/>
                      <w:color w:val="auto"/>
                      <w:kern w:val="0"/>
                      <w:sz w:val="18"/>
                      <w:szCs w:val="18"/>
                    </w:rPr>
                  </w:pPr>
                </w:p>
              </w:tc>
            </w:tr>
          </w:tbl>
          <w:p w14:paraId="5BCFC770">
            <w:pPr>
              <w:adjustRightInd w:val="0"/>
              <w:snapToGrid w:val="0"/>
              <w:spacing w:line="500" w:lineRule="exact"/>
              <w:ind w:firstLine="422" w:firstLineChars="200"/>
              <w:jc w:val="left"/>
              <w:rPr>
                <w:b/>
                <w:bCs/>
                <w:color w:val="auto"/>
                <w:szCs w:val="21"/>
              </w:rPr>
            </w:pPr>
            <w:r>
              <w:rPr>
                <w:rFonts w:hint="eastAsia"/>
                <w:b/>
                <w:bCs/>
                <w:color w:val="auto"/>
                <w:szCs w:val="21"/>
              </w:rPr>
              <w:t>6</w:t>
            </w:r>
            <w:r>
              <w:rPr>
                <w:b/>
                <w:bCs/>
                <w:color w:val="auto"/>
                <w:szCs w:val="21"/>
              </w:rPr>
              <w:t>. 设备清单</w:t>
            </w:r>
          </w:p>
          <w:p w14:paraId="4D22F2FF">
            <w:pPr>
              <w:adjustRightInd w:val="0"/>
              <w:snapToGrid w:val="0"/>
              <w:spacing w:line="500" w:lineRule="exact"/>
              <w:ind w:firstLine="420" w:firstLineChars="200"/>
              <w:jc w:val="left"/>
              <w:rPr>
                <w:bCs/>
                <w:color w:val="auto"/>
                <w:szCs w:val="21"/>
              </w:rPr>
            </w:pPr>
            <w:r>
              <w:rPr>
                <w:rFonts w:hint="eastAsia"/>
                <w:bCs/>
                <w:color w:val="auto"/>
                <w:szCs w:val="21"/>
              </w:rPr>
              <w:t>本项目实验室</w:t>
            </w:r>
            <w:r>
              <w:rPr>
                <w:bCs/>
                <w:color w:val="auto"/>
                <w:szCs w:val="21"/>
              </w:rPr>
              <w:t>主要设备</w:t>
            </w:r>
            <w:r>
              <w:rPr>
                <w:rFonts w:hint="eastAsia"/>
                <w:bCs/>
                <w:color w:val="auto"/>
                <w:szCs w:val="21"/>
              </w:rPr>
              <w:t>设施从现有化验室搬迁</w:t>
            </w:r>
            <w:r>
              <w:rPr>
                <w:bCs/>
                <w:color w:val="auto"/>
                <w:szCs w:val="21"/>
              </w:rPr>
              <w:t>利旧</w:t>
            </w:r>
            <w:r>
              <w:rPr>
                <w:rFonts w:hint="eastAsia"/>
                <w:bCs/>
                <w:color w:val="auto"/>
                <w:szCs w:val="21"/>
              </w:rPr>
              <w:t>，新增部分设施。本项目实验室主要设施及设施参数见表</w:t>
            </w:r>
            <w:r>
              <w:rPr>
                <w:bCs/>
                <w:color w:val="auto"/>
                <w:szCs w:val="21"/>
              </w:rPr>
              <w:t>2-4</w:t>
            </w:r>
            <w:r>
              <w:rPr>
                <w:rFonts w:hint="eastAsia"/>
                <w:bCs/>
                <w:color w:val="auto"/>
                <w:szCs w:val="21"/>
              </w:rPr>
              <w:t>。</w:t>
            </w:r>
          </w:p>
          <w:p w14:paraId="3EBE0044">
            <w:pPr>
              <w:snapToGrid w:val="0"/>
              <w:spacing w:line="500" w:lineRule="exact"/>
              <w:jc w:val="center"/>
              <w:rPr>
                <w:b/>
                <w:color w:val="auto"/>
                <w:szCs w:val="21"/>
              </w:rPr>
            </w:pPr>
            <w:r>
              <w:rPr>
                <w:b/>
                <w:color w:val="auto"/>
                <w:szCs w:val="21"/>
              </w:rPr>
              <w:t>表2-</w:t>
            </w:r>
            <w:r>
              <w:rPr>
                <w:rFonts w:hint="eastAsia"/>
                <w:b/>
                <w:color w:val="auto"/>
                <w:szCs w:val="21"/>
              </w:rPr>
              <w:t>4</w:t>
            </w:r>
            <w:r>
              <w:rPr>
                <w:b/>
                <w:color w:val="auto"/>
                <w:szCs w:val="21"/>
              </w:rPr>
              <w:t xml:space="preserve">  </w:t>
            </w:r>
            <w:r>
              <w:rPr>
                <w:rFonts w:hint="eastAsia"/>
                <w:b/>
                <w:color w:val="auto"/>
                <w:szCs w:val="21"/>
              </w:rPr>
              <w:t>建设项目实验室主要设施</w:t>
            </w:r>
          </w:p>
          <w:tbl>
            <w:tblPr>
              <w:tblStyle w:val="21"/>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66"/>
              <w:gridCol w:w="2471"/>
              <w:gridCol w:w="2054"/>
              <w:gridCol w:w="1303"/>
              <w:gridCol w:w="1717"/>
            </w:tblGrid>
            <w:tr w14:paraId="374B98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6" w:type="pct"/>
                  <w:vAlign w:val="center"/>
                </w:tcPr>
                <w:p w14:paraId="26DA64D9">
                  <w:pPr>
                    <w:widowControl/>
                    <w:adjustRightInd w:val="0"/>
                    <w:snapToGrid w:val="0"/>
                    <w:jc w:val="center"/>
                    <w:rPr>
                      <w:b/>
                      <w:color w:val="auto"/>
                      <w:sz w:val="18"/>
                      <w:szCs w:val="18"/>
                    </w:rPr>
                  </w:pPr>
                  <w:bookmarkStart w:id="8" w:name="_Hlk151393180"/>
                  <w:r>
                    <w:rPr>
                      <w:b/>
                      <w:color w:val="auto"/>
                      <w:sz w:val="18"/>
                      <w:szCs w:val="18"/>
                    </w:rPr>
                    <w:t>序号</w:t>
                  </w:r>
                </w:p>
              </w:tc>
              <w:tc>
                <w:tcPr>
                  <w:tcW w:w="1504" w:type="pct"/>
                  <w:vAlign w:val="center"/>
                </w:tcPr>
                <w:p w14:paraId="51D0FF5D">
                  <w:pPr>
                    <w:widowControl/>
                    <w:adjustRightInd w:val="0"/>
                    <w:snapToGrid w:val="0"/>
                    <w:jc w:val="center"/>
                    <w:rPr>
                      <w:b/>
                      <w:color w:val="auto"/>
                      <w:sz w:val="18"/>
                      <w:szCs w:val="18"/>
                    </w:rPr>
                  </w:pPr>
                  <w:r>
                    <w:rPr>
                      <w:rFonts w:hint="eastAsia"/>
                      <w:b/>
                      <w:color w:val="auto"/>
                      <w:sz w:val="18"/>
                      <w:szCs w:val="18"/>
                    </w:rPr>
                    <w:t>设备名称</w:t>
                  </w:r>
                </w:p>
              </w:tc>
              <w:tc>
                <w:tcPr>
                  <w:tcW w:w="1250" w:type="pct"/>
                  <w:vAlign w:val="center"/>
                </w:tcPr>
                <w:p w14:paraId="38DD1921">
                  <w:pPr>
                    <w:widowControl/>
                    <w:adjustRightInd w:val="0"/>
                    <w:snapToGrid w:val="0"/>
                    <w:jc w:val="center"/>
                    <w:rPr>
                      <w:b/>
                      <w:color w:val="auto"/>
                      <w:sz w:val="18"/>
                      <w:szCs w:val="18"/>
                    </w:rPr>
                  </w:pPr>
                  <w:r>
                    <w:rPr>
                      <w:rFonts w:hint="eastAsia"/>
                      <w:b/>
                      <w:color w:val="auto"/>
                      <w:sz w:val="18"/>
                      <w:szCs w:val="18"/>
                    </w:rPr>
                    <w:t>规格型号</w:t>
                  </w:r>
                </w:p>
              </w:tc>
              <w:tc>
                <w:tcPr>
                  <w:tcW w:w="793" w:type="pct"/>
                  <w:vAlign w:val="center"/>
                </w:tcPr>
                <w:p w14:paraId="58A97B2B">
                  <w:pPr>
                    <w:widowControl/>
                    <w:adjustRightInd w:val="0"/>
                    <w:snapToGrid w:val="0"/>
                    <w:jc w:val="center"/>
                    <w:rPr>
                      <w:b/>
                      <w:color w:val="auto"/>
                      <w:sz w:val="18"/>
                      <w:szCs w:val="18"/>
                    </w:rPr>
                  </w:pPr>
                  <w:r>
                    <w:rPr>
                      <w:rFonts w:hint="eastAsia"/>
                      <w:b/>
                      <w:color w:val="auto"/>
                      <w:sz w:val="18"/>
                      <w:szCs w:val="18"/>
                    </w:rPr>
                    <w:t>数量（台）</w:t>
                  </w:r>
                </w:p>
              </w:tc>
              <w:tc>
                <w:tcPr>
                  <w:tcW w:w="1045" w:type="pct"/>
                  <w:vAlign w:val="center"/>
                </w:tcPr>
                <w:p w14:paraId="2BA8AB25">
                  <w:pPr>
                    <w:widowControl/>
                    <w:adjustRightInd w:val="0"/>
                    <w:snapToGrid w:val="0"/>
                    <w:jc w:val="center"/>
                    <w:rPr>
                      <w:b/>
                      <w:color w:val="auto"/>
                      <w:sz w:val="18"/>
                      <w:szCs w:val="18"/>
                    </w:rPr>
                  </w:pPr>
                  <w:r>
                    <w:rPr>
                      <w:rFonts w:hint="eastAsia"/>
                      <w:b/>
                      <w:color w:val="auto"/>
                      <w:sz w:val="18"/>
                      <w:szCs w:val="18"/>
                    </w:rPr>
                    <w:t>备注</w:t>
                  </w:r>
                </w:p>
              </w:tc>
            </w:tr>
            <w:tr w14:paraId="06C027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6" w:type="pct"/>
                  <w:vAlign w:val="center"/>
                </w:tcPr>
                <w:p w14:paraId="6F3433A4">
                  <w:pPr>
                    <w:jc w:val="center"/>
                    <w:rPr>
                      <w:bCs/>
                      <w:color w:val="auto"/>
                      <w:sz w:val="18"/>
                      <w:szCs w:val="18"/>
                    </w:rPr>
                  </w:pPr>
                  <w:bookmarkStart w:id="9" w:name="_Hlk240376305"/>
                  <w:r>
                    <w:rPr>
                      <w:bCs/>
                      <w:color w:val="auto"/>
                      <w:sz w:val="18"/>
                      <w:szCs w:val="18"/>
                    </w:rPr>
                    <w:t>1</w:t>
                  </w:r>
                </w:p>
              </w:tc>
              <w:tc>
                <w:tcPr>
                  <w:tcW w:w="1504" w:type="pct"/>
                  <w:vAlign w:val="center"/>
                </w:tcPr>
                <w:p w14:paraId="4A81F349">
                  <w:pPr>
                    <w:adjustRightInd w:val="0"/>
                    <w:snapToGrid w:val="0"/>
                    <w:jc w:val="center"/>
                    <w:rPr>
                      <w:color w:val="auto"/>
                      <w:sz w:val="18"/>
                      <w:szCs w:val="18"/>
                    </w:rPr>
                  </w:pPr>
                </w:p>
              </w:tc>
              <w:tc>
                <w:tcPr>
                  <w:tcW w:w="1250" w:type="pct"/>
                  <w:vAlign w:val="center"/>
                </w:tcPr>
                <w:p w14:paraId="7B6B8D88">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rPr>
                      <w:color w:val="auto"/>
                      <w:sz w:val="18"/>
                      <w:szCs w:val="18"/>
                    </w:rPr>
                  </w:pPr>
                </w:p>
              </w:tc>
              <w:tc>
                <w:tcPr>
                  <w:tcW w:w="793" w:type="pct"/>
                  <w:vAlign w:val="center"/>
                </w:tcPr>
                <w:p w14:paraId="53486AB7">
                  <w:pPr>
                    <w:adjustRightInd w:val="0"/>
                    <w:snapToGrid w:val="0"/>
                    <w:jc w:val="center"/>
                    <w:rPr>
                      <w:color w:val="auto"/>
                      <w:sz w:val="18"/>
                      <w:szCs w:val="18"/>
                    </w:rPr>
                  </w:pPr>
                </w:p>
              </w:tc>
              <w:tc>
                <w:tcPr>
                  <w:tcW w:w="1045" w:type="pct"/>
                  <w:vAlign w:val="center"/>
                </w:tcPr>
                <w:p w14:paraId="247523D5">
                  <w:pPr>
                    <w:adjustRightInd w:val="0"/>
                    <w:snapToGrid w:val="0"/>
                    <w:jc w:val="center"/>
                    <w:rPr>
                      <w:color w:val="auto"/>
                      <w:sz w:val="18"/>
                      <w:szCs w:val="18"/>
                    </w:rPr>
                  </w:pPr>
                </w:p>
              </w:tc>
            </w:tr>
            <w:tr w14:paraId="3EF44A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6" w:type="pct"/>
                  <w:vAlign w:val="center"/>
                </w:tcPr>
                <w:p w14:paraId="575A5BAF">
                  <w:pPr>
                    <w:jc w:val="center"/>
                    <w:rPr>
                      <w:bCs/>
                      <w:color w:val="auto"/>
                      <w:sz w:val="18"/>
                      <w:szCs w:val="18"/>
                    </w:rPr>
                  </w:pPr>
                  <w:r>
                    <w:rPr>
                      <w:bCs/>
                      <w:color w:val="auto"/>
                      <w:sz w:val="18"/>
                      <w:szCs w:val="18"/>
                    </w:rPr>
                    <w:t>2</w:t>
                  </w:r>
                </w:p>
              </w:tc>
              <w:tc>
                <w:tcPr>
                  <w:tcW w:w="1504" w:type="pct"/>
                  <w:vAlign w:val="center"/>
                </w:tcPr>
                <w:p w14:paraId="7821A7FA">
                  <w:pPr>
                    <w:adjustRightInd w:val="0"/>
                    <w:snapToGrid w:val="0"/>
                    <w:jc w:val="center"/>
                    <w:rPr>
                      <w:color w:val="auto"/>
                      <w:sz w:val="18"/>
                      <w:szCs w:val="18"/>
                    </w:rPr>
                  </w:pPr>
                </w:p>
              </w:tc>
              <w:tc>
                <w:tcPr>
                  <w:tcW w:w="1250" w:type="pct"/>
                  <w:vAlign w:val="center"/>
                </w:tcPr>
                <w:p w14:paraId="53E144D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rPr>
                      <w:color w:val="auto"/>
                      <w:sz w:val="18"/>
                      <w:szCs w:val="18"/>
                    </w:rPr>
                  </w:pPr>
                </w:p>
              </w:tc>
              <w:tc>
                <w:tcPr>
                  <w:tcW w:w="793" w:type="pct"/>
                  <w:vAlign w:val="center"/>
                </w:tcPr>
                <w:p w14:paraId="62634FB6">
                  <w:pPr>
                    <w:adjustRightInd w:val="0"/>
                    <w:snapToGrid w:val="0"/>
                    <w:jc w:val="center"/>
                    <w:rPr>
                      <w:color w:val="auto"/>
                      <w:sz w:val="18"/>
                      <w:szCs w:val="18"/>
                    </w:rPr>
                  </w:pPr>
                </w:p>
              </w:tc>
              <w:tc>
                <w:tcPr>
                  <w:tcW w:w="1045" w:type="pct"/>
                  <w:vAlign w:val="center"/>
                </w:tcPr>
                <w:p w14:paraId="4055309E">
                  <w:pPr>
                    <w:adjustRightInd w:val="0"/>
                    <w:snapToGrid w:val="0"/>
                    <w:jc w:val="center"/>
                    <w:rPr>
                      <w:color w:val="auto"/>
                      <w:sz w:val="18"/>
                      <w:szCs w:val="18"/>
                    </w:rPr>
                  </w:pPr>
                </w:p>
              </w:tc>
            </w:tr>
            <w:bookmarkEnd w:id="9"/>
            <w:tr w14:paraId="67A59A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40" w:hRule="atLeast"/>
              </w:trPr>
              <w:tc>
                <w:tcPr>
                  <w:tcW w:w="406" w:type="pct"/>
                  <w:vAlign w:val="center"/>
                </w:tcPr>
                <w:p w14:paraId="3D2DE15C">
                  <w:pPr>
                    <w:jc w:val="center"/>
                    <w:rPr>
                      <w:bCs/>
                      <w:color w:val="auto"/>
                      <w:sz w:val="18"/>
                      <w:szCs w:val="18"/>
                    </w:rPr>
                  </w:pPr>
                  <w:r>
                    <w:rPr>
                      <w:bCs/>
                      <w:color w:val="auto"/>
                      <w:sz w:val="18"/>
                      <w:szCs w:val="18"/>
                    </w:rPr>
                    <w:t>3</w:t>
                  </w:r>
                </w:p>
              </w:tc>
              <w:tc>
                <w:tcPr>
                  <w:tcW w:w="1504" w:type="pct"/>
                  <w:vAlign w:val="center"/>
                </w:tcPr>
                <w:p w14:paraId="604B1199">
                  <w:pPr>
                    <w:jc w:val="center"/>
                    <w:rPr>
                      <w:bCs/>
                      <w:color w:val="auto"/>
                      <w:sz w:val="18"/>
                      <w:szCs w:val="18"/>
                    </w:rPr>
                  </w:pPr>
                </w:p>
              </w:tc>
              <w:tc>
                <w:tcPr>
                  <w:tcW w:w="1250" w:type="pct"/>
                  <w:vAlign w:val="center"/>
                </w:tcPr>
                <w:p w14:paraId="4503B237">
                  <w:pPr>
                    <w:jc w:val="center"/>
                    <w:rPr>
                      <w:bCs/>
                      <w:color w:val="auto"/>
                      <w:sz w:val="18"/>
                      <w:szCs w:val="18"/>
                    </w:rPr>
                  </w:pPr>
                </w:p>
              </w:tc>
              <w:tc>
                <w:tcPr>
                  <w:tcW w:w="793" w:type="pct"/>
                  <w:vAlign w:val="center"/>
                </w:tcPr>
                <w:p w14:paraId="2A2D9D65">
                  <w:pPr>
                    <w:adjustRightInd w:val="0"/>
                    <w:snapToGrid w:val="0"/>
                    <w:jc w:val="center"/>
                    <w:rPr>
                      <w:color w:val="auto"/>
                      <w:sz w:val="18"/>
                      <w:szCs w:val="18"/>
                    </w:rPr>
                  </w:pPr>
                </w:p>
              </w:tc>
              <w:tc>
                <w:tcPr>
                  <w:tcW w:w="1045" w:type="pct"/>
                  <w:vAlign w:val="center"/>
                </w:tcPr>
                <w:p w14:paraId="55D4B1AC">
                  <w:pPr>
                    <w:adjustRightInd w:val="0"/>
                    <w:snapToGrid w:val="0"/>
                    <w:jc w:val="center"/>
                    <w:rPr>
                      <w:color w:val="auto"/>
                      <w:spacing w:val="6"/>
                      <w:sz w:val="18"/>
                      <w:szCs w:val="18"/>
                    </w:rPr>
                  </w:pPr>
                </w:p>
              </w:tc>
            </w:tr>
            <w:tr w14:paraId="63312B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6" w:type="pct"/>
                  <w:vAlign w:val="center"/>
                </w:tcPr>
                <w:p w14:paraId="7A2CFCC4">
                  <w:pPr>
                    <w:jc w:val="center"/>
                    <w:rPr>
                      <w:bCs/>
                      <w:color w:val="auto"/>
                      <w:sz w:val="18"/>
                      <w:szCs w:val="18"/>
                    </w:rPr>
                  </w:pPr>
                  <w:r>
                    <w:rPr>
                      <w:bCs/>
                      <w:color w:val="auto"/>
                      <w:sz w:val="18"/>
                      <w:szCs w:val="18"/>
                    </w:rPr>
                    <w:t>4</w:t>
                  </w:r>
                </w:p>
              </w:tc>
              <w:tc>
                <w:tcPr>
                  <w:tcW w:w="1504" w:type="pct"/>
                  <w:shd w:val="clear" w:color="auto" w:fill="auto"/>
                  <w:vAlign w:val="center"/>
                </w:tcPr>
                <w:p w14:paraId="6E12B5D6">
                  <w:pPr>
                    <w:jc w:val="center"/>
                    <w:rPr>
                      <w:bCs/>
                      <w:color w:val="auto"/>
                      <w:sz w:val="18"/>
                      <w:szCs w:val="18"/>
                    </w:rPr>
                  </w:pPr>
                </w:p>
              </w:tc>
              <w:tc>
                <w:tcPr>
                  <w:tcW w:w="1250" w:type="pct"/>
                  <w:shd w:val="clear" w:color="auto" w:fill="auto"/>
                  <w:vAlign w:val="center"/>
                </w:tcPr>
                <w:p w14:paraId="4D744801">
                  <w:pPr>
                    <w:jc w:val="center"/>
                    <w:rPr>
                      <w:bCs/>
                      <w:color w:val="auto"/>
                      <w:sz w:val="18"/>
                      <w:szCs w:val="18"/>
                    </w:rPr>
                  </w:pPr>
                </w:p>
              </w:tc>
              <w:tc>
                <w:tcPr>
                  <w:tcW w:w="793" w:type="pct"/>
                  <w:shd w:val="clear" w:color="auto" w:fill="auto"/>
                  <w:vAlign w:val="center"/>
                </w:tcPr>
                <w:p w14:paraId="02260810">
                  <w:pPr>
                    <w:adjustRightInd w:val="0"/>
                    <w:snapToGrid w:val="0"/>
                    <w:jc w:val="center"/>
                    <w:rPr>
                      <w:color w:val="auto"/>
                      <w:sz w:val="18"/>
                      <w:szCs w:val="18"/>
                    </w:rPr>
                  </w:pPr>
                </w:p>
              </w:tc>
              <w:tc>
                <w:tcPr>
                  <w:tcW w:w="1045" w:type="pct"/>
                  <w:vAlign w:val="center"/>
                </w:tcPr>
                <w:p w14:paraId="741F8009">
                  <w:pPr>
                    <w:adjustRightInd w:val="0"/>
                    <w:snapToGrid w:val="0"/>
                    <w:jc w:val="center"/>
                    <w:rPr>
                      <w:color w:val="auto"/>
                      <w:kern w:val="0"/>
                      <w:sz w:val="18"/>
                      <w:szCs w:val="18"/>
                    </w:rPr>
                  </w:pPr>
                </w:p>
              </w:tc>
            </w:tr>
            <w:tr w14:paraId="1F197B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40" w:hRule="atLeast"/>
              </w:trPr>
              <w:tc>
                <w:tcPr>
                  <w:tcW w:w="406" w:type="pct"/>
                  <w:vAlign w:val="center"/>
                </w:tcPr>
                <w:p w14:paraId="2BCADF9C">
                  <w:pPr>
                    <w:jc w:val="center"/>
                    <w:rPr>
                      <w:bCs/>
                      <w:color w:val="auto"/>
                      <w:sz w:val="18"/>
                      <w:szCs w:val="18"/>
                    </w:rPr>
                  </w:pPr>
                  <w:r>
                    <w:rPr>
                      <w:bCs/>
                      <w:color w:val="auto"/>
                      <w:sz w:val="18"/>
                      <w:szCs w:val="18"/>
                    </w:rPr>
                    <w:t>5</w:t>
                  </w:r>
                </w:p>
              </w:tc>
              <w:tc>
                <w:tcPr>
                  <w:tcW w:w="1504" w:type="pct"/>
                  <w:shd w:val="clear" w:color="auto" w:fill="auto"/>
                  <w:vAlign w:val="center"/>
                </w:tcPr>
                <w:p w14:paraId="11B7BCEA">
                  <w:pPr>
                    <w:jc w:val="center"/>
                    <w:rPr>
                      <w:bCs/>
                      <w:color w:val="auto"/>
                      <w:sz w:val="18"/>
                      <w:szCs w:val="18"/>
                    </w:rPr>
                  </w:pPr>
                </w:p>
              </w:tc>
              <w:tc>
                <w:tcPr>
                  <w:tcW w:w="1250" w:type="pct"/>
                  <w:shd w:val="clear" w:color="auto" w:fill="auto"/>
                  <w:vAlign w:val="center"/>
                </w:tcPr>
                <w:p w14:paraId="7B6895A9">
                  <w:pPr>
                    <w:jc w:val="center"/>
                    <w:rPr>
                      <w:bCs/>
                      <w:color w:val="auto"/>
                      <w:sz w:val="18"/>
                      <w:szCs w:val="18"/>
                    </w:rPr>
                  </w:pPr>
                </w:p>
              </w:tc>
              <w:tc>
                <w:tcPr>
                  <w:tcW w:w="793" w:type="pct"/>
                  <w:shd w:val="clear" w:color="auto" w:fill="auto"/>
                  <w:vAlign w:val="center"/>
                </w:tcPr>
                <w:p w14:paraId="0236DAF2">
                  <w:pPr>
                    <w:adjustRightInd w:val="0"/>
                    <w:snapToGrid w:val="0"/>
                    <w:jc w:val="center"/>
                    <w:rPr>
                      <w:color w:val="auto"/>
                      <w:sz w:val="18"/>
                      <w:szCs w:val="18"/>
                    </w:rPr>
                  </w:pPr>
                </w:p>
              </w:tc>
              <w:tc>
                <w:tcPr>
                  <w:tcW w:w="1045" w:type="pct"/>
                  <w:vAlign w:val="center"/>
                </w:tcPr>
                <w:p w14:paraId="1219E7E8">
                  <w:pPr>
                    <w:adjustRightInd w:val="0"/>
                    <w:snapToGrid w:val="0"/>
                    <w:jc w:val="center"/>
                    <w:rPr>
                      <w:color w:val="auto"/>
                      <w:kern w:val="0"/>
                      <w:sz w:val="18"/>
                      <w:szCs w:val="18"/>
                    </w:rPr>
                  </w:pPr>
                </w:p>
              </w:tc>
            </w:tr>
            <w:tr w14:paraId="62AF88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40" w:hRule="atLeast"/>
              </w:trPr>
              <w:tc>
                <w:tcPr>
                  <w:tcW w:w="406" w:type="pct"/>
                  <w:vAlign w:val="center"/>
                </w:tcPr>
                <w:p w14:paraId="22DA7170">
                  <w:pPr>
                    <w:jc w:val="center"/>
                    <w:rPr>
                      <w:bCs/>
                      <w:color w:val="auto"/>
                      <w:sz w:val="18"/>
                      <w:szCs w:val="18"/>
                    </w:rPr>
                  </w:pPr>
                  <w:r>
                    <w:rPr>
                      <w:rFonts w:hint="eastAsia"/>
                      <w:bCs/>
                      <w:color w:val="auto"/>
                      <w:sz w:val="18"/>
                      <w:szCs w:val="18"/>
                    </w:rPr>
                    <w:t>6</w:t>
                  </w:r>
                </w:p>
              </w:tc>
              <w:tc>
                <w:tcPr>
                  <w:tcW w:w="1504" w:type="pct"/>
                  <w:shd w:val="clear" w:color="auto" w:fill="auto"/>
                  <w:vAlign w:val="center"/>
                </w:tcPr>
                <w:p w14:paraId="0AFBAC3C">
                  <w:pPr>
                    <w:jc w:val="center"/>
                    <w:rPr>
                      <w:bCs/>
                      <w:color w:val="auto"/>
                      <w:sz w:val="18"/>
                      <w:szCs w:val="18"/>
                    </w:rPr>
                  </w:pPr>
                </w:p>
              </w:tc>
              <w:tc>
                <w:tcPr>
                  <w:tcW w:w="1250" w:type="pct"/>
                  <w:shd w:val="clear" w:color="auto" w:fill="auto"/>
                  <w:vAlign w:val="center"/>
                </w:tcPr>
                <w:p w14:paraId="4BB35F88">
                  <w:pPr>
                    <w:jc w:val="center"/>
                    <w:rPr>
                      <w:bCs/>
                      <w:color w:val="auto"/>
                      <w:sz w:val="18"/>
                      <w:szCs w:val="18"/>
                    </w:rPr>
                  </w:pPr>
                </w:p>
              </w:tc>
              <w:tc>
                <w:tcPr>
                  <w:tcW w:w="793" w:type="pct"/>
                  <w:shd w:val="clear" w:color="auto" w:fill="auto"/>
                  <w:vAlign w:val="center"/>
                </w:tcPr>
                <w:p w14:paraId="157BC8A9">
                  <w:pPr>
                    <w:adjustRightInd w:val="0"/>
                    <w:snapToGrid w:val="0"/>
                    <w:jc w:val="center"/>
                    <w:rPr>
                      <w:color w:val="auto"/>
                      <w:sz w:val="18"/>
                      <w:szCs w:val="18"/>
                    </w:rPr>
                  </w:pPr>
                </w:p>
              </w:tc>
              <w:tc>
                <w:tcPr>
                  <w:tcW w:w="1045" w:type="pct"/>
                  <w:vAlign w:val="center"/>
                </w:tcPr>
                <w:p w14:paraId="05AF43BB">
                  <w:pPr>
                    <w:adjustRightInd w:val="0"/>
                    <w:snapToGrid w:val="0"/>
                    <w:jc w:val="center"/>
                    <w:rPr>
                      <w:color w:val="auto"/>
                      <w:kern w:val="0"/>
                      <w:sz w:val="18"/>
                      <w:szCs w:val="18"/>
                    </w:rPr>
                  </w:pPr>
                </w:p>
              </w:tc>
            </w:tr>
            <w:tr w14:paraId="6D0AF35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6" w:type="pct"/>
                  <w:vAlign w:val="center"/>
                </w:tcPr>
                <w:p w14:paraId="689A8998">
                  <w:pPr>
                    <w:jc w:val="center"/>
                    <w:rPr>
                      <w:bCs/>
                      <w:color w:val="auto"/>
                      <w:sz w:val="18"/>
                      <w:szCs w:val="18"/>
                    </w:rPr>
                  </w:pPr>
                  <w:r>
                    <w:rPr>
                      <w:rFonts w:hint="eastAsia"/>
                      <w:bCs/>
                      <w:color w:val="auto"/>
                      <w:sz w:val="18"/>
                      <w:szCs w:val="18"/>
                    </w:rPr>
                    <w:t>7</w:t>
                  </w:r>
                </w:p>
              </w:tc>
              <w:tc>
                <w:tcPr>
                  <w:tcW w:w="1504" w:type="pct"/>
                  <w:shd w:val="clear" w:color="auto" w:fill="auto"/>
                  <w:vAlign w:val="center"/>
                </w:tcPr>
                <w:p w14:paraId="372642D1">
                  <w:pPr>
                    <w:jc w:val="center"/>
                    <w:rPr>
                      <w:bCs/>
                      <w:color w:val="auto"/>
                      <w:sz w:val="18"/>
                      <w:szCs w:val="18"/>
                    </w:rPr>
                  </w:pPr>
                </w:p>
              </w:tc>
              <w:tc>
                <w:tcPr>
                  <w:tcW w:w="1250" w:type="pct"/>
                  <w:shd w:val="clear" w:color="auto" w:fill="auto"/>
                  <w:vAlign w:val="center"/>
                </w:tcPr>
                <w:p w14:paraId="66B36A01">
                  <w:pPr>
                    <w:jc w:val="center"/>
                    <w:rPr>
                      <w:bCs/>
                      <w:color w:val="auto"/>
                      <w:sz w:val="18"/>
                      <w:szCs w:val="18"/>
                    </w:rPr>
                  </w:pPr>
                </w:p>
              </w:tc>
              <w:tc>
                <w:tcPr>
                  <w:tcW w:w="793" w:type="pct"/>
                  <w:shd w:val="clear" w:color="auto" w:fill="auto"/>
                  <w:vAlign w:val="center"/>
                </w:tcPr>
                <w:p w14:paraId="6C56FAF7">
                  <w:pPr>
                    <w:adjustRightInd w:val="0"/>
                    <w:snapToGrid w:val="0"/>
                    <w:jc w:val="center"/>
                    <w:rPr>
                      <w:color w:val="auto"/>
                      <w:sz w:val="18"/>
                      <w:szCs w:val="18"/>
                    </w:rPr>
                  </w:pPr>
                </w:p>
              </w:tc>
              <w:tc>
                <w:tcPr>
                  <w:tcW w:w="1045" w:type="pct"/>
                  <w:vAlign w:val="center"/>
                </w:tcPr>
                <w:p w14:paraId="47B198EF">
                  <w:pPr>
                    <w:adjustRightInd w:val="0"/>
                    <w:snapToGrid w:val="0"/>
                    <w:jc w:val="center"/>
                    <w:rPr>
                      <w:color w:val="auto"/>
                      <w:kern w:val="0"/>
                      <w:sz w:val="18"/>
                      <w:szCs w:val="18"/>
                    </w:rPr>
                  </w:pPr>
                </w:p>
              </w:tc>
            </w:tr>
            <w:tr w14:paraId="3564A6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6" w:type="pct"/>
                  <w:vAlign w:val="center"/>
                </w:tcPr>
                <w:p w14:paraId="30ABDE0B">
                  <w:pPr>
                    <w:jc w:val="center"/>
                    <w:rPr>
                      <w:bCs/>
                      <w:color w:val="auto"/>
                      <w:sz w:val="18"/>
                      <w:szCs w:val="18"/>
                    </w:rPr>
                  </w:pPr>
                  <w:r>
                    <w:rPr>
                      <w:rFonts w:hint="eastAsia"/>
                      <w:bCs/>
                      <w:color w:val="auto"/>
                      <w:sz w:val="18"/>
                      <w:szCs w:val="18"/>
                    </w:rPr>
                    <w:t>8</w:t>
                  </w:r>
                </w:p>
              </w:tc>
              <w:tc>
                <w:tcPr>
                  <w:tcW w:w="1504" w:type="pct"/>
                  <w:shd w:val="clear" w:color="auto" w:fill="auto"/>
                  <w:vAlign w:val="center"/>
                </w:tcPr>
                <w:p w14:paraId="656AF842">
                  <w:pPr>
                    <w:jc w:val="center"/>
                    <w:rPr>
                      <w:bCs/>
                      <w:color w:val="auto"/>
                      <w:sz w:val="18"/>
                      <w:szCs w:val="18"/>
                    </w:rPr>
                  </w:pPr>
                </w:p>
              </w:tc>
              <w:tc>
                <w:tcPr>
                  <w:tcW w:w="1250" w:type="pct"/>
                  <w:shd w:val="clear" w:color="auto" w:fill="auto"/>
                  <w:vAlign w:val="center"/>
                </w:tcPr>
                <w:p w14:paraId="52119186">
                  <w:pPr>
                    <w:jc w:val="center"/>
                    <w:rPr>
                      <w:bCs/>
                      <w:color w:val="auto"/>
                      <w:sz w:val="18"/>
                      <w:szCs w:val="18"/>
                    </w:rPr>
                  </w:pPr>
                </w:p>
              </w:tc>
              <w:tc>
                <w:tcPr>
                  <w:tcW w:w="793" w:type="pct"/>
                  <w:shd w:val="clear" w:color="auto" w:fill="auto"/>
                  <w:vAlign w:val="center"/>
                </w:tcPr>
                <w:p w14:paraId="0E6C967A">
                  <w:pPr>
                    <w:adjustRightInd w:val="0"/>
                    <w:snapToGrid w:val="0"/>
                    <w:jc w:val="center"/>
                    <w:rPr>
                      <w:color w:val="auto"/>
                      <w:sz w:val="18"/>
                      <w:szCs w:val="18"/>
                    </w:rPr>
                  </w:pPr>
                </w:p>
              </w:tc>
              <w:tc>
                <w:tcPr>
                  <w:tcW w:w="1045" w:type="pct"/>
                  <w:vAlign w:val="center"/>
                </w:tcPr>
                <w:p w14:paraId="0D181BC7">
                  <w:pPr>
                    <w:adjustRightInd w:val="0"/>
                    <w:snapToGrid w:val="0"/>
                    <w:jc w:val="center"/>
                    <w:rPr>
                      <w:color w:val="auto"/>
                      <w:kern w:val="0"/>
                      <w:sz w:val="18"/>
                      <w:szCs w:val="18"/>
                    </w:rPr>
                  </w:pPr>
                </w:p>
              </w:tc>
            </w:tr>
            <w:tr w14:paraId="608324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6" w:type="pct"/>
                  <w:vAlign w:val="center"/>
                </w:tcPr>
                <w:p w14:paraId="153D21E7">
                  <w:pPr>
                    <w:jc w:val="center"/>
                    <w:rPr>
                      <w:bCs/>
                      <w:color w:val="auto"/>
                      <w:sz w:val="18"/>
                      <w:szCs w:val="18"/>
                    </w:rPr>
                  </w:pPr>
                  <w:r>
                    <w:rPr>
                      <w:rFonts w:hint="eastAsia"/>
                      <w:bCs/>
                      <w:color w:val="auto"/>
                      <w:sz w:val="18"/>
                      <w:szCs w:val="18"/>
                    </w:rPr>
                    <w:t>9</w:t>
                  </w:r>
                </w:p>
              </w:tc>
              <w:tc>
                <w:tcPr>
                  <w:tcW w:w="1504" w:type="pct"/>
                  <w:shd w:val="clear" w:color="auto" w:fill="auto"/>
                  <w:vAlign w:val="center"/>
                </w:tcPr>
                <w:p w14:paraId="10026F2F">
                  <w:pPr>
                    <w:jc w:val="center"/>
                    <w:rPr>
                      <w:bCs/>
                      <w:color w:val="auto"/>
                      <w:sz w:val="18"/>
                      <w:szCs w:val="18"/>
                    </w:rPr>
                  </w:pPr>
                </w:p>
              </w:tc>
              <w:tc>
                <w:tcPr>
                  <w:tcW w:w="1250" w:type="pct"/>
                  <w:shd w:val="clear" w:color="auto" w:fill="auto"/>
                  <w:vAlign w:val="center"/>
                </w:tcPr>
                <w:p w14:paraId="524CC9BC">
                  <w:pPr>
                    <w:jc w:val="center"/>
                    <w:rPr>
                      <w:bCs/>
                      <w:color w:val="auto"/>
                      <w:sz w:val="18"/>
                      <w:szCs w:val="18"/>
                    </w:rPr>
                  </w:pPr>
                </w:p>
              </w:tc>
              <w:tc>
                <w:tcPr>
                  <w:tcW w:w="793" w:type="pct"/>
                  <w:shd w:val="clear" w:color="auto" w:fill="auto"/>
                  <w:vAlign w:val="center"/>
                </w:tcPr>
                <w:p w14:paraId="4316F81B">
                  <w:pPr>
                    <w:adjustRightInd w:val="0"/>
                    <w:snapToGrid w:val="0"/>
                    <w:jc w:val="center"/>
                    <w:rPr>
                      <w:color w:val="auto"/>
                      <w:sz w:val="18"/>
                      <w:szCs w:val="18"/>
                    </w:rPr>
                  </w:pPr>
                </w:p>
              </w:tc>
              <w:tc>
                <w:tcPr>
                  <w:tcW w:w="1045" w:type="pct"/>
                  <w:vAlign w:val="center"/>
                </w:tcPr>
                <w:p w14:paraId="19385FFE">
                  <w:pPr>
                    <w:adjustRightInd w:val="0"/>
                    <w:snapToGrid w:val="0"/>
                    <w:jc w:val="center"/>
                    <w:rPr>
                      <w:color w:val="auto"/>
                      <w:kern w:val="0"/>
                      <w:sz w:val="18"/>
                      <w:szCs w:val="18"/>
                    </w:rPr>
                  </w:pPr>
                </w:p>
              </w:tc>
            </w:tr>
            <w:tr w14:paraId="72D9D9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6" w:type="pct"/>
                  <w:vAlign w:val="center"/>
                </w:tcPr>
                <w:p w14:paraId="313E98FD">
                  <w:pPr>
                    <w:jc w:val="center"/>
                    <w:rPr>
                      <w:bCs/>
                      <w:color w:val="auto"/>
                      <w:sz w:val="18"/>
                      <w:szCs w:val="18"/>
                    </w:rPr>
                  </w:pPr>
                  <w:r>
                    <w:rPr>
                      <w:rFonts w:hint="eastAsia"/>
                      <w:bCs/>
                      <w:color w:val="auto"/>
                      <w:sz w:val="18"/>
                      <w:szCs w:val="18"/>
                    </w:rPr>
                    <w:t>1</w:t>
                  </w:r>
                  <w:r>
                    <w:rPr>
                      <w:bCs/>
                      <w:color w:val="auto"/>
                      <w:sz w:val="18"/>
                      <w:szCs w:val="18"/>
                    </w:rPr>
                    <w:t>0</w:t>
                  </w:r>
                </w:p>
              </w:tc>
              <w:tc>
                <w:tcPr>
                  <w:tcW w:w="1504" w:type="pct"/>
                  <w:shd w:val="clear" w:color="auto" w:fill="auto"/>
                  <w:vAlign w:val="center"/>
                </w:tcPr>
                <w:p w14:paraId="5F04F7B2">
                  <w:pPr>
                    <w:jc w:val="center"/>
                    <w:rPr>
                      <w:bCs/>
                      <w:color w:val="auto"/>
                      <w:sz w:val="18"/>
                      <w:szCs w:val="18"/>
                    </w:rPr>
                  </w:pPr>
                </w:p>
              </w:tc>
              <w:tc>
                <w:tcPr>
                  <w:tcW w:w="1250" w:type="pct"/>
                  <w:shd w:val="clear" w:color="auto" w:fill="auto"/>
                  <w:vAlign w:val="center"/>
                </w:tcPr>
                <w:p w14:paraId="57371B56">
                  <w:pPr>
                    <w:jc w:val="center"/>
                    <w:rPr>
                      <w:bCs/>
                      <w:color w:val="auto"/>
                      <w:sz w:val="18"/>
                      <w:szCs w:val="18"/>
                    </w:rPr>
                  </w:pPr>
                </w:p>
              </w:tc>
              <w:tc>
                <w:tcPr>
                  <w:tcW w:w="793" w:type="pct"/>
                  <w:shd w:val="clear" w:color="auto" w:fill="auto"/>
                  <w:vAlign w:val="center"/>
                </w:tcPr>
                <w:p w14:paraId="19C2B5F8">
                  <w:pPr>
                    <w:adjustRightInd w:val="0"/>
                    <w:snapToGrid w:val="0"/>
                    <w:jc w:val="center"/>
                    <w:rPr>
                      <w:color w:val="auto"/>
                      <w:sz w:val="18"/>
                      <w:szCs w:val="18"/>
                    </w:rPr>
                  </w:pPr>
                </w:p>
              </w:tc>
              <w:tc>
                <w:tcPr>
                  <w:tcW w:w="1045" w:type="pct"/>
                  <w:vAlign w:val="center"/>
                </w:tcPr>
                <w:p w14:paraId="60F90391">
                  <w:pPr>
                    <w:adjustRightInd w:val="0"/>
                    <w:snapToGrid w:val="0"/>
                    <w:jc w:val="center"/>
                    <w:rPr>
                      <w:color w:val="auto"/>
                      <w:kern w:val="0"/>
                      <w:sz w:val="18"/>
                      <w:szCs w:val="18"/>
                    </w:rPr>
                  </w:pPr>
                </w:p>
              </w:tc>
            </w:tr>
            <w:tr w14:paraId="5C2C1C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40" w:hRule="atLeast"/>
              </w:trPr>
              <w:tc>
                <w:tcPr>
                  <w:tcW w:w="406" w:type="pct"/>
                  <w:vAlign w:val="center"/>
                </w:tcPr>
                <w:p w14:paraId="77664BFD">
                  <w:pPr>
                    <w:jc w:val="center"/>
                    <w:rPr>
                      <w:bCs/>
                      <w:color w:val="auto"/>
                      <w:sz w:val="18"/>
                      <w:szCs w:val="18"/>
                    </w:rPr>
                  </w:pPr>
                  <w:r>
                    <w:rPr>
                      <w:rFonts w:hint="eastAsia"/>
                      <w:bCs/>
                      <w:color w:val="auto"/>
                      <w:sz w:val="18"/>
                      <w:szCs w:val="18"/>
                    </w:rPr>
                    <w:t>1</w:t>
                  </w:r>
                  <w:r>
                    <w:rPr>
                      <w:bCs/>
                      <w:color w:val="auto"/>
                      <w:sz w:val="18"/>
                      <w:szCs w:val="18"/>
                    </w:rPr>
                    <w:t>1</w:t>
                  </w:r>
                </w:p>
              </w:tc>
              <w:tc>
                <w:tcPr>
                  <w:tcW w:w="1504" w:type="pct"/>
                  <w:shd w:val="clear" w:color="auto" w:fill="auto"/>
                  <w:vAlign w:val="center"/>
                </w:tcPr>
                <w:p w14:paraId="07F35D2C">
                  <w:pPr>
                    <w:jc w:val="center"/>
                    <w:rPr>
                      <w:bCs/>
                      <w:color w:val="auto"/>
                      <w:sz w:val="18"/>
                      <w:szCs w:val="18"/>
                    </w:rPr>
                  </w:pPr>
                </w:p>
              </w:tc>
              <w:tc>
                <w:tcPr>
                  <w:tcW w:w="1250" w:type="pct"/>
                  <w:shd w:val="clear" w:color="auto" w:fill="auto"/>
                  <w:vAlign w:val="center"/>
                </w:tcPr>
                <w:p w14:paraId="4839FF79">
                  <w:pPr>
                    <w:jc w:val="center"/>
                    <w:rPr>
                      <w:bCs/>
                      <w:color w:val="auto"/>
                      <w:sz w:val="18"/>
                      <w:szCs w:val="18"/>
                    </w:rPr>
                  </w:pPr>
                </w:p>
              </w:tc>
              <w:tc>
                <w:tcPr>
                  <w:tcW w:w="793" w:type="pct"/>
                  <w:shd w:val="clear" w:color="auto" w:fill="auto"/>
                  <w:vAlign w:val="center"/>
                </w:tcPr>
                <w:p w14:paraId="369CC25A">
                  <w:pPr>
                    <w:adjustRightInd w:val="0"/>
                    <w:snapToGrid w:val="0"/>
                    <w:jc w:val="center"/>
                    <w:rPr>
                      <w:color w:val="auto"/>
                      <w:sz w:val="18"/>
                      <w:szCs w:val="18"/>
                    </w:rPr>
                  </w:pPr>
                </w:p>
              </w:tc>
              <w:tc>
                <w:tcPr>
                  <w:tcW w:w="1045" w:type="pct"/>
                  <w:vAlign w:val="center"/>
                </w:tcPr>
                <w:p w14:paraId="0747E8EC">
                  <w:pPr>
                    <w:adjustRightInd w:val="0"/>
                    <w:snapToGrid w:val="0"/>
                    <w:jc w:val="center"/>
                    <w:rPr>
                      <w:color w:val="auto"/>
                      <w:kern w:val="0"/>
                      <w:sz w:val="18"/>
                      <w:szCs w:val="18"/>
                    </w:rPr>
                  </w:pPr>
                </w:p>
              </w:tc>
            </w:tr>
            <w:tr w14:paraId="69A58A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6" w:type="pct"/>
                  <w:vAlign w:val="center"/>
                </w:tcPr>
                <w:p w14:paraId="23C39FB1">
                  <w:pPr>
                    <w:jc w:val="center"/>
                    <w:rPr>
                      <w:bCs/>
                      <w:color w:val="auto"/>
                      <w:sz w:val="18"/>
                      <w:szCs w:val="18"/>
                    </w:rPr>
                  </w:pPr>
                  <w:r>
                    <w:rPr>
                      <w:rFonts w:hint="eastAsia"/>
                      <w:bCs/>
                      <w:color w:val="auto"/>
                      <w:sz w:val="18"/>
                      <w:szCs w:val="18"/>
                    </w:rPr>
                    <w:t>1</w:t>
                  </w:r>
                  <w:r>
                    <w:rPr>
                      <w:bCs/>
                      <w:color w:val="auto"/>
                      <w:sz w:val="18"/>
                      <w:szCs w:val="18"/>
                    </w:rPr>
                    <w:t>2</w:t>
                  </w:r>
                </w:p>
              </w:tc>
              <w:tc>
                <w:tcPr>
                  <w:tcW w:w="1504" w:type="pct"/>
                  <w:shd w:val="clear" w:color="auto" w:fill="auto"/>
                  <w:vAlign w:val="center"/>
                </w:tcPr>
                <w:p w14:paraId="2FBB3F7A">
                  <w:pPr>
                    <w:jc w:val="center"/>
                    <w:rPr>
                      <w:bCs/>
                      <w:color w:val="auto"/>
                      <w:sz w:val="18"/>
                      <w:szCs w:val="18"/>
                    </w:rPr>
                  </w:pPr>
                </w:p>
              </w:tc>
              <w:tc>
                <w:tcPr>
                  <w:tcW w:w="1250" w:type="pct"/>
                  <w:shd w:val="clear" w:color="auto" w:fill="auto"/>
                  <w:vAlign w:val="center"/>
                </w:tcPr>
                <w:p w14:paraId="5B76CF33">
                  <w:pPr>
                    <w:jc w:val="center"/>
                    <w:rPr>
                      <w:bCs/>
                      <w:color w:val="auto"/>
                      <w:sz w:val="18"/>
                      <w:szCs w:val="18"/>
                    </w:rPr>
                  </w:pPr>
                </w:p>
              </w:tc>
              <w:tc>
                <w:tcPr>
                  <w:tcW w:w="793" w:type="pct"/>
                  <w:shd w:val="clear" w:color="auto" w:fill="auto"/>
                  <w:vAlign w:val="center"/>
                </w:tcPr>
                <w:p w14:paraId="437B9B57">
                  <w:pPr>
                    <w:adjustRightInd w:val="0"/>
                    <w:snapToGrid w:val="0"/>
                    <w:jc w:val="center"/>
                    <w:rPr>
                      <w:color w:val="auto"/>
                      <w:sz w:val="18"/>
                      <w:szCs w:val="18"/>
                    </w:rPr>
                  </w:pPr>
                </w:p>
              </w:tc>
              <w:tc>
                <w:tcPr>
                  <w:tcW w:w="1045" w:type="pct"/>
                  <w:vAlign w:val="center"/>
                </w:tcPr>
                <w:p w14:paraId="095C0675">
                  <w:pPr>
                    <w:adjustRightInd w:val="0"/>
                    <w:snapToGrid w:val="0"/>
                    <w:jc w:val="center"/>
                    <w:rPr>
                      <w:color w:val="auto"/>
                      <w:kern w:val="0"/>
                      <w:sz w:val="18"/>
                      <w:szCs w:val="18"/>
                    </w:rPr>
                  </w:pPr>
                </w:p>
              </w:tc>
            </w:tr>
            <w:tr w14:paraId="588680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6" w:type="pct"/>
                  <w:vAlign w:val="center"/>
                </w:tcPr>
                <w:p w14:paraId="5E1DBEBC">
                  <w:pPr>
                    <w:jc w:val="center"/>
                    <w:rPr>
                      <w:bCs/>
                      <w:color w:val="auto"/>
                      <w:sz w:val="18"/>
                      <w:szCs w:val="18"/>
                    </w:rPr>
                  </w:pPr>
                  <w:r>
                    <w:rPr>
                      <w:rFonts w:hint="eastAsia"/>
                      <w:bCs/>
                      <w:color w:val="auto"/>
                      <w:sz w:val="18"/>
                      <w:szCs w:val="18"/>
                    </w:rPr>
                    <w:t>1</w:t>
                  </w:r>
                  <w:r>
                    <w:rPr>
                      <w:bCs/>
                      <w:color w:val="auto"/>
                      <w:sz w:val="18"/>
                      <w:szCs w:val="18"/>
                    </w:rPr>
                    <w:t>3</w:t>
                  </w:r>
                </w:p>
              </w:tc>
              <w:tc>
                <w:tcPr>
                  <w:tcW w:w="1504" w:type="pct"/>
                  <w:shd w:val="clear" w:color="auto" w:fill="auto"/>
                  <w:vAlign w:val="center"/>
                </w:tcPr>
                <w:p w14:paraId="35AEB0F4">
                  <w:pPr>
                    <w:jc w:val="center"/>
                    <w:rPr>
                      <w:bCs/>
                      <w:color w:val="auto"/>
                      <w:sz w:val="18"/>
                      <w:szCs w:val="18"/>
                    </w:rPr>
                  </w:pPr>
                </w:p>
              </w:tc>
              <w:tc>
                <w:tcPr>
                  <w:tcW w:w="1250" w:type="pct"/>
                  <w:shd w:val="clear" w:color="auto" w:fill="auto"/>
                  <w:vAlign w:val="center"/>
                </w:tcPr>
                <w:p w14:paraId="77846C90">
                  <w:pPr>
                    <w:jc w:val="center"/>
                    <w:rPr>
                      <w:bCs/>
                      <w:color w:val="auto"/>
                      <w:sz w:val="18"/>
                      <w:szCs w:val="18"/>
                    </w:rPr>
                  </w:pPr>
                </w:p>
              </w:tc>
              <w:tc>
                <w:tcPr>
                  <w:tcW w:w="793" w:type="pct"/>
                  <w:shd w:val="clear" w:color="auto" w:fill="auto"/>
                  <w:vAlign w:val="center"/>
                </w:tcPr>
                <w:p w14:paraId="1FA48B6B">
                  <w:pPr>
                    <w:adjustRightInd w:val="0"/>
                    <w:snapToGrid w:val="0"/>
                    <w:jc w:val="center"/>
                    <w:rPr>
                      <w:color w:val="auto"/>
                      <w:sz w:val="18"/>
                      <w:szCs w:val="18"/>
                    </w:rPr>
                  </w:pPr>
                </w:p>
              </w:tc>
              <w:tc>
                <w:tcPr>
                  <w:tcW w:w="1045" w:type="pct"/>
                  <w:vAlign w:val="center"/>
                </w:tcPr>
                <w:p w14:paraId="010090A6">
                  <w:pPr>
                    <w:adjustRightInd w:val="0"/>
                    <w:snapToGrid w:val="0"/>
                    <w:jc w:val="center"/>
                    <w:rPr>
                      <w:color w:val="auto"/>
                      <w:kern w:val="0"/>
                      <w:sz w:val="18"/>
                      <w:szCs w:val="18"/>
                    </w:rPr>
                  </w:pPr>
                </w:p>
              </w:tc>
            </w:tr>
            <w:tr w14:paraId="773A8E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40" w:hRule="atLeast"/>
              </w:trPr>
              <w:tc>
                <w:tcPr>
                  <w:tcW w:w="406" w:type="pct"/>
                  <w:vAlign w:val="center"/>
                </w:tcPr>
                <w:p w14:paraId="672D001C">
                  <w:pPr>
                    <w:jc w:val="center"/>
                    <w:rPr>
                      <w:bCs/>
                      <w:color w:val="auto"/>
                      <w:sz w:val="18"/>
                      <w:szCs w:val="18"/>
                    </w:rPr>
                  </w:pPr>
                  <w:r>
                    <w:rPr>
                      <w:rFonts w:hint="eastAsia"/>
                      <w:bCs/>
                      <w:color w:val="auto"/>
                      <w:sz w:val="18"/>
                      <w:szCs w:val="18"/>
                    </w:rPr>
                    <w:t>1</w:t>
                  </w:r>
                  <w:r>
                    <w:rPr>
                      <w:bCs/>
                      <w:color w:val="auto"/>
                      <w:sz w:val="18"/>
                      <w:szCs w:val="18"/>
                    </w:rPr>
                    <w:t>4</w:t>
                  </w:r>
                </w:p>
              </w:tc>
              <w:tc>
                <w:tcPr>
                  <w:tcW w:w="1504" w:type="pct"/>
                  <w:shd w:val="clear" w:color="auto" w:fill="auto"/>
                  <w:vAlign w:val="center"/>
                </w:tcPr>
                <w:p w14:paraId="5F2B57E4">
                  <w:pPr>
                    <w:jc w:val="center"/>
                    <w:rPr>
                      <w:bCs/>
                      <w:color w:val="auto"/>
                      <w:sz w:val="18"/>
                      <w:szCs w:val="18"/>
                    </w:rPr>
                  </w:pPr>
                </w:p>
              </w:tc>
              <w:tc>
                <w:tcPr>
                  <w:tcW w:w="1250" w:type="pct"/>
                  <w:shd w:val="clear" w:color="auto" w:fill="auto"/>
                  <w:vAlign w:val="center"/>
                </w:tcPr>
                <w:p w14:paraId="1D2335CC">
                  <w:pPr>
                    <w:jc w:val="center"/>
                    <w:rPr>
                      <w:bCs/>
                      <w:color w:val="auto"/>
                      <w:sz w:val="18"/>
                      <w:szCs w:val="18"/>
                    </w:rPr>
                  </w:pPr>
                </w:p>
              </w:tc>
              <w:tc>
                <w:tcPr>
                  <w:tcW w:w="793" w:type="pct"/>
                  <w:shd w:val="clear" w:color="auto" w:fill="auto"/>
                  <w:vAlign w:val="center"/>
                </w:tcPr>
                <w:p w14:paraId="40325556">
                  <w:pPr>
                    <w:adjustRightInd w:val="0"/>
                    <w:snapToGrid w:val="0"/>
                    <w:jc w:val="center"/>
                    <w:rPr>
                      <w:color w:val="auto"/>
                      <w:sz w:val="18"/>
                      <w:szCs w:val="18"/>
                    </w:rPr>
                  </w:pPr>
                </w:p>
              </w:tc>
              <w:tc>
                <w:tcPr>
                  <w:tcW w:w="1045" w:type="pct"/>
                  <w:vAlign w:val="center"/>
                </w:tcPr>
                <w:p w14:paraId="341B0CF9">
                  <w:pPr>
                    <w:adjustRightInd w:val="0"/>
                    <w:snapToGrid w:val="0"/>
                    <w:jc w:val="center"/>
                    <w:rPr>
                      <w:color w:val="auto"/>
                      <w:kern w:val="0"/>
                      <w:sz w:val="18"/>
                      <w:szCs w:val="18"/>
                    </w:rPr>
                  </w:pPr>
                </w:p>
              </w:tc>
            </w:tr>
            <w:tr w14:paraId="1B475F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40" w:hRule="atLeast"/>
              </w:trPr>
              <w:tc>
                <w:tcPr>
                  <w:tcW w:w="406" w:type="pct"/>
                  <w:vAlign w:val="center"/>
                </w:tcPr>
                <w:p w14:paraId="6C16BDE6">
                  <w:pPr>
                    <w:jc w:val="center"/>
                    <w:rPr>
                      <w:bCs/>
                      <w:color w:val="auto"/>
                      <w:sz w:val="18"/>
                      <w:szCs w:val="18"/>
                    </w:rPr>
                  </w:pPr>
                  <w:r>
                    <w:rPr>
                      <w:rFonts w:hint="eastAsia"/>
                      <w:bCs/>
                      <w:color w:val="auto"/>
                      <w:sz w:val="18"/>
                      <w:szCs w:val="18"/>
                    </w:rPr>
                    <w:t>1</w:t>
                  </w:r>
                  <w:r>
                    <w:rPr>
                      <w:bCs/>
                      <w:color w:val="auto"/>
                      <w:sz w:val="18"/>
                      <w:szCs w:val="18"/>
                    </w:rPr>
                    <w:t>5</w:t>
                  </w:r>
                </w:p>
              </w:tc>
              <w:tc>
                <w:tcPr>
                  <w:tcW w:w="1504" w:type="pct"/>
                  <w:shd w:val="clear" w:color="auto" w:fill="auto"/>
                  <w:vAlign w:val="center"/>
                </w:tcPr>
                <w:p w14:paraId="760FEC65">
                  <w:pPr>
                    <w:jc w:val="center"/>
                    <w:rPr>
                      <w:bCs/>
                      <w:color w:val="auto"/>
                      <w:sz w:val="18"/>
                      <w:szCs w:val="18"/>
                    </w:rPr>
                  </w:pPr>
                </w:p>
              </w:tc>
              <w:tc>
                <w:tcPr>
                  <w:tcW w:w="1250" w:type="pct"/>
                  <w:shd w:val="clear" w:color="auto" w:fill="auto"/>
                  <w:vAlign w:val="center"/>
                </w:tcPr>
                <w:p w14:paraId="53C146F3">
                  <w:pPr>
                    <w:jc w:val="center"/>
                    <w:rPr>
                      <w:bCs/>
                      <w:color w:val="auto"/>
                      <w:sz w:val="18"/>
                      <w:szCs w:val="18"/>
                    </w:rPr>
                  </w:pPr>
                </w:p>
              </w:tc>
              <w:tc>
                <w:tcPr>
                  <w:tcW w:w="793" w:type="pct"/>
                  <w:shd w:val="clear" w:color="auto" w:fill="auto"/>
                  <w:vAlign w:val="center"/>
                </w:tcPr>
                <w:p w14:paraId="76691E0B">
                  <w:pPr>
                    <w:adjustRightInd w:val="0"/>
                    <w:snapToGrid w:val="0"/>
                    <w:jc w:val="center"/>
                    <w:rPr>
                      <w:color w:val="auto"/>
                      <w:sz w:val="18"/>
                      <w:szCs w:val="18"/>
                    </w:rPr>
                  </w:pPr>
                </w:p>
              </w:tc>
              <w:tc>
                <w:tcPr>
                  <w:tcW w:w="1045" w:type="pct"/>
                  <w:vAlign w:val="center"/>
                </w:tcPr>
                <w:p w14:paraId="723EEDC9">
                  <w:pPr>
                    <w:adjustRightInd w:val="0"/>
                    <w:snapToGrid w:val="0"/>
                    <w:jc w:val="center"/>
                    <w:rPr>
                      <w:color w:val="auto"/>
                      <w:kern w:val="0"/>
                      <w:sz w:val="18"/>
                      <w:szCs w:val="18"/>
                    </w:rPr>
                  </w:pPr>
                </w:p>
              </w:tc>
            </w:tr>
            <w:tr w14:paraId="7D50CB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6" w:type="pct"/>
                  <w:vAlign w:val="center"/>
                </w:tcPr>
                <w:p w14:paraId="3DE64EA1">
                  <w:pPr>
                    <w:jc w:val="center"/>
                    <w:rPr>
                      <w:bCs/>
                      <w:color w:val="auto"/>
                      <w:sz w:val="18"/>
                      <w:szCs w:val="18"/>
                    </w:rPr>
                  </w:pPr>
                  <w:r>
                    <w:rPr>
                      <w:rFonts w:hint="eastAsia"/>
                      <w:bCs/>
                      <w:color w:val="auto"/>
                      <w:sz w:val="18"/>
                      <w:szCs w:val="18"/>
                    </w:rPr>
                    <w:t>1</w:t>
                  </w:r>
                  <w:r>
                    <w:rPr>
                      <w:bCs/>
                      <w:color w:val="auto"/>
                      <w:sz w:val="18"/>
                      <w:szCs w:val="18"/>
                    </w:rPr>
                    <w:t>6</w:t>
                  </w:r>
                </w:p>
              </w:tc>
              <w:tc>
                <w:tcPr>
                  <w:tcW w:w="1504" w:type="pct"/>
                  <w:shd w:val="clear" w:color="auto" w:fill="auto"/>
                  <w:vAlign w:val="center"/>
                </w:tcPr>
                <w:p w14:paraId="4A2902E7">
                  <w:pPr>
                    <w:jc w:val="center"/>
                    <w:rPr>
                      <w:bCs/>
                      <w:color w:val="auto"/>
                      <w:sz w:val="18"/>
                      <w:szCs w:val="18"/>
                    </w:rPr>
                  </w:pPr>
                </w:p>
              </w:tc>
              <w:tc>
                <w:tcPr>
                  <w:tcW w:w="1250" w:type="pct"/>
                  <w:shd w:val="clear" w:color="auto" w:fill="auto"/>
                  <w:vAlign w:val="center"/>
                </w:tcPr>
                <w:p w14:paraId="6FCB73C8">
                  <w:pPr>
                    <w:jc w:val="center"/>
                    <w:rPr>
                      <w:bCs/>
                      <w:color w:val="auto"/>
                      <w:sz w:val="18"/>
                      <w:szCs w:val="18"/>
                    </w:rPr>
                  </w:pPr>
                </w:p>
              </w:tc>
              <w:tc>
                <w:tcPr>
                  <w:tcW w:w="793" w:type="pct"/>
                  <w:shd w:val="clear" w:color="auto" w:fill="auto"/>
                  <w:vAlign w:val="center"/>
                </w:tcPr>
                <w:p w14:paraId="351BA4A7">
                  <w:pPr>
                    <w:adjustRightInd w:val="0"/>
                    <w:snapToGrid w:val="0"/>
                    <w:jc w:val="center"/>
                    <w:rPr>
                      <w:color w:val="auto"/>
                      <w:sz w:val="18"/>
                      <w:szCs w:val="18"/>
                    </w:rPr>
                  </w:pPr>
                </w:p>
              </w:tc>
              <w:tc>
                <w:tcPr>
                  <w:tcW w:w="1045" w:type="pct"/>
                  <w:vAlign w:val="center"/>
                </w:tcPr>
                <w:p w14:paraId="5552FC25">
                  <w:pPr>
                    <w:adjustRightInd w:val="0"/>
                    <w:snapToGrid w:val="0"/>
                    <w:jc w:val="center"/>
                    <w:rPr>
                      <w:color w:val="auto"/>
                      <w:kern w:val="0"/>
                      <w:sz w:val="18"/>
                      <w:szCs w:val="18"/>
                    </w:rPr>
                  </w:pPr>
                </w:p>
              </w:tc>
            </w:tr>
            <w:tr w14:paraId="4A89BD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6" w:type="pct"/>
                  <w:vAlign w:val="center"/>
                </w:tcPr>
                <w:p w14:paraId="5C90DBEF">
                  <w:pPr>
                    <w:jc w:val="center"/>
                    <w:rPr>
                      <w:bCs/>
                      <w:color w:val="auto"/>
                      <w:sz w:val="18"/>
                      <w:szCs w:val="18"/>
                    </w:rPr>
                  </w:pPr>
                  <w:r>
                    <w:rPr>
                      <w:rFonts w:hint="eastAsia"/>
                      <w:bCs/>
                      <w:color w:val="auto"/>
                      <w:sz w:val="18"/>
                      <w:szCs w:val="18"/>
                    </w:rPr>
                    <w:t>1</w:t>
                  </w:r>
                  <w:r>
                    <w:rPr>
                      <w:bCs/>
                      <w:color w:val="auto"/>
                      <w:sz w:val="18"/>
                      <w:szCs w:val="18"/>
                    </w:rPr>
                    <w:t>7</w:t>
                  </w:r>
                </w:p>
              </w:tc>
              <w:tc>
                <w:tcPr>
                  <w:tcW w:w="1504" w:type="pct"/>
                  <w:shd w:val="clear" w:color="auto" w:fill="auto"/>
                  <w:vAlign w:val="center"/>
                </w:tcPr>
                <w:p w14:paraId="6F547713">
                  <w:pPr>
                    <w:jc w:val="center"/>
                    <w:rPr>
                      <w:bCs/>
                      <w:color w:val="auto"/>
                      <w:sz w:val="18"/>
                      <w:szCs w:val="18"/>
                    </w:rPr>
                  </w:pPr>
                </w:p>
              </w:tc>
              <w:tc>
                <w:tcPr>
                  <w:tcW w:w="1250" w:type="pct"/>
                  <w:shd w:val="clear" w:color="auto" w:fill="auto"/>
                  <w:vAlign w:val="center"/>
                </w:tcPr>
                <w:p w14:paraId="21A06D7E">
                  <w:pPr>
                    <w:jc w:val="center"/>
                    <w:rPr>
                      <w:bCs/>
                      <w:color w:val="auto"/>
                      <w:sz w:val="18"/>
                      <w:szCs w:val="18"/>
                    </w:rPr>
                  </w:pPr>
                </w:p>
              </w:tc>
              <w:tc>
                <w:tcPr>
                  <w:tcW w:w="793" w:type="pct"/>
                  <w:shd w:val="clear" w:color="auto" w:fill="auto"/>
                  <w:vAlign w:val="center"/>
                </w:tcPr>
                <w:p w14:paraId="6E5BB73F">
                  <w:pPr>
                    <w:adjustRightInd w:val="0"/>
                    <w:snapToGrid w:val="0"/>
                    <w:jc w:val="center"/>
                    <w:rPr>
                      <w:color w:val="auto"/>
                      <w:sz w:val="18"/>
                      <w:szCs w:val="18"/>
                    </w:rPr>
                  </w:pPr>
                </w:p>
              </w:tc>
              <w:tc>
                <w:tcPr>
                  <w:tcW w:w="1045" w:type="pct"/>
                  <w:vAlign w:val="center"/>
                </w:tcPr>
                <w:p w14:paraId="0EDAA3A3">
                  <w:pPr>
                    <w:adjustRightInd w:val="0"/>
                    <w:snapToGrid w:val="0"/>
                    <w:jc w:val="center"/>
                    <w:rPr>
                      <w:color w:val="auto"/>
                      <w:kern w:val="0"/>
                      <w:sz w:val="18"/>
                      <w:szCs w:val="18"/>
                    </w:rPr>
                  </w:pPr>
                </w:p>
              </w:tc>
            </w:tr>
            <w:tr w14:paraId="58E0F5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6" w:type="pct"/>
                  <w:vAlign w:val="center"/>
                </w:tcPr>
                <w:p w14:paraId="177019E9">
                  <w:pPr>
                    <w:jc w:val="center"/>
                    <w:rPr>
                      <w:bCs/>
                      <w:color w:val="auto"/>
                      <w:sz w:val="18"/>
                      <w:szCs w:val="18"/>
                    </w:rPr>
                  </w:pPr>
                  <w:r>
                    <w:rPr>
                      <w:rFonts w:hint="eastAsia"/>
                      <w:bCs/>
                      <w:color w:val="auto"/>
                      <w:sz w:val="18"/>
                      <w:szCs w:val="18"/>
                    </w:rPr>
                    <w:t>1</w:t>
                  </w:r>
                  <w:r>
                    <w:rPr>
                      <w:bCs/>
                      <w:color w:val="auto"/>
                      <w:sz w:val="18"/>
                      <w:szCs w:val="18"/>
                    </w:rPr>
                    <w:t>8</w:t>
                  </w:r>
                </w:p>
              </w:tc>
              <w:tc>
                <w:tcPr>
                  <w:tcW w:w="1504" w:type="pct"/>
                  <w:shd w:val="clear" w:color="auto" w:fill="auto"/>
                  <w:vAlign w:val="center"/>
                </w:tcPr>
                <w:p w14:paraId="2BA59B1F">
                  <w:pPr>
                    <w:jc w:val="center"/>
                    <w:rPr>
                      <w:bCs/>
                      <w:color w:val="auto"/>
                      <w:sz w:val="18"/>
                      <w:szCs w:val="18"/>
                    </w:rPr>
                  </w:pPr>
                </w:p>
              </w:tc>
              <w:tc>
                <w:tcPr>
                  <w:tcW w:w="1250" w:type="pct"/>
                  <w:shd w:val="clear" w:color="auto" w:fill="auto"/>
                  <w:vAlign w:val="center"/>
                </w:tcPr>
                <w:p w14:paraId="607F1A8A">
                  <w:pPr>
                    <w:widowControl/>
                    <w:jc w:val="center"/>
                    <w:rPr>
                      <w:bCs/>
                      <w:color w:val="auto"/>
                      <w:sz w:val="18"/>
                      <w:szCs w:val="18"/>
                    </w:rPr>
                  </w:pPr>
                </w:p>
              </w:tc>
              <w:tc>
                <w:tcPr>
                  <w:tcW w:w="793" w:type="pct"/>
                  <w:shd w:val="clear" w:color="auto" w:fill="auto"/>
                  <w:vAlign w:val="center"/>
                </w:tcPr>
                <w:p w14:paraId="0362A9E5">
                  <w:pPr>
                    <w:adjustRightInd w:val="0"/>
                    <w:snapToGrid w:val="0"/>
                    <w:jc w:val="center"/>
                    <w:rPr>
                      <w:color w:val="auto"/>
                      <w:sz w:val="18"/>
                      <w:szCs w:val="18"/>
                    </w:rPr>
                  </w:pPr>
                </w:p>
              </w:tc>
              <w:tc>
                <w:tcPr>
                  <w:tcW w:w="1045" w:type="pct"/>
                  <w:vAlign w:val="center"/>
                </w:tcPr>
                <w:p w14:paraId="2E80CB59">
                  <w:pPr>
                    <w:adjustRightInd w:val="0"/>
                    <w:snapToGrid w:val="0"/>
                    <w:jc w:val="center"/>
                    <w:rPr>
                      <w:color w:val="auto"/>
                      <w:kern w:val="0"/>
                      <w:sz w:val="18"/>
                      <w:szCs w:val="18"/>
                    </w:rPr>
                  </w:pPr>
                </w:p>
              </w:tc>
            </w:tr>
            <w:tr w14:paraId="560353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40" w:hRule="atLeast"/>
              </w:trPr>
              <w:tc>
                <w:tcPr>
                  <w:tcW w:w="406" w:type="pct"/>
                  <w:vAlign w:val="center"/>
                </w:tcPr>
                <w:p w14:paraId="08C33AF1">
                  <w:pPr>
                    <w:jc w:val="center"/>
                    <w:rPr>
                      <w:bCs/>
                      <w:color w:val="auto"/>
                      <w:sz w:val="18"/>
                      <w:szCs w:val="18"/>
                    </w:rPr>
                  </w:pPr>
                  <w:r>
                    <w:rPr>
                      <w:rFonts w:hint="eastAsia"/>
                      <w:bCs/>
                      <w:color w:val="auto"/>
                      <w:sz w:val="18"/>
                      <w:szCs w:val="18"/>
                    </w:rPr>
                    <w:t>1</w:t>
                  </w:r>
                  <w:r>
                    <w:rPr>
                      <w:bCs/>
                      <w:color w:val="auto"/>
                      <w:sz w:val="18"/>
                      <w:szCs w:val="18"/>
                    </w:rPr>
                    <w:t>9</w:t>
                  </w:r>
                </w:p>
              </w:tc>
              <w:tc>
                <w:tcPr>
                  <w:tcW w:w="1504" w:type="pct"/>
                  <w:shd w:val="clear" w:color="auto" w:fill="auto"/>
                  <w:vAlign w:val="center"/>
                </w:tcPr>
                <w:p w14:paraId="775AF378">
                  <w:pPr>
                    <w:adjustRightInd w:val="0"/>
                    <w:snapToGrid w:val="0"/>
                    <w:jc w:val="center"/>
                    <w:rPr>
                      <w:bCs/>
                      <w:color w:val="auto"/>
                      <w:kern w:val="18"/>
                      <w:sz w:val="18"/>
                      <w:szCs w:val="18"/>
                    </w:rPr>
                  </w:pPr>
                </w:p>
              </w:tc>
              <w:tc>
                <w:tcPr>
                  <w:tcW w:w="1250" w:type="pct"/>
                  <w:shd w:val="clear" w:color="auto" w:fill="auto"/>
                  <w:vAlign w:val="center"/>
                </w:tcPr>
                <w:p w14:paraId="3CDF4D03">
                  <w:pPr>
                    <w:adjustRightInd w:val="0"/>
                    <w:snapToGrid w:val="0"/>
                    <w:ind w:firstLine="360"/>
                    <w:jc w:val="center"/>
                    <w:rPr>
                      <w:bCs/>
                      <w:color w:val="auto"/>
                      <w:kern w:val="18"/>
                      <w:sz w:val="18"/>
                      <w:szCs w:val="18"/>
                    </w:rPr>
                  </w:pPr>
                </w:p>
              </w:tc>
              <w:tc>
                <w:tcPr>
                  <w:tcW w:w="793" w:type="pct"/>
                  <w:shd w:val="clear" w:color="auto" w:fill="auto"/>
                  <w:vAlign w:val="center"/>
                </w:tcPr>
                <w:p w14:paraId="05C7D791">
                  <w:pPr>
                    <w:adjustRightInd w:val="0"/>
                    <w:snapToGrid w:val="0"/>
                    <w:jc w:val="center"/>
                    <w:rPr>
                      <w:color w:val="auto"/>
                      <w:sz w:val="18"/>
                      <w:szCs w:val="18"/>
                    </w:rPr>
                  </w:pPr>
                </w:p>
              </w:tc>
              <w:tc>
                <w:tcPr>
                  <w:tcW w:w="1045" w:type="pct"/>
                  <w:vAlign w:val="center"/>
                </w:tcPr>
                <w:p w14:paraId="605FDEBD">
                  <w:pPr>
                    <w:adjustRightInd w:val="0"/>
                    <w:snapToGrid w:val="0"/>
                    <w:jc w:val="center"/>
                    <w:rPr>
                      <w:color w:val="auto"/>
                      <w:kern w:val="0"/>
                      <w:sz w:val="18"/>
                      <w:szCs w:val="18"/>
                    </w:rPr>
                  </w:pPr>
                </w:p>
              </w:tc>
            </w:tr>
            <w:tr w14:paraId="6CBDCF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406" w:type="pct"/>
                  <w:vAlign w:val="center"/>
                </w:tcPr>
                <w:p w14:paraId="57D8D7E1">
                  <w:pPr>
                    <w:jc w:val="center"/>
                    <w:rPr>
                      <w:bCs/>
                      <w:color w:val="auto"/>
                      <w:sz w:val="18"/>
                      <w:szCs w:val="18"/>
                    </w:rPr>
                  </w:pPr>
                  <w:r>
                    <w:rPr>
                      <w:rFonts w:hint="eastAsia"/>
                      <w:bCs/>
                      <w:color w:val="auto"/>
                      <w:sz w:val="18"/>
                      <w:szCs w:val="18"/>
                    </w:rPr>
                    <w:t>2</w:t>
                  </w:r>
                  <w:r>
                    <w:rPr>
                      <w:bCs/>
                      <w:color w:val="auto"/>
                      <w:sz w:val="18"/>
                      <w:szCs w:val="18"/>
                    </w:rPr>
                    <w:t>0</w:t>
                  </w:r>
                </w:p>
              </w:tc>
              <w:tc>
                <w:tcPr>
                  <w:tcW w:w="1504" w:type="pct"/>
                  <w:shd w:val="clear" w:color="auto" w:fill="auto"/>
                  <w:vAlign w:val="center"/>
                </w:tcPr>
                <w:p w14:paraId="610B6A5E">
                  <w:pPr>
                    <w:adjustRightInd w:val="0"/>
                    <w:snapToGrid w:val="0"/>
                    <w:jc w:val="center"/>
                    <w:rPr>
                      <w:bCs/>
                      <w:color w:val="auto"/>
                      <w:kern w:val="18"/>
                      <w:sz w:val="18"/>
                      <w:szCs w:val="18"/>
                    </w:rPr>
                  </w:pPr>
                </w:p>
              </w:tc>
              <w:tc>
                <w:tcPr>
                  <w:tcW w:w="1250" w:type="pct"/>
                  <w:shd w:val="clear" w:color="auto" w:fill="auto"/>
                  <w:vAlign w:val="center"/>
                </w:tcPr>
                <w:p w14:paraId="5EF69074">
                  <w:pPr>
                    <w:adjustRightInd w:val="0"/>
                    <w:snapToGrid w:val="0"/>
                    <w:jc w:val="center"/>
                    <w:rPr>
                      <w:bCs/>
                      <w:color w:val="auto"/>
                      <w:kern w:val="18"/>
                      <w:sz w:val="18"/>
                      <w:szCs w:val="18"/>
                    </w:rPr>
                  </w:pPr>
                </w:p>
              </w:tc>
              <w:tc>
                <w:tcPr>
                  <w:tcW w:w="793" w:type="pct"/>
                  <w:shd w:val="clear" w:color="auto" w:fill="auto"/>
                  <w:vAlign w:val="center"/>
                </w:tcPr>
                <w:p w14:paraId="57E4F469">
                  <w:pPr>
                    <w:adjustRightInd w:val="0"/>
                    <w:snapToGrid w:val="0"/>
                    <w:jc w:val="center"/>
                    <w:rPr>
                      <w:color w:val="auto"/>
                      <w:sz w:val="18"/>
                      <w:szCs w:val="18"/>
                    </w:rPr>
                  </w:pPr>
                </w:p>
              </w:tc>
              <w:tc>
                <w:tcPr>
                  <w:tcW w:w="1045" w:type="pct"/>
                  <w:vAlign w:val="center"/>
                </w:tcPr>
                <w:p w14:paraId="324ED254">
                  <w:pPr>
                    <w:adjustRightInd w:val="0"/>
                    <w:snapToGrid w:val="0"/>
                    <w:jc w:val="center"/>
                    <w:rPr>
                      <w:color w:val="auto"/>
                      <w:kern w:val="0"/>
                      <w:sz w:val="18"/>
                      <w:szCs w:val="18"/>
                    </w:rPr>
                  </w:pPr>
                </w:p>
              </w:tc>
            </w:tr>
            <w:tr w14:paraId="12A5A0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6" w:type="pct"/>
                  <w:vAlign w:val="center"/>
                </w:tcPr>
                <w:p w14:paraId="17D779AD">
                  <w:pPr>
                    <w:jc w:val="center"/>
                    <w:rPr>
                      <w:bCs/>
                      <w:color w:val="auto"/>
                      <w:sz w:val="18"/>
                      <w:szCs w:val="18"/>
                    </w:rPr>
                  </w:pPr>
                  <w:r>
                    <w:rPr>
                      <w:rFonts w:hint="eastAsia"/>
                      <w:bCs/>
                      <w:color w:val="auto"/>
                      <w:sz w:val="18"/>
                      <w:szCs w:val="18"/>
                    </w:rPr>
                    <w:t>2</w:t>
                  </w:r>
                  <w:r>
                    <w:rPr>
                      <w:bCs/>
                      <w:color w:val="auto"/>
                      <w:sz w:val="18"/>
                      <w:szCs w:val="18"/>
                    </w:rPr>
                    <w:t>1</w:t>
                  </w:r>
                </w:p>
              </w:tc>
              <w:tc>
                <w:tcPr>
                  <w:tcW w:w="1504" w:type="pct"/>
                  <w:shd w:val="clear" w:color="auto" w:fill="auto"/>
                  <w:vAlign w:val="center"/>
                </w:tcPr>
                <w:p w14:paraId="186A12D3">
                  <w:pPr>
                    <w:jc w:val="center"/>
                    <w:rPr>
                      <w:bCs/>
                      <w:color w:val="auto"/>
                      <w:kern w:val="18"/>
                      <w:sz w:val="18"/>
                      <w:szCs w:val="18"/>
                    </w:rPr>
                  </w:pPr>
                </w:p>
              </w:tc>
              <w:tc>
                <w:tcPr>
                  <w:tcW w:w="1250" w:type="pct"/>
                  <w:shd w:val="clear" w:color="auto" w:fill="auto"/>
                  <w:vAlign w:val="center"/>
                </w:tcPr>
                <w:p w14:paraId="1FADE5C7">
                  <w:pPr>
                    <w:adjustRightInd w:val="0"/>
                    <w:snapToGrid w:val="0"/>
                    <w:ind w:firstLine="360"/>
                    <w:jc w:val="center"/>
                    <w:rPr>
                      <w:bCs/>
                      <w:color w:val="auto"/>
                      <w:kern w:val="18"/>
                      <w:sz w:val="18"/>
                      <w:szCs w:val="18"/>
                    </w:rPr>
                  </w:pPr>
                </w:p>
              </w:tc>
              <w:tc>
                <w:tcPr>
                  <w:tcW w:w="793" w:type="pct"/>
                  <w:shd w:val="clear" w:color="auto" w:fill="auto"/>
                  <w:vAlign w:val="center"/>
                </w:tcPr>
                <w:p w14:paraId="7EED0D6A">
                  <w:pPr>
                    <w:adjustRightInd w:val="0"/>
                    <w:snapToGrid w:val="0"/>
                    <w:jc w:val="center"/>
                    <w:rPr>
                      <w:color w:val="auto"/>
                      <w:sz w:val="18"/>
                      <w:szCs w:val="18"/>
                    </w:rPr>
                  </w:pPr>
                </w:p>
              </w:tc>
              <w:tc>
                <w:tcPr>
                  <w:tcW w:w="1045" w:type="pct"/>
                  <w:vAlign w:val="center"/>
                </w:tcPr>
                <w:p w14:paraId="70214DFE">
                  <w:pPr>
                    <w:adjustRightInd w:val="0"/>
                    <w:snapToGrid w:val="0"/>
                    <w:jc w:val="center"/>
                    <w:rPr>
                      <w:color w:val="auto"/>
                      <w:kern w:val="0"/>
                      <w:sz w:val="18"/>
                      <w:szCs w:val="18"/>
                    </w:rPr>
                  </w:pPr>
                </w:p>
              </w:tc>
            </w:tr>
            <w:tr w14:paraId="27C030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6" w:type="pct"/>
                  <w:vAlign w:val="center"/>
                </w:tcPr>
                <w:p w14:paraId="55D23075">
                  <w:pPr>
                    <w:jc w:val="center"/>
                    <w:rPr>
                      <w:bCs/>
                      <w:color w:val="auto"/>
                      <w:sz w:val="18"/>
                      <w:szCs w:val="18"/>
                    </w:rPr>
                  </w:pPr>
                  <w:r>
                    <w:rPr>
                      <w:rFonts w:hint="eastAsia"/>
                      <w:bCs/>
                      <w:color w:val="auto"/>
                      <w:sz w:val="18"/>
                      <w:szCs w:val="18"/>
                    </w:rPr>
                    <w:t>22</w:t>
                  </w:r>
                </w:p>
              </w:tc>
              <w:tc>
                <w:tcPr>
                  <w:tcW w:w="1504" w:type="pct"/>
                  <w:shd w:val="clear" w:color="auto" w:fill="auto"/>
                  <w:vAlign w:val="center"/>
                </w:tcPr>
                <w:p w14:paraId="6454E254">
                  <w:pPr>
                    <w:jc w:val="center"/>
                    <w:rPr>
                      <w:bCs/>
                      <w:color w:val="auto"/>
                      <w:kern w:val="18"/>
                      <w:sz w:val="18"/>
                      <w:szCs w:val="18"/>
                    </w:rPr>
                  </w:pPr>
                </w:p>
              </w:tc>
              <w:tc>
                <w:tcPr>
                  <w:tcW w:w="1250" w:type="pct"/>
                  <w:shd w:val="clear" w:color="auto" w:fill="auto"/>
                  <w:vAlign w:val="center"/>
                </w:tcPr>
                <w:p w14:paraId="70DFA542">
                  <w:pPr>
                    <w:adjustRightInd w:val="0"/>
                    <w:snapToGrid w:val="0"/>
                    <w:ind w:firstLine="360"/>
                    <w:jc w:val="center"/>
                    <w:rPr>
                      <w:bCs/>
                      <w:color w:val="auto"/>
                      <w:kern w:val="18"/>
                      <w:sz w:val="18"/>
                      <w:szCs w:val="18"/>
                    </w:rPr>
                  </w:pPr>
                </w:p>
              </w:tc>
              <w:tc>
                <w:tcPr>
                  <w:tcW w:w="793" w:type="pct"/>
                  <w:shd w:val="clear" w:color="auto" w:fill="auto"/>
                  <w:vAlign w:val="center"/>
                </w:tcPr>
                <w:p w14:paraId="1C69B57A">
                  <w:pPr>
                    <w:adjustRightInd w:val="0"/>
                    <w:snapToGrid w:val="0"/>
                    <w:jc w:val="center"/>
                    <w:rPr>
                      <w:color w:val="auto"/>
                      <w:sz w:val="18"/>
                      <w:szCs w:val="18"/>
                    </w:rPr>
                  </w:pPr>
                </w:p>
              </w:tc>
              <w:tc>
                <w:tcPr>
                  <w:tcW w:w="1045" w:type="pct"/>
                  <w:vAlign w:val="center"/>
                </w:tcPr>
                <w:p w14:paraId="320B76AF">
                  <w:pPr>
                    <w:adjustRightInd w:val="0"/>
                    <w:snapToGrid w:val="0"/>
                    <w:jc w:val="center"/>
                    <w:rPr>
                      <w:color w:val="auto"/>
                      <w:kern w:val="0"/>
                      <w:sz w:val="18"/>
                      <w:szCs w:val="18"/>
                    </w:rPr>
                  </w:pPr>
                </w:p>
              </w:tc>
            </w:tr>
            <w:tr w14:paraId="30678B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40" w:hRule="atLeast"/>
              </w:trPr>
              <w:tc>
                <w:tcPr>
                  <w:tcW w:w="406" w:type="pct"/>
                  <w:vAlign w:val="center"/>
                </w:tcPr>
                <w:p w14:paraId="01AF319F">
                  <w:pPr>
                    <w:jc w:val="center"/>
                    <w:rPr>
                      <w:bCs/>
                      <w:color w:val="auto"/>
                      <w:sz w:val="18"/>
                      <w:szCs w:val="18"/>
                    </w:rPr>
                  </w:pPr>
                  <w:r>
                    <w:rPr>
                      <w:rFonts w:hint="eastAsia"/>
                      <w:bCs/>
                      <w:color w:val="auto"/>
                      <w:sz w:val="18"/>
                      <w:szCs w:val="18"/>
                    </w:rPr>
                    <w:t>23</w:t>
                  </w:r>
                </w:p>
              </w:tc>
              <w:tc>
                <w:tcPr>
                  <w:tcW w:w="1504" w:type="pct"/>
                  <w:shd w:val="clear" w:color="auto" w:fill="auto"/>
                  <w:vAlign w:val="center"/>
                </w:tcPr>
                <w:p w14:paraId="57DC1F14">
                  <w:pPr>
                    <w:adjustRightInd w:val="0"/>
                    <w:snapToGrid w:val="0"/>
                    <w:jc w:val="center"/>
                    <w:rPr>
                      <w:bCs/>
                      <w:color w:val="auto"/>
                      <w:sz w:val="18"/>
                      <w:szCs w:val="18"/>
                    </w:rPr>
                  </w:pPr>
                </w:p>
              </w:tc>
              <w:tc>
                <w:tcPr>
                  <w:tcW w:w="1250" w:type="pct"/>
                  <w:shd w:val="clear" w:color="auto" w:fill="auto"/>
                  <w:vAlign w:val="center"/>
                </w:tcPr>
                <w:p w14:paraId="786B0CF7">
                  <w:pPr>
                    <w:adjustRightInd w:val="0"/>
                    <w:snapToGrid w:val="0"/>
                    <w:jc w:val="center"/>
                    <w:rPr>
                      <w:bCs/>
                      <w:color w:val="auto"/>
                      <w:sz w:val="18"/>
                      <w:szCs w:val="18"/>
                    </w:rPr>
                  </w:pPr>
                </w:p>
              </w:tc>
              <w:tc>
                <w:tcPr>
                  <w:tcW w:w="793" w:type="pct"/>
                  <w:shd w:val="clear" w:color="auto" w:fill="auto"/>
                  <w:vAlign w:val="center"/>
                </w:tcPr>
                <w:p w14:paraId="4D33A83E">
                  <w:pPr>
                    <w:adjustRightInd w:val="0"/>
                    <w:snapToGrid w:val="0"/>
                    <w:jc w:val="center"/>
                    <w:rPr>
                      <w:color w:val="auto"/>
                      <w:sz w:val="18"/>
                      <w:szCs w:val="18"/>
                    </w:rPr>
                  </w:pPr>
                </w:p>
              </w:tc>
              <w:tc>
                <w:tcPr>
                  <w:tcW w:w="1045" w:type="pct"/>
                  <w:vAlign w:val="center"/>
                </w:tcPr>
                <w:p w14:paraId="3E84F3F7">
                  <w:pPr>
                    <w:adjustRightInd w:val="0"/>
                    <w:snapToGrid w:val="0"/>
                    <w:jc w:val="center"/>
                    <w:rPr>
                      <w:color w:val="auto"/>
                      <w:kern w:val="0"/>
                      <w:sz w:val="18"/>
                      <w:szCs w:val="18"/>
                    </w:rPr>
                  </w:pPr>
                </w:p>
              </w:tc>
            </w:tr>
            <w:tr w14:paraId="783799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40" w:hRule="atLeast"/>
              </w:trPr>
              <w:tc>
                <w:tcPr>
                  <w:tcW w:w="406" w:type="pct"/>
                  <w:vAlign w:val="center"/>
                </w:tcPr>
                <w:p w14:paraId="2FF48465">
                  <w:pPr>
                    <w:jc w:val="center"/>
                    <w:rPr>
                      <w:bCs/>
                      <w:color w:val="auto"/>
                      <w:sz w:val="18"/>
                      <w:szCs w:val="18"/>
                    </w:rPr>
                  </w:pPr>
                  <w:r>
                    <w:rPr>
                      <w:rFonts w:hint="eastAsia"/>
                      <w:bCs/>
                      <w:color w:val="auto"/>
                      <w:sz w:val="18"/>
                      <w:szCs w:val="18"/>
                    </w:rPr>
                    <w:t>24</w:t>
                  </w:r>
                </w:p>
              </w:tc>
              <w:tc>
                <w:tcPr>
                  <w:tcW w:w="1504" w:type="pct"/>
                  <w:shd w:val="clear" w:color="auto" w:fill="auto"/>
                  <w:vAlign w:val="center"/>
                </w:tcPr>
                <w:p w14:paraId="0712387C">
                  <w:pPr>
                    <w:adjustRightInd w:val="0"/>
                    <w:snapToGrid w:val="0"/>
                    <w:jc w:val="center"/>
                    <w:rPr>
                      <w:bCs/>
                      <w:color w:val="auto"/>
                      <w:sz w:val="18"/>
                      <w:szCs w:val="18"/>
                    </w:rPr>
                  </w:pPr>
                </w:p>
              </w:tc>
              <w:tc>
                <w:tcPr>
                  <w:tcW w:w="1250" w:type="pct"/>
                  <w:shd w:val="clear" w:color="auto" w:fill="auto"/>
                  <w:vAlign w:val="center"/>
                </w:tcPr>
                <w:p w14:paraId="04555181">
                  <w:pPr>
                    <w:adjustRightInd w:val="0"/>
                    <w:snapToGrid w:val="0"/>
                    <w:ind w:firstLine="360"/>
                    <w:jc w:val="center"/>
                    <w:rPr>
                      <w:bCs/>
                      <w:color w:val="auto"/>
                      <w:sz w:val="18"/>
                      <w:szCs w:val="18"/>
                    </w:rPr>
                  </w:pPr>
                </w:p>
              </w:tc>
              <w:tc>
                <w:tcPr>
                  <w:tcW w:w="793" w:type="pct"/>
                  <w:shd w:val="clear" w:color="auto" w:fill="auto"/>
                  <w:vAlign w:val="center"/>
                </w:tcPr>
                <w:p w14:paraId="5DB5D2C9">
                  <w:pPr>
                    <w:adjustRightInd w:val="0"/>
                    <w:snapToGrid w:val="0"/>
                    <w:jc w:val="center"/>
                    <w:rPr>
                      <w:color w:val="auto"/>
                      <w:sz w:val="18"/>
                      <w:szCs w:val="18"/>
                    </w:rPr>
                  </w:pPr>
                </w:p>
              </w:tc>
              <w:tc>
                <w:tcPr>
                  <w:tcW w:w="1045" w:type="pct"/>
                  <w:vAlign w:val="center"/>
                </w:tcPr>
                <w:p w14:paraId="03C9D1F6">
                  <w:pPr>
                    <w:adjustRightInd w:val="0"/>
                    <w:snapToGrid w:val="0"/>
                    <w:jc w:val="center"/>
                    <w:rPr>
                      <w:color w:val="auto"/>
                      <w:kern w:val="0"/>
                      <w:sz w:val="18"/>
                      <w:szCs w:val="18"/>
                    </w:rPr>
                  </w:pPr>
                </w:p>
              </w:tc>
            </w:tr>
            <w:tr w14:paraId="30F4C9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6" w:type="pct"/>
                  <w:vAlign w:val="center"/>
                </w:tcPr>
                <w:p w14:paraId="52798B03">
                  <w:pPr>
                    <w:jc w:val="center"/>
                    <w:rPr>
                      <w:bCs/>
                      <w:color w:val="auto"/>
                      <w:sz w:val="18"/>
                      <w:szCs w:val="18"/>
                    </w:rPr>
                  </w:pPr>
                  <w:r>
                    <w:rPr>
                      <w:rFonts w:hint="eastAsia"/>
                      <w:bCs/>
                      <w:color w:val="auto"/>
                      <w:sz w:val="18"/>
                      <w:szCs w:val="18"/>
                    </w:rPr>
                    <w:t>25</w:t>
                  </w:r>
                </w:p>
              </w:tc>
              <w:tc>
                <w:tcPr>
                  <w:tcW w:w="1504" w:type="pct"/>
                  <w:shd w:val="clear" w:color="auto" w:fill="auto"/>
                  <w:vAlign w:val="center"/>
                </w:tcPr>
                <w:p w14:paraId="0218ADDD">
                  <w:pPr>
                    <w:adjustRightInd w:val="0"/>
                    <w:snapToGrid w:val="0"/>
                    <w:jc w:val="center"/>
                    <w:rPr>
                      <w:bCs/>
                      <w:color w:val="auto"/>
                      <w:sz w:val="18"/>
                      <w:szCs w:val="18"/>
                    </w:rPr>
                  </w:pPr>
                </w:p>
              </w:tc>
              <w:tc>
                <w:tcPr>
                  <w:tcW w:w="1250" w:type="pct"/>
                  <w:shd w:val="clear" w:color="auto" w:fill="auto"/>
                  <w:vAlign w:val="center"/>
                </w:tcPr>
                <w:p w14:paraId="7137CFFB">
                  <w:pPr>
                    <w:adjustRightInd w:val="0"/>
                    <w:snapToGrid w:val="0"/>
                    <w:ind w:firstLine="360"/>
                    <w:jc w:val="center"/>
                    <w:rPr>
                      <w:bCs/>
                      <w:color w:val="auto"/>
                      <w:sz w:val="18"/>
                      <w:szCs w:val="18"/>
                    </w:rPr>
                  </w:pPr>
                </w:p>
              </w:tc>
              <w:tc>
                <w:tcPr>
                  <w:tcW w:w="793" w:type="pct"/>
                  <w:shd w:val="clear" w:color="auto" w:fill="auto"/>
                  <w:vAlign w:val="center"/>
                </w:tcPr>
                <w:p w14:paraId="0E60B889">
                  <w:pPr>
                    <w:adjustRightInd w:val="0"/>
                    <w:snapToGrid w:val="0"/>
                    <w:jc w:val="center"/>
                    <w:rPr>
                      <w:color w:val="auto"/>
                      <w:sz w:val="18"/>
                      <w:szCs w:val="18"/>
                    </w:rPr>
                  </w:pPr>
                </w:p>
              </w:tc>
              <w:tc>
                <w:tcPr>
                  <w:tcW w:w="1045" w:type="pct"/>
                  <w:vAlign w:val="center"/>
                </w:tcPr>
                <w:p w14:paraId="2D528CD1">
                  <w:pPr>
                    <w:adjustRightInd w:val="0"/>
                    <w:snapToGrid w:val="0"/>
                    <w:jc w:val="center"/>
                    <w:rPr>
                      <w:color w:val="auto"/>
                      <w:kern w:val="0"/>
                      <w:sz w:val="18"/>
                      <w:szCs w:val="18"/>
                    </w:rPr>
                  </w:pPr>
                </w:p>
              </w:tc>
            </w:tr>
            <w:tr w14:paraId="21D959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6" w:type="pct"/>
                  <w:vAlign w:val="center"/>
                </w:tcPr>
                <w:p w14:paraId="61EF0CFA">
                  <w:pPr>
                    <w:jc w:val="center"/>
                    <w:rPr>
                      <w:bCs/>
                      <w:color w:val="auto"/>
                      <w:sz w:val="18"/>
                      <w:szCs w:val="18"/>
                    </w:rPr>
                  </w:pPr>
                  <w:r>
                    <w:rPr>
                      <w:rFonts w:hint="eastAsia"/>
                      <w:bCs/>
                      <w:color w:val="auto"/>
                      <w:sz w:val="18"/>
                      <w:szCs w:val="18"/>
                    </w:rPr>
                    <w:t>26</w:t>
                  </w:r>
                </w:p>
              </w:tc>
              <w:tc>
                <w:tcPr>
                  <w:tcW w:w="1504" w:type="pct"/>
                  <w:shd w:val="clear" w:color="auto" w:fill="auto"/>
                  <w:vAlign w:val="center"/>
                </w:tcPr>
                <w:p w14:paraId="69E15380">
                  <w:pPr>
                    <w:jc w:val="center"/>
                    <w:rPr>
                      <w:bCs/>
                      <w:color w:val="auto"/>
                      <w:sz w:val="18"/>
                      <w:szCs w:val="18"/>
                    </w:rPr>
                  </w:pPr>
                </w:p>
              </w:tc>
              <w:tc>
                <w:tcPr>
                  <w:tcW w:w="1250" w:type="pct"/>
                  <w:shd w:val="clear" w:color="auto" w:fill="auto"/>
                  <w:vAlign w:val="center"/>
                </w:tcPr>
                <w:p w14:paraId="00ABFCA4">
                  <w:pPr>
                    <w:jc w:val="center"/>
                    <w:rPr>
                      <w:bCs/>
                      <w:color w:val="auto"/>
                      <w:sz w:val="18"/>
                      <w:szCs w:val="18"/>
                    </w:rPr>
                  </w:pPr>
                </w:p>
              </w:tc>
              <w:tc>
                <w:tcPr>
                  <w:tcW w:w="793" w:type="pct"/>
                  <w:shd w:val="clear" w:color="auto" w:fill="auto"/>
                  <w:vAlign w:val="center"/>
                </w:tcPr>
                <w:p w14:paraId="5A500D12">
                  <w:pPr>
                    <w:adjustRightInd w:val="0"/>
                    <w:snapToGrid w:val="0"/>
                    <w:jc w:val="center"/>
                    <w:rPr>
                      <w:color w:val="auto"/>
                      <w:sz w:val="18"/>
                      <w:szCs w:val="18"/>
                    </w:rPr>
                  </w:pPr>
                </w:p>
              </w:tc>
              <w:tc>
                <w:tcPr>
                  <w:tcW w:w="1045" w:type="pct"/>
                  <w:vAlign w:val="center"/>
                </w:tcPr>
                <w:p w14:paraId="27FC060D">
                  <w:pPr>
                    <w:adjustRightInd w:val="0"/>
                    <w:snapToGrid w:val="0"/>
                    <w:jc w:val="center"/>
                    <w:rPr>
                      <w:color w:val="auto"/>
                      <w:kern w:val="0"/>
                      <w:sz w:val="18"/>
                      <w:szCs w:val="18"/>
                    </w:rPr>
                  </w:pPr>
                </w:p>
              </w:tc>
            </w:tr>
            <w:bookmarkEnd w:id="8"/>
          </w:tbl>
          <w:p w14:paraId="59C15EA8">
            <w:pPr>
              <w:adjustRightInd w:val="0"/>
              <w:snapToGrid w:val="0"/>
              <w:spacing w:line="500" w:lineRule="exact"/>
              <w:ind w:firstLine="422" w:firstLineChars="200"/>
              <w:jc w:val="left"/>
              <w:rPr>
                <w:b/>
                <w:bCs/>
                <w:color w:val="auto"/>
                <w:szCs w:val="21"/>
              </w:rPr>
            </w:pPr>
            <w:r>
              <w:rPr>
                <w:rFonts w:hint="eastAsia"/>
                <w:b/>
                <w:bCs/>
                <w:color w:val="auto"/>
                <w:szCs w:val="21"/>
              </w:rPr>
              <w:t>7</w:t>
            </w:r>
            <w:r>
              <w:rPr>
                <w:b/>
                <w:bCs/>
                <w:color w:val="auto"/>
                <w:szCs w:val="21"/>
              </w:rPr>
              <w:t xml:space="preserve">. </w:t>
            </w:r>
            <w:r>
              <w:rPr>
                <w:rFonts w:hint="eastAsia"/>
                <w:b/>
                <w:bCs/>
                <w:color w:val="auto"/>
                <w:szCs w:val="21"/>
              </w:rPr>
              <w:t>水平衡</w:t>
            </w:r>
          </w:p>
          <w:p w14:paraId="6A592706">
            <w:pPr>
              <w:adjustRightInd w:val="0"/>
              <w:snapToGrid w:val="0"/>
              <w:spacing w:line="500" w:lineRule="exact"/>
              <w:ind w:firstLine="420" w:firstLineChars="200"/>
              <w:jc w:val="left"/>
              <w:rPr>
                <w:bCs/>
                <w:color w:val="auto"/>
                <w:szCs w:val="21"/>
              </w:rPr>
            </w:pPr>
            <w:r>
              <w:rPr>
                <w:rFonts w:hint="eastAsia"/>
                <w:bCs/>
                <w:color w:val="auto"/>
                <w:szCs w:val="21"/>
              </w:rPr>
              <w:t>本项目水平衡见图2-</w:t>
            </w:r>
            <w:r>
              <w:rPr>
                <w:bCs/>
                <w:color w:val="auto"/>
                <w:szCs w:val="21"/>
              </w:rPr>
              <w:t>1</w:t>
            </w:r>
            <w:r>
              <w:rPr>
                <w:rFonts w:hint="eastAsia"/>
                <w:bCs/>
                <w:color w:val="auto"/>
                <w:szCs w:val="21"/>
              </w:rPr>
              <w:t>。本项目建成后全厂水平衡见图2-2。</w:t>
            </w:r>
          </w:p>
          <w:p w14:paraId="793B02C5">
            <w:pPr>
              <w:pStyle w:val="57"/>
              <w:spacing w:line="360" w:lineRule="auto"/>
              <w:rPr>
                <w:color w:val="auto"/>
                <w:szCs w:val="21"/>
              </w:rPr>
            </w:pPr>
          </w:p>
          <w:p w14:paraId="67E6277D">
            <w:pPr>
              <w:spacing w:line="500" w:lineRule="exact"/>
              <w:jc w:val="center"/>
              <w:rPr>
                <w:b/>
                <w:color w:val="auto"/>
                <w:szCs w:val="21"/>
              </w:rPr>
            </w:pPr>
            <w:r>
              <w:rPr>
                <w:b/>
                <w:color w:val="auto"/>
                <w:szCs w:val="21"/>
              </w:rPr>
              <w:t xml:space="preserve">图2-1 </w:t>
            </w:r>
            <w:r>
              <w:rPr>
                <w:rFonts w:hint="eastAsia"/>
                <w:b/>
                <w:color w:val="auto"/>
                <w:szCs w:val="21"/>
              </w:rPr>
              <w:t>本项目水平衡图（t</w:t>
            </w:r>
            <w:r>
              <w:rPr>
                <w:b/>
                <w:color w:val="auto"/>
                <w:szCs w:val="21"/>
              </w:rPr>
              <w:t>/a</w:t>
            </w:r>
            <w:r>
              <w:rPr>
                <w:rFonts w:hint="eastAsia"/>
                <w:b/>
                <w:color w:val="auto"/>
                <w:szCs w:val="21"/>
              </w:rPr>
              <w:t>）</w:t>
            </w:r>
          </w:p>
          <w:p w14:paraId="3BF93F11">
            <w:pPr>
              <w:spacing w:line="360" w:lineRule="auto"/>
              <w:jc w:val="center"/>
              <w:rPr>
                <w:color w:val="auto"/>
              </w:rPr>
            </w:pPr>
          </w:p>
          <w:p w14:paraId="271BDB5B">
            <w:pPr>
              <w:spacing w:line="500" w:lineRule="exact"/>
              <w:jc w:val="center"/>
              <w:rPr>
                <w:b/>
                <w:color w:val="auto"/>
                <w:szCs w:val="21"/>
              </w:rPr>
            </w:pPr>
            <w:r>
              <w:rPr>
                <w:b/>
                <w:color w:val="auto"/>
                <w:szCs w:val="21"/>
              </w:rPr>
              <w:t>图2-</w:t>
            </w:r>
            <w:r>
              <w:rPr>
                <w:rFonts w:hint="eastAsia"/>
                <w:b/>
                <w:color w:val="auto"/>
                <w:szCs w:val="21"/>
              </w:rPr>
              <w:t>2</w:t>
            </w:r>
            <w:r>
              <w:rPr>
                <w:b/>
                <w:color w:val="auto"/>
                <w:szCs w:val="21"/>
              </w:rPr>
              <w:t xml:space="preserve"> </w:t>
            </w:r>
            <w:r>
              <w:rPr>
                <w:rFonts w:hint="eastAsia"/>
                <w:b/>
                <w:color w:val="auto"/>
                <w:szCs w:val="21"/>
              </w:rPr>
              <w:t>本项目建成后全厂水平衡图（t</w:t>
            </w:r>
            <w:r>
              <w:rPr>
                <w:b/>
                <w:color w:val="auto"/>
                <w:szCs w:val="21"/>
              </w:rPr>
              <w:t>/a</w:t>
            </w:r>
            <w:r>
              <w:rPr>
                <w:rFonts w:hint="eastAsia"/>
                <w:b/>
                <w:color w:val="auto"/>
                <w:szCs w:val="21"/>
              </w:rPr>
              <w:t>）</w:t>
            </w:r>
          </w:p>
          <w:p w14:paraId="24C7230F">
            <w:pPr>
              <w:adjustRightInd w:val="0"/>
              <w:snapToGrid w:val="0"/>
              <w:spacing w:line="500" w:lineRule="exact"/>
              <w:ind w:firstLine="422" w:firstLineChars="200"/>
              <w:jc w:val="left"/>
              <w:rPr>
                <w:b/>
                <w:bCs/>
                <w:color w:val="auto"/>
                <w:szCs w:val="21"/>
              </w:rPr>
            </w:pPr>
            <w:r>
              <w:rPr>
                <w:rFonts w:hint="eastAsia"/>
                <w:b/>
                <w:bCs/>
                <w:color w:val="auto"/>
                <w:szCs w:val="21"/>
              </w:rPr>
              <w:t>8</w:t>
            </w:r>
            <w:r>
              <w:rPr>
                <w:b/>
                <w:bCs/>
                <w:color w:val="auto"/>
                <w:szCs w:val="21"/>
              </w:rPr>
              <w:t xml:space="preserve">. </w:t>
            </w:r>
            <w:r>
              <w:rPr>
                <w:rFonts w:hint="eastAsia"/>
                <w:b/>
                <w:bCs/>
                <w:color w:val="auto"/>
                <w:szCs w:val="21"/>
              </w:rPr>
              <w:t>厂区平面布置及周边现状</w:t>
            </w:r>
          </w:p>
          <w:p w14:paraId="79FF1A2B">
            <w:pPr>
              <w:adjustRightInd w:val="0"/>
              <w:snapToGrid w:val="0"/>
              <w:spacing w:line="500" w:lineRule="exact"/>
              <w:ind w:firstLine="420" w:firstLineChars="200"/>
              <w:jc w:val="left"/>
              <w:rPr>
                <w:color w:val="auto"/>
              </w:rPr>
            </w:pPr>
            <w:r>
              <w:rPr>
                <w:rFonts w:hint="eastAsia"/>
                <w:bCs/>
                <w:color w:val="auto"/>
                <w:szCs w:val="21"/>
              </w:rPr>
              <w:t>本项目所在厂区位于连云港石化产业基地，西北侧紧邻江苏瑞恒新材料科技有限公司，南侧隔港前大道为连云港石化罐区，东侧隔石化七道为嘉宏新材料公司。详见附图5。</w:t>
            </w:r>
          </w:p>
        </w:tc>
      </w:tr>
      <w:tr w14:paraId="32B5625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94" w:hRule="atLeast"/>
          <w:jc w:val="center"/>
        </w:trPr>
        <w:tc>
          <w:tcPr>
            <w:tcW w:w="425" w:type="dxa"/>
            <w:vAlign w:val="center"/>
          </w:tcPr>
          <w:p w14:paraId="4290EAD8">
            <w:pPr>
              <w:pStyle w:val="18"/>
              <w:rPr>
                <w:color w:val="auto"/>
              </w:rPr>
            </w:pPr>
            <w:r>
              <w:rPr>
                <w:color w:val="auto"/>
                <w:sz w:val="21"/>
                <w:szCs w:val="16"/>
              </w:rPr>
              <w:t>工艺流程和产排污环节</w:t>
            </w:r>
          </w:p>
        </w:tc>
        <w:tc>
          <w:tcPr>
            <w:tcW w:w="8399" w:type="dxa"/>
          </w:tcPr>
          <w:p w14:paraId="4C8E4AA4">
            <w:pPr>
              <w:spacing w:line="500" w:lineRule="exact"/>
              <w:ind w:firstLine="422" w:firstLineChars="200"/>
              <w:rPr>
                <w:b/>
                <w:color w:val="auto"/>
                <w:szCs w:val="21"/>
              </w:rPr>
            </w:pPr>
            <w:r>
              <w:rPr>
                <w:rFonts w:hint="eastAsia"/>
                <w:b/>
                <w:color w:val="auto"/>
                <w:szCs w:val="21"/>
              </w:rPr>
              <w:t>1、施工期工艺流程及产污环节</w:t>
            </w:r>
          </w:p>
          <w:p w14:paraId="09D25E2F">
            <w:pPr>
              <w:spacing w:line="500" w:lineRule="exact"/>
              <w:ind w:firstLine="420" w:firstLineChars="200"/>
              <w:rPr>
                <w:color w:val="auto"/>
                <w:szCs w:val="21"/>
              </w:rPr>
            </w:pPr>
            <w:r>
              <w:rPr>
                <w:rFonts w:hint="eastAsia"/>
                <w:color w:val="auto"/>
                <w:szCs w:val="21"/>
              </w:rPr>
              <w:t>本项目施工期主要为基础工程、内部装修及设备安装，施工期间主要产生施工废气、废水和噪声等，对周围环境产生一定的影响。</w:t>
            </w:r>
            <w:r>
              <w:rPr>
                <w:color w:val="auto"/>
                <w:szCs w:val="21"/>
              </w:rPr>
              <w:t>施工期工艺流程和产排污环节见图2-2。</w:t>
            </w:r>
          </w:p>
          <w:p w14:paraId="6673D410">
            <w:pPr>
              <w:pStyle w:val="57"/>
              <w:spacing w:line="360" w:lineRule="auto"/>
              <w:rPr>
                <w:color w:val="auto"/>
                <w:szCs w:val="21"/>
              </w:rPr>
            </w:pPr>
            <w:r>
              <w:rPr>
                <w:color w:val="auto"/>
              </w:rPr>
              <w:drawing>
                <wp:inline distT="0" distB="0" distL="114300" distR="114300">
                  <wp:extent cx="3134995" cy="1439545"/>
                  <wp:effectExtent l="0" t="0" r="8255" b="8255"/>
                  <wp:docPr id="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pic:cNvPicPr>
                            <a:picLocks noChangeAspect="1"/>
                          </pic:cNvPicPr>
                        </pic:nvPicPr>
                        <pic:blipFill>
                          <a:blip r:embed="rId6"/>
                          <a:stretch>
                            <a:fillRect/>
                          </a:stretch>
                        </pic:blipFill>
                        <pic:spPr>
                          <a:xfrm>
                            <a:off x="0" y="0"/>
                            <a:ext cx="3134995" cy="1439545"/>
                          </a:xfrm>
                          <a:prstGeom prst="rect">
                            <a:avLst/>
                          </a:prstGeom>
                          <a:noFill/>
                          <a:ln>
                            <a:noFill/>
                          </a:ln>
                        </pic:spPr>
                      </pic:pic>
                    </a:graphicData>
                  </a:graphic>
                </wp:inline>
              </w:drawing>
            </w:r>
          </w:p>
          <w:p w14:paraId="049B635A">
            <w:pPr>
              <w:spacing w:line="500" w:lineRule="exact"/>
              <w:jc w:val="center"/>
              <w:rPr>
                <w:b/>
                <w:color w:val="auto"/>
                <w:szCs w:val="21"/>
              </w:rPr>
            </w:pPr>
            <w:r>
              <w:rPr>
                <w:b/>
                <w:color w:val="auto"/>
                <w:szCs w:val="21"/>
              </w:rPr>
              <w:t>图2-2 施工期工艺流程和产排污环节</w:t>
            </w:r>
          </w:p>
          <w:p w14:paraId="583F18A2">
            <w:pPr>
              <w:spacing w:line="500" w:lineRule="exact"/>
              <w:ind w:firstLine="422" w:firstLineChars="200"/>
              <w:rPr>
                <w:b/>
                <w:color w:val="auto"/>
                <w:szCs w:val="21"/>
              </w:rPr>
            </w:pPr>
            <w:r>
              <w:rPr>
                <w:b/>
                <w:color w:val="auto"/>
                <w:szCs w:val="21"/>
              </w:rPr>
              <w:t>2</w:t>
            </w:r>
            <w:r>
              <w:rPr>
                <w:rFonts w:hint="eastAsia"/>
                <w:b/>
                <w:color w:val="auto"/>
                <w:szCs w:val="21"/>
              </w:rPr>
              <w:t>、营运期工艺流程及产污环节</w:t>
            </w:r>
          </w:p>
          <w:p w14:paraId="07A0EDC0">
            <w:pPr>
              <w:spacing w:line="500" w:lineRule="exact"/>
              <w:ind w:firstLine="420" w:firstLineChars="200"/>
              <w:rPr>
                <w:color w:val="auto"/>
                <w:szCs w:val="21"/>
              </w:rPr>
            </w:pPr>
            <w:r>
              <w:rPr>
                <w:rFonts w:hint="eastAsia"/>
                <w:color w:val="auto"/>
                <w:szCs w:val="21"/>
              </w:rPr>
              <w:t>本项目为瑞兆科公司品控洁净实验室及配套设施建设，营运期主要是品控洁净实验室有产污情况。本项目实验室检验项目、规模、频率与现有实验室保持一致。</w:t>
            </w:r>
          </w:p>
          <w:p w14:paraId="43CD8BA2">
            <w:pPr>
              <w:spacing w:line="500" w:lineRule="exact"/>
              <w:ind w:firstLine="420" w:firstLineChars="200"/>
              <w:rPr>
                <w:color w:val="auto"/>
                <w:szCs w:val="21"/>
              </w:rPr>
            </w:pPr>
            <w:r>
              <w:rPr>
                <w:rFonts w:hint="eastAsia"/>
                <w:color w:val="auto"/>
                <w:szCs w:val="21"/>
              </w:rPr>
              <w:t>本项目品控洁净实验室主要工作流程如下：</w:t>
            </w:r>
          </w:p>
          <w:p w14:paraId="3F729820">
            <w:pPr>
              <w:jc w:val="center"/>
              <w:rPr>
                <w:color w:val="auto"/>
                <w:szCs w:val="21"/>
              </w:rPr>
            </w:pPr>
          </w:p>
          <w:p w14:paraId="2A42C809">
            <w:pPr>
              <w:spacing w:line="500" w:lineRule="exact"/>
              <w:jc w:val="center"/>
              <w:rPr>
                <w:b/>
                <w:color w:val="auto"/>
                <w:szCs w:val="21"/>
              </w:rPr>
            </w:pPr>
            <w:r>
              <w:rPr>
                <w:b/>
                <w:color w:val="auto"/>
                <w:szCs w:val="21"/>
              </w:rPr>
              <w:t xml:space="preserve">图2-3 </w:t>
            </w:r>
            <w:r>
              <w:rPr>
                <w:rFonts w:hint="eastAsia"/>
                <w:b/>
                <w:color w:val="auto"/>
                <w:szCs w:val="21"/>
              </w:rPr>
              <w:t>品控洁净实验室实验</w:t>
            </w:r>
            <w:r>
              <w:rPr>
                <w:b/>
                <w:color w:val="auto"/>
                <w:szCs w:val="21"/>
              </w:rPr>
              <w:t>流程和产排污环节</w:t>
            </w:r>
          </w:p>
          <w:p w14:paraId="5F00D4E3">
            <w:pPr>
              <w:spacing w:line="500" w:lineRule="exact"/>
              <w:ind w:firstLine="420" w:firstLineChars="200"/>
              <w:rPr>
                <w:color w:val="auto"/>
                <w:szCs w:val="21"/>
              </w:rPr>
            </w:pPr>
            <w:r>
              <w:rPr>
                <w:rFonts w:hint="eastAsia"/>
                <w:color w:val="auto"/>
                <w:szCs w:val="21"/>
              </w:rPr>
              <w:t>流程简述：</w:t>
            </w:r>
          </w:p>
          <w:p w14:paraId="3DF3FD94">
            <w:pPr>
              <w:spacing w:line="500" w:lineRule="exact"/>
              <w:ind w:firstLine="420" w:firstLineChars="200"/>
              <w:rPr>
                <w:color w:val="auto"/>
                <w:szCs w:val="21"/>
              </w:rPr>
            </w:pPr>
            <w:r>
              <w:rPr>
                <w:rFonts w:hint="eastAsia"/>
                <w:color w:val="auto"/>
                <w:szCs w:val="21"/>
              </w:rPr>
              <w:t>①分析检测：对中间体、产品等需要检测的物质进行仪器分析，分析过程中还需要在样品中添加酸碱试剂、滴定剂或其他分析试剂，该过程会产生分析检测废气G1；产生实验室废液S</w:t>
            </w:r>
            <w:r>
              <w:rPr>
                <w:color w:val="auto"/>
                <w:szCs w:val="21"/>
              </w:rPr>
              <w:t>1</w:t>
            </w:r>
            <w:r>
              <w:rPr>
                <w:rFonts w:hint="eastAsia"/>
                <w:color w:val="auto"/>
                <w:szCs w:val="21"/>
              </w:rPr>
              <w:t>，包括废试剂、实验废液等；产生实验室废水W</w:t>
            </w:r>
            <w:r>
              <w:rPr>
                <w:color w:val="auto"/>
                <w:szCs w:val="21"/>
              </w:rPr>
              <w:t>1</w:t>
            </w:r>
            <w:r>
              <w:rPr>
                <w:rFonts w:hint="eastAsia"/>
                <w:color w:val="auto"/>
                <w:szCs w:val="21"/>
              </w:rPr>
              <w:t>，包括仪器清洗水等；</w:t>
            </w:r>
          </w:p>
          <w:p w14:paraId="5453ECEF">
            <w:pPr>
              <w:spacing w:line="500" w:lineRule="exact"/>
              <w:ind w:firstLine="420" w:firstLineChars="200"/>
              <w:rPr>
                <w:color w:val="auto"/>
                <w:szCs w:val="21"/>
              </w:rPr>
            </w:pPr>
            <w:r>
              <w:rPr>
                <w:rFonts w:hint="eastAsia"/>
                <w:color w:val="auto"/>
                <w:szCs w:val="21"/>
              </w:rPr>
              <w:t>②出具结果：该过程无污染物产生。</w:t>
            </w:r>
          </w:p>
        </w:tc>
      </w:tr>
      <w:tr w14:paraId="5A7526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19" w:hRule="atLeast"/>
          <w:jc w:val="center"/>
        </w:trPr>
        <w:tc>
          <w:tcPr>
            <w:tcW w:w="425" w:type="dxa"/>
            <w:vAlign w:val="center"/>
          </w:tcPr>
          <w:p w14:paraId="7389A0ED">
            <w:pPr>
              <w:pStyle w:val="18"/>
              <w:rPr>
                <w:color w:val="auto"/>
              </w:rPr>
            </w:pPr>
            <w:r>
              <w:rPr>
                <w:color w:val="auto"/>
                <w:sz w:val="21"/>
                <w:szCs w:val="16"/>
              </w:rPr>
              <w:t>与项目有关的原有环境污染问题</w:t>
            </w:r>
          </w:p>
        </w:tc>
        <w:tc>
          <w:tcPr>
            <w:tcW w:w="8399" w:type="dxa"/>
          </w:tcPr>
          <w:p w14:paraId="01EFACB2">
            <w:pPr>
              <w:adjustRightInd w:val="0"/>
              <w:snapToGrid w:val="0"/>
              <w:spacing w:line="500" w:lineRule="exact"/>
              <w:ind w:firstLine="422" w:firstLineChars="200"/>
              <w:rPr>
                <w:b/>
                <w:color w:val="auto"/>
                <w:szCs w:val="21"/>
              </w:rPr>
            </w:pPr>
            <w:r>
              <w:rPr>
                <w:rFonts w:hint="eastAsia"/>
                <w:b/>
                <w:color w:val="auto"/>
                <w:szCs w:val="21"/>
              </w:rPr>
              <w:t>1</w:t>
            </w:r>
            <w:r>
              <w:rPr>
                <w:b/>
                <w:color w:val="auto"/>
                <w:szCs w:val="21"/>
              </w:rPr>
              <w:t>.</w:t>
            </w:r>
            <w:r>
              <w:rPr>
                <w:rFonts w:hint="eastAsia"/>
                <w:b/>
                <w:color w:val="auto"/>
                <w:szCs w:val="21"/>
              </w:rPr>
              <w:t>现有项目环评批复及建设情况</w:t>
            </w:r>
          </w:p>
          <w:p w14:paraId="62C0E13C">
            <w:pPr>
              <w:adjustRightInd w:val="0"/>
              <w:snapToGrid w:val="0"/>
              <w:spacing w:line="500" w:lineRule="exact"/>
              <w:ind w:firstLine="420" w:firstLineChars="200"/>
              <w:rPr>
                <w:color w:val="auto"/>
                <w:szCs w:val="21"/>
              </w:rPr>
            </w:pPr>
            <w:r>
              <w:rPr>
                <w:rFonts w:hint="eastAsia"/>
                <w:color w:val="auto"/>
                <w:szCs w:val="21"/>
              </w:rPr>
              <w:t>江苏瑞兆科电子材料有限公司现有项目环评批复和建设情况见表2</w:t>
            </w:r>
            <w:r>
              <w:rPr>
                <w:color w:val="auto"/>
                <w:szCs w:val="21"/>
              </w:rPr>
              <w:t>-7</w:t>
            </w:r>
            <w:r>
              <w:rPr>
                <w:rFonts w:hint="eastAsia"/>
                <w:color w:val="auto"/>
                <w:szCs w:val="21"/>
              </w:rPr>
              <w:t>。</w:t>
            </w:r>
          </w:p>
          <w:p w14:paraId="1C8D99F6">
            <w:pPr>
              <w:snapToGrid w:val="0"/>
              <w:spacing w:line="500" w:lineRule="exact"/>
              <w:jc w:val="center"/>
              <w:rPr>
                <w:b/>
                <w:color w:val="auto"/>
                <w:szCs w:val="21"/>
              </w:rPr>
            </w:pPr>
            <w:r>
              <w:rPr>
                <w:b/>
                <w:color w:val="auto"/>
                <w:szCs w:val="21"/>
              </w:rPr>
              <w:t>表2-7  现有项目</w:t>
            </w:r>
            <w:r>
              <w:rPr>
                <w:rFonts w:hint="eastAsia"/>
                <w:b/>
                <w:color w:val="auto"/>
                <w:szCs w:val="21"/>
              </w:rPr>
              <w:t>环评批复及建设情况一览表</w:t>
            </w:r>
          </w:p>
          <w:tbl>
            <w:tblPr>
              <w:tblStyle w:val="21"/>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28" w:type="dxa"/>
                <w:left w:w="108" w:type="dxa"/>
                <w:bottom w:w="28" w:type="dxa"/>
                <w:right w:w="108" w:type="dxa"/>
              </w:tblCellMar>
            </w:tblPr>
            <w:tblGrid>
              <w:gridCol w:w="499"/>
              <w:gridCol w:w="964"/>
              <w:gridCol w:w="2734"/>
              <w:gridCol w:w="2475"/>
              <w:gridCol w:w="1536"/>
            </w:tblGrid>
            <w:tr w14:paraId="628265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108" w:type="dxa"/>
                  <w:bottom w:w="28" w:type="dxa"/>
                  <w:right w:w="108" w:type="dxa"/>
                </w:tblCellMar>
              </w:tblPrEx>
              <w:trPr>
                <w:trHeight w:val="23" w:hRule="atLeast"/>
                <w:tblHeader/>
                <w:jc w:val="center"/>
              </w:trPr>
              <w:tc>
                <w:tcPr>
                  <w:tcW w:w="304" w:type="pct"/>
                  <w:vAlign w:val="center"/>
                </w:tcPr>
                <w:p w14:paraId="0175DAD8">
                  <w:pPr>
                    <w:widowControl/>
                    <w:adjustRightInd w:val="0"/>
                    <w:snapToGrid w:val="0"/>
                    <w:jc w:val="center"/>
                    <w:rPr>
                      <w:b/>
                      <w:bCs/>
                      <w:color w:val="auto"/>
                      <w:kern w:val="0"/>
                      <w:sz w:val="18"/>
                      <w:szCs w:val="18"/>
                    </w:rPr>
                  </w:pPr>
                  <w:r>
                    <w:rPr>
                      <w:b/>
                      <w:bCs/>
                      <w:color w:val="auto"/>
                      <w:kern w:val="0"/>
                      <w:sz w:val="18"/>
                      <w:szCs w:val="18"/>
                    </w:rPr>
                    <w:t>序号</w:t>
                  </w:r>
                </w:p>
              </w:tc>
              <w:tc>
                <w:tcPr>
                  <w:tcW w:w="2252" w:type="pct"/>
                  <w:gridSpan w:val="2"/>
                  <w:vAlign w:val="center"/>
                </w:tcPr>
                <w:p w14:paraId="215951F5">
                  <w:pPr>
                    <w:adjustRightInd w:val="0"/>
                    <w:snapToGrid w:val="0"/>
                    <w:jc w:val="center"/>
                    <w:rPr>
                      <w:b/>
                      <w:color w:val="auto"/>
                      <w:kern w:val="0"/>
                      <w:sz w:val="18"/>
                      <w:szCs w:val="18"/>
                    </w:rPr>
                  </w:pPr>
                  <w:r>
                    <w:rPr>
                      <w:b/>
                      <w:color w:val="auto"/>
                      <w:kern w:val="0"/>
                      <w:sz w:val="18"/>
                      <w:szCs w:val="18"/>
                    </w:rPr>
                    <w:t>项目名称</w:t>
                  </w:r>
                </w:p>
              </w:tc>
              <w:tc>
                <w:tcPr>
                  <w:tcW w:w="1507" w:type="pct"/>
                  <w:vAlign w:val="center"/>
                </w:tcPr>
                <w:p w14:paraId="7AA9F466">
                  <w:pPr>
                    <w:widowControl/>
                    <w:adjustRightInd w:val="0"/>
                    <w:snapToGrid w:val="0"/>
                    <w:jc w:val="center"/>
                    <w:rPr>
                      <w:b/>
                      <w:bCs/>
                      <w:color w:val="auto"/>
                      <w:kern w:val="0"/>
                      <w:sz w:val="18"/>
                      <w:szCs w:val="18"/>
                    </w:rPr>
                  </w:pPr>
                  <w:r>
                    <w:rPr>
                      <w:b/>
                      <w:bCs/>
                      <w:color w:val="auto"/>
                      <w:kern w:val="0"/>
                      <w:sz w:val="18"/>
                      <w:szCs w:val="18"/>
                    </w:rPr>
                    <w:t>审批部门及批文号</w:t>
                  </w:r>
                </w:p>
              </w:tc>
              <w:tc>
                <w:tcPr>
                  <w:tcW w:w="935" w:type="pct"/>
                  <w:vAlign w:val="center"/>
                </w:tcPr>
                <w:p w14:paraId="7CEE716D">
                  <w:pPr>
                    <w:widowControl/>
                    <w:adjustRightInd w:val="0"/>
                    <w:snapToGrid w:val="0"/>
                    <w:jc w:val="center"/>
                    <w:rPr>
                      <w:b/>
                      <w:bCs/>
                      <w:color w:val="auto"/>
                      <w:kern w:val="0"/>
                      <w:sz w:val="18"/>
                      <w:szCs w:val="18"/>
                    </w:rPr>
                  </w:pPr>
                  <w:r>
                    <w:rPr>
                      <w:b/>
                      <w:bCs/>
                      <w:color w:val="auto"/>
                      <w:kern w:val="0"/>
                      <w:sz w:val="18"/>
                      <w:szCs w:val="18"/>
                    </w:rPr>
                    <w:t>建设情况</w:t>
                  </w:r>
                </w:p>
              </w:tc>
            </w:tr>
            <w:tr w14:paraId="1FEDAF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304" w:type="pct"/>
                  <w:vAlign w:val="center"/>
                </w:tcPr>
                <w:p w14:paraId="3F79BFC5">
                  <w:pPr>
                    <w:widowControl/>
                    <w:adjustRightInd w:val="0"/>
                    <w:snapToGrid w:val="0"/>
                    <w:jc w:val="center"/>
                    <w:rPr>
                      <w:bCs/>
                      <w:color w:val="auto"/>
                      <w:kern w:val="0"/>
                      <w:sz w:val="18"/>
                      <w:szCs w:val="18"/>
                    </w:rPr>
                  </w:pPr>
                  <w:r>
                    <w:rPr>
                      <w:bCs/>
                      <w:color w:val="auto"/>
                      <w:kern w:val="0"/>
                      <w:sz w:val="18"/>
                      <w:szCs w:val="18"/>
                    </w:rPr>
                    <w:t>1</w:t>
                  </w:r>
                </w:p>
              </w:tc>
              <w:tc>
                <w:tcPr>
                  <w:tcW w:w="587" w:type="pct"/>
                  <w:vMerge w:val="restart"/>
                  <w:vAlign w:val="center"/>
                </w:tcPr>
                <w:p w14:paraId="3CBEB2BF">
                  <w:pPr>
                    <w:adjustRightInd w:val="0"/>
                    <w:snapToGrid w:val="0"/>
                    <w:jc w:val="center"/>
                    <w:rPr>
                      <w:color w:val="auto"/>
                      <w:kern w:val="0"/>
                      <w:sz w:val="18"/>
                      <w:szCs w:val="18"/>
                    </w:rPr>
                  </w:pPr>
                </w:p>
              </w:tc>
              <w:tc>
                <w:tcPr>
                  <w:tcW w:w="1665" w:type="pct"/>
                  <w:vAlign w:val="center"/>
                </w:tcPr>
                <w:p w14:paraId="7ADC1C7B">
                  <w:pPr>
                    <w:adjustRightInd w:val="0"/>
                    <w:snapToGrid w:val="0"/>
                    <w:jc w:val="center"/>
                    <w:rPr>
                      <w:color w:val="auto"/>
                      <w:kern w:val="0"/>
                      <w:sz w:val="18"/>
                      <w:szCs w:val="18"/>
                    </w:rPr>
                  </w:pPr>
                </w:p>
              </w:tc>
              <w:tc>
                <w:tcPr>
                  <w:tcW w:w="1507" w:type="pct"/>
                  <w:vMerge w:val="restart"/>
                  <w:vAlign w:val="center"/>
                </w:tcPr>
                <w:p w14:paraId="693D8561">
                  <w:pPr>
                    <w:widowControl/>
                    <w:adjustRightInd w:val="0"/>
                    <w:snapToGrid w:val="0"/>
                    <w:jc w:val="center"/>
                    <w:rPr>
                      <w:color w:val="auto"/>
                      <w:sz w:val="18"/>
                      <w:szCs w:val="18"/>
                    </w:rPr>
                  </w:pPr>
                </w:p>
              </w:tc>
              <w:tc>
                <w:tcPr>
                  <w:tcW w:w="935" w:type="pct"/>
                  <w:vMerge w:val="restart"/>
                  <w:vAlign w:val="center"/>
                </w:tcPr>
                <w:p w14:paraId="4FF9097C">
                  <w:pPr>
                    <w:adjustRightInd w:val="0"/>
                    <w:snapToGrid w:val="0"/>
                    <w:jc w:val="center"/>
                    <w:rPr>
                      <w:bCs/>
                      <w:color w:val="auto"/>
                      <w:kern w:val="0"/>
                      <w:sz w:val="18"/>
                      <w:szCs w:val="18"/>
                    </w:rPr>
                  </w:pPr>
                </w:p>
              </w:tc>
            </w:tr>
            <w:tr w14:paraId="66E4B3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304" w:type="pct"/>
                  <w:vAlign w:val="center"/>
                </w:tcPr>
                <w:p w14:paraId="7C8563DC">
                  <w:pPr>
                    <w:widowControl/>
                    <w:adjustRightInd w:val="0"/>
                    <w:snapToGrid w:val="0"/>
                    <w:jc w:val="center"/>
                    <w:rPr>
                      <w:bCs/>
                      <w:color w:val="auto"/>
                      <w:kern w:val="0"/>
                      <w:sz w:val="18"/>
                      <w:szCs w:val="18"/>
                    </w:rPr>
                  </w:pPr>
                  <w:r>
                    <w:rPr>
                      <w:color w:val="auto"/>
                      <w:kern w:val="0"/>
                      <w:sz w:val="18"/>
                      <w:szCs w:val="18"/>
                    </w:rPr>
                    <w:t>2</w:t>
                  </w:r>
                </w:p>
              </w:tc>
              <w:tc>
                <w:tcPr>
                  <w:tcW w:w="587" w:type="pct"/>
                  <w:vMerge w:val="continue"/>
                  <w:vAlign w:val="center"/>
                </w:tcPr>
                <w:p w14:paraId="2454DECB">
                  <w:pPr>
                    <w:adjustRightInd w:val="0"/>
                    <w:snapToGrid w:val="0"/>
                    <w:jc w:val="center"/>
                    <w:rPr>
                      <w:color w:val="auto"/>
                      <w:kern w:val="0"/>
                      <w:sz w:val="18"/>
                      <w:szCs w:val="18"/>
                    </w:rPr>
                  </w:pPr>
                </w:p>
              </w:tc>
              <w:tc>
                <w:tcPr>
                  <w:tcW w:w="1665" w:type="pct"/>
                  <w:vAlign w:val="center"/>
                </w:tcPr>
                <w:p w14:paraId="66F3CC90">
                  <w:pPr>
                    <w:widowControl/>
                    <w:adjustRightInd w:val="0"/>
                    <w:snapToGrid w:val="0"/>
                    <w:jc w:val="center"/>
                    <w:rPr>
                      <w:color w:val="auto"/>
                      <w:kern w:val="0"/>
                      <w:sz w:val="18"/>
                      <w:szCs w:val="18"/>
                    </w:rPr>
                  </w:pPr>
                </w:p>
              </w:tc>
              <w:tc>
                <w:tcPr>
                  <w:tcW w:w="1507" w:type="pct"/>
                  <w:vMerge w:val="continue"/>
                  <w:vAlign w:val="center"/>
                </w:tcPr>
                <w:p w14:paraId="31FBA0B5">
                  <w:pPr>
                    <w:jc w:val="center"/>
                    <w:rPr>
                      <w:color w:val="auto"/>
                      <w:sz w:val="18"/>
                      <w:szCs w:val="18"/>
                    </w:rPr>
                  </w:pPr>
                </w:p>
              </w:tc>
              <w:tc>
                <w:tcPr>
                  <w:tcW w:w="935" w:type="pct"/>
                  <w:vMerge w:val="continue"/>
                  <w:vAlign w:val="center"/>
                </w:tcPr>
                <w:p w14:paraId="48365196">
                  <w:pPr>
                    <w:adjustRightInd w:val="0"/>
                    <w:snapToGrid w:val="0"/>
                    <w:jc w:val="center"/>
                    <w:rPr>
                      <w:bCs/>
                      <w:color w:val="auto"/>
                      <w:kern w:val="0"/>
                      <w:sz w:val="18"/>
                      <w:szCs w:val="18"/>
                    </w:rPr>
                  </w:pPr>
                </w:p>
              </w:tc>
            </w:tr>
            <w:tr w14:paraId="03A74B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304" w:type="pct"/>
                  <w:vAlign w:val="center"/>
                </w:tcPr>
                <w:p w14:paraId="6EC3039A">
                  <w:pPr>
                    <w:widowControl/>
                    <w:adjustRightInd w:val="0"/>
                    <w:snapToGrid w:val="0"/>
                    <w:jc w:val="center"/>
                    <w:rPr>
                      <w:bCs/>
                      <w:color w:val="auto"/>
                      <w:kern w:val="0"/>
                      <w:sz w:val="18"/>
                      <w:szCs w:val="18"/>
                    </w:rPr>
                  </w:pPr>
                  <w:r>
                    <w:rPr>
                      <w:bCs/>
                      <w:color w:val="auto"/>
                      <w:kern w:val="0"/>
                      <w:sz w:val="18"/>
                      <w:szCs w:val="18"/>
                    </w:rPr>
                    <w:t>3</w:t>
                  </w:r>
                </w:p>
              </w:tc>
              <w:tc>
                <w:tcPr>
                  <w:tcW w:w="587" w:type="pct"/>
                  <w:vMerge w:val="continue"/>
                  <w:vAlign w:val="center"/>
                </w:tcPr>
                <w:p w14:paraId="4A6E29F3">
                  <w:pPr>
                    <w:adjustRightInd w:val="0"/>
                    <w:snapToGrid w:val="0"/>
                    <w:jc w:val="center"/>
                    <w:rPr>
                      <w:color w:val="auto"/>
                      <w:kern w:val="0"/>
                      <w:sz w:val="18"/>
                      <w:szCs w:val="18"/>
                    </w:rPr>
                  </w:pPr>
                </w:p>
              </w:tc>
              <w:tc>
                <w:tcPr>
                  <w:tcW w:w="1665" w:type="pct"/>
                  <w:vAlign w:val="center"/>
                </w:tcPr>
                <w:p w14:paraId="7F4C249E">
                  <w:pPr>
                    <w:widowControl/>
                    <w:adjustRightInd w:val="0"/>
                    <w:snapToGrid w:val="0"/>
                    <w:jc w:val="center"/>
                    <w:rPr>
                      <w:color w:val="auto"/>
                      <w:kern w:val="0"/>
                      <w:sz w:val="18"/>
                      <w:szCs w:val="18"/>
                    </w:rPr>
                  </w:pPr>
                </w:p>
              </w:tc>
              <w:tc>
                <w:tcPr>
                  <w:tcW w:w="1507" w:type="pct"/>
                  <w:vMerge w:val="continue"/>
                  <w:vAlign w:val="center"/>
                </w:tcPr>
                <w:p w14:paraId="2725BD55">
                  <w:pPr>
                    <w:jc w:val="center"/>
                    <w:rPr>
                      <w:color w:val="auto"/>
                      <w:sz w:val="18"/>
                      <w:szCs w:val="18"/>
                    </w:rPr>
                  </w:pPr>
                </w:p>
              </w:tc>
              <w:tc>
                <w:tcPr>
                  <w:tcW w:w="935" w:type="pct"/>
                  <w:vAlign w:val="center"/>
                </w:tcPr>
                <w:p w14:paraId="58A66CC3">
                  <w:pPr>
                    <w:adjustRightInd w:val="0"/>
                    <w:snapToGrid w:val="0"/>
                    <w:jc w:val="center"/>
                    <w:rPr>
                      <w:bCs/>
                      <w:color w:val="auto"/>
                      <w:kern w:val="0"/>
                      <w:sz w:val="18"/>
                      <w:szCs w:val="18"/>
                    </w:rPr>
                  </w:pPr>
                </w:p>
              </w:tc>
            </w:tr>
            <w:tr w14:paraId="6EC2C2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304" w:type="pct"/>
                  <w:vAlign w:val="center"/>
                </w:tcPr>
                <w:p w14:paraId="441ABF8A">
                  <w:pPr>
                    <w:widowControl/>
                    <w:adjustRightInd w:val="0"/>
                    <w:snapToGrid w:val="0"/>
                    <w:jc w:val="center"/>
                    <w:rPr>
                      <w:bCs/>
                      <w:color w:val="auto"/>
                      <w:kern w:val="0"/>
                      <w:sz w:val="18"/>
                      <w:szCs w:val="18"/>
                    </w:rPr>
                  </w:pPr>
                  <w:bookmarkStart w:id="10" w:name="_Hlk164689379"/>
                  <w:r>
                    <w:rPr>
                      <w:rFonts w:hint="eastAsia"/>
                      <w:bCs/>
                      <w:color w:val="auto"/>
                      <w:kern w:val="0"/>
                      <w:sz w:val="18"/>
                      <w:szCs w:val="18"/>
                    </w:rPr>
                    <w:t>4</w:t>
                  </w:r>
                </w:p>
              </w:tc>
              <w:tc>
                <w:tcPr>
                  <w:tcW w:w="587" w:type="pct"/>
                  <w:vMerge w:val="restart"/>
                  <w:vAlign w:val="center"/>
                </w:tcPr>
                <w:p w14:paraId="5132E56D">
                  <w:pPr>
                    <w:widowControl/>
                    <w:adjustRightInd w:val="0"/>
                    <w:snapToGrid w:val="0"/>
                    <w:jc w:val="center"/>
                    <w:rPr>
                      <w:color w:val="auto"/>
                      <w:kern w:val="0"/>
                      <w:sz w:val="18"/>
                      <w:szCs w:val="18"/>
                    </w:rPr>
                  </w:pPr>
                </w:p>
              </w:tc>
              <w:tc>
                <w:tcPr>
                  <w:tcW w:w="1665" w:type="pct"/>
                  <w:vAlign w:val="center"/>
                </w:tcPr>
                <w:p w14:paraId="28986DB3">
                  <w:pPr>
                    <w:widowControl/>
                    <w:adjustRightInd w:val="0"/>
                    <w:snapToGrid w:val="0"/>
                    <w:jc w:val="center"/>
                    <w:rPr>
                      <w:color w:val="auto"/>
                      <w:kern w:val="0"/>
                      <w:sz w:val="18"/>
                      <w:szCs w:val="18"/>
                    </w:rPr>
                  </w:pPr>
                </w:p>
              </w:tc>
              <w:tc>
                <w:tcPr>
                  <w:tcW w:w="1507" w:type="pct"/>
                  <w:vMerge w:val="restart"/>
                  <w:vAlign w:val="center"/>
                </w:tcPr>
                <w:p w14:paraId="7AB54377">
                  <w:pPr>
                    <w:jc w:val="center"/>
                    <w:rPr>
                      <w:bCs/>
                      <w:color w:val="auto"/>
                      <w:kern w:val="0"/>
                      <w:sz w:val="18"/>
                      <w:szCs w:val="18"/>
                    </w:rPr>
                  </w:pPr>
                </w:p>
              </w:tc>
              <w:tc>
                <w:tcPr>
                  <w:tcW w:w="935" w:type="pct"/>
                  <w:vAlign w:val="center"/>
                </w:tcPr>
                <w:p w14:paraId="309211D4">
                  <w:pPr>
                    <w:widowControl/>
                    <w:adjustRightInd w:val="0"/>
                    <w:snapToGrid w:val="0"/>
                    <w:jc w:val="center"/>
                    <w:rPr>
                      <w:bCs/>
                      <w:color w:val="auto"/>
                      <w:kern w:val="0"/>
                      <w:sz w:val="18"/>
                      <w:szCs w:val="18"/>
                    </w:rPr>
                  </w:pPr>
                </w:p>
              </w:tc>
            </w:tr>
            <w:bookmarkEnd w:id="10"/>
            <w:tr w14:paraId="02D95A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304" w:type="pct"/>
                  <w:vAlign w:val="center"/>
                </w:tcPr>
                <w:p w14:paraId="40A092EA">
                  <w:pPr>
                    <w:widowControl/>
                    <w:adjustRightInd w:val="0"/>
                    <w:snapToGrid w:val="0"/>
                    <w:jc w:val="center"/>
                    <w:rPr>
                      <w:bCs/>
                      <w:color w:val="auto"/>
                      <w:kern w:val="0"/>
                      <w:sz w:val="18"/>
                      <w:szCs w:val="18"/>
                    </w:rPr>
                  </w:pPr>
                  <w:r>
                    <w:rPr>
                      <w:rFonts w:hint="eastAsia"/>
                      <w:bCs/>
                      <w:color w:val="auto"/>
                      <w:kern w:val="0"/>
                      <w:sz w:val="18"/>
                      <w:szCs w:val="18"/>
                    </w:rPr>
                    <w:t>5</w:t>
                  </w:r>
                </w:p>
              </w:tc>
              <w:tc>
                <w:tcPr>
                  <w:tcW w:w="587" w:type="pct"/>
                  <w:vMerge w:val="continue"/>
                  <w:vAlign w:val="center"/>
                </w:tcPr>
                <w:p w14:paraId="6B30EF00">
                  <w:pPr>
                    <w:widowControl/>
                    <w:adjustRightInd w:val="0"/>
                    <w:snapToGrid w:val="0"/>
                    <w:jc w:val="center"/>
                    <w:rPr>
                      <w:color w:val="auto"/>
                      <w:kern w:val="0"/>
                      <w:sz w:val="18"/>
                      <w:szCs w:val="18"/>
                    </w:rPr>
                  </w:pPr>
                </w:p>
              </w:tc>
              <w:tc>
                <w:tcPr>
                  <w:tcW w:w="1665" w:type="pct"/>
                  <w:vAlign w:val="center"/>
                </w:tcPr>
                <w:p w14:paraId="4F4DC497">
                  <w:pPr>
                    <w:widowControl/>
                    <w:adjustRightInd w:val="0"/>
                    <w:snapToGrid w:val="0"/>
                    <w:jc w:val="center"/>
                    <w:rPr>
                      <w:color w:val="auto"/>
                      <w:kern w:val="0"/>
                      <w:sz w:val="18"/>
                      <w:szCs w:val="18"/>
                    </w:rPr>
                  </w:pPr>
                </w:p>
              </w:tc>
              <w:tc>
                <w:tcPr>
                  <w:tcW w:w="1507" w:type="pct"/>
                  <w:vMerge w:val="continue"/>
                  <w:vAlign w:val="center"/>
                </w:tcPr>
                <w:p w14:paraId="757BBCC7">
                  <w:pPr>
                    <w:jc w:val="center"/>
                    <w:rPr>
                      <w:bCs/>
                      <w:color w:val="auto"/>
                      <w:kern w:val="0"/>
                      <w:sz w:val="18"/>
                      <w:szCs w:val="18"/>
                    </w:rPr>
                  </w:pPr>
                </w:p>
              </w:tc>
              <w:tc>
                <w:tcPr>
                  <w:tcW w:w="935" w:type="pct"/>
                  <w:vMerge w:val="restart"/>
                  <w:vAlign w:val="center"/>
                </w:tcPr>
                <w:p w14:paraId="306DE43A">
                  <w:pPr>
                    <w:widowControl/>
                    <w:adjustRightInd w:val="0"/>
                    <w:snapToGrid w:val="0"/>
                    <w:jc w:val="center"/>
                    <w:rPr>
                      <w:bCs/>
                      <w:color w:val="auto"/>
                      <w:kern w:val="0"/>
                      <w:sz w:val="18"/>
                      <w:szCs w:val="18"/>
                    </w:rPr>
                  </w:pPr>
                </w:p>
              </w:tc>
            </w:tr>
            <w:tr w14:paraId="583256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304" w:type="pct"/>
                  <w:vAlign w:val="center"/>
                </w:tcPr>
                <w:p w14:paraId="6782892B">
                  <w:pPr>
                    <w:widowControl/>
                    <w:adjustRightInd w:val="0"/>
                    <w:snapToGrid w:val="0"/>
                    <w:jc w:val="center"/>
                    <w:rPr>
                      <w:bCs/>
                      <w:color w:val="auto"/>
                      <w:kern w:val="0"/>
                      <w:sz w:val="18"/>
                      <w:szCs w:val="18"/>
                    </w:rPr>
                  </w:pPr>
                  <w:r>
                    <w:rPr>
                      <w:rFonts w:hint="eastAsia"/>
                      <w:bCs/>
                      <w:color w:val="auto"/>
                      <w:kern w:val="0"/>
                      <w:sz w:val="18"/>
                      <w:szCs w:val="18"/>
                    </w:rPr>
                    <w:t>6</w:t>
                  </w:r>
                </w:p>
              </w:tc>
              <w:tc>
                <w:tcPr>
                  <w:tcW w:w="587" w:type="pct"/>
                  <w:vMerge w:val="continue"/>
                  <w:vAlign w:val="center"/>
                </w:tcPr>
                <w:p w14:paraId="15D52A9E">
                  <w:pPr>
                    <w:widowControl/>
                    <w:adjustRightInd w:val="0"/>
                    <w:snapToGrid w:val="0"/>
                    <w:jc w:val="center"/>
                    <w:rPr>
                      <w:color w:val="auto"/>
                      <w:sz w:val="18"/>
                      <w:szCs w:val="18"/>
                    </w:rPr>
                  </w:pPr>
                </w:p>
              </w:tc>
              <w:tc>
                <w:tcPr>
                  <w:tcW w:w="1665" w:type="pct"/>
                  <w:vAlign w:val="center"/>
                </w:tcPr>
                <w:p w14:paraId="2DD09A69">
                  <w:pPr>
                    <w:widowControl/>
                    <w:adjustRightInd w:val="0"/>
                    <w:snapToGrid w:val="0"/>
                    <w:jc w:val="center"/>
                    <w:rPr>
                      <w:color w:val="auto"/>
                      <w:kern w:val="0"/>
                      <w:sz w:val="18"/>
                      <w:szCs w:val="18"/>
                    </w:rPr>
                  </w:pPr>
                </w:p>
              </w:tc>
              <w:tc>
                <w:tcPr>
                  <w:tcW w:w="1507" w:type="pct"/>
                  <w:vMerge w:val="continue"/>
                  <w:vAlign w:val="center"/>
                </w:tcPr>
                <w:p w14:paraId="36C06BA9">
                  <w:pPr>
                    <w:widowControl/>
                    <w:adjustRightInd w:val="0"/>
                    <w:snapToGrid w:val="0"/>
                    <w:jc w:val="center"/>
                    <w:rPr>
                      <w:rFonts w:ascii="宋体" w:hAnsi="宋体"/>
                      <w:color w:val="auto"/>
                      <w:kern w:val="0"/>
                      <w:sz w:val="18"/>
                      <w:szCs w:val="18"/>
                    </w:rPr>
                  </w:pPr>
                </w:p>
              </w:tc>
              <w:tc>
                <w:tcPr>
                  <w:tcW w:w="935" w:type="pct"/>
                  <w:vMerge w:val="continue"/>
                  <w:vAlign w:val="center"/>
                </w:tcPr>
                <w:p w14:paraId="04700311">
                  <w:pPr>
                    <w:widowControl/>
                    <w:adjustRightInd w:val="0"/>
                    <w:snapToGrid w:val="0"/>
                    <w:jc w:val="center"/>
                    <w:rPr>
                      <w:rFonts w:ascii="宋体" w:hAnsi="宋体"/>
                      <w:color w:val="auto"/>
                      <w:kern w:val="0"/>
                      <w:sz w:val="18"/>
                      <w:szCs w:val="18"/>
                    </w:rPr>
                  </w:pPr>
                </w:p>
              </w:tc>
            </w:tr>
            <w:tr w14:paraId="15CA29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304" w:type="pct"/>
                  <w:vAlign w:val="center"/>
                </w:tcPr>
                <w:p w14:paraId="1E3BB5F4">
                  <w:pPr>
                    <w:widowControl/>
                    <w:adjustRightInd w:val="0"/>
                    <w:snapToGrid w:val="0"/>
                    <w:jc w:val="center"/>
                    <w:rPr>
                      <w:bCs/>
                      <w:color w:val="auto"/>
                      <w:kern w:val="0"/>
                      <w:sz w:val="18"/>
                      <w:szCs w:val="18"/>
                    </w:rPr>
                  </w:pPr>
                  <w:r>
                    <w:rPr>
                      <w:rFonts w:hint="eastAsia"/>
                      <w:bCs/>
                      <w:color w:val="auto"/>
                      <w:kern w:val="0"/>
                      <w:sz w:val="18"/>
                      <w:szCs w:val="18"/>
                    </w:rPr>
                    <w:t>7</w:t>
                  </w:r>
                </w:p>
              </w:tc>
              <w:tc>
                <w:tcPr>
                  <w:tcW w:w="587" w:type="pct"/>
                  <w:vMerge w:val="continue"/>
                  <w:vAlign w:val="center"/>
                </w:tcPr>
                <w:p w14:paraId="73C01EAA">
                  <w:pPr>
                    <w:widowControl/>
                    <w:adjustRightInd w:val="0"/>
                    <w:snapToGrid w:val="0"/>
                    <w:jc w:val="center"/>
                    <w:rPr>
                      <w:rFonts w:ascii="宋体" w:hAnsi="宋体"/>
                      <w:color w:val="auto"/>
                      <w:kern w:val="0"/>
                      <w:sz w:val="18"/>
                      <w:szCs w:val="18"/>
                    </w:rPr>
                  </w:pPr>
                </w:p>
              </w:tc>
              <w:tc>
                <w:tcPr>
                  <w:tcW w:w="1665" w:type="pct"/>
                  <w:vAlign w:val="center"/>
                </w:tcPr>
                <w:p w14:paraId="2C655579">
                  <w:pPr>
                    <w:widowControl/>
                    <w:adjustRightInd w:val="0"/>
                    <w:snapToGrid w:val="0"/>
                    <w:jc w:val="center"/>
                    <w:rPr>
                      <w:color w:val="auto"/>
                      <w:kern w:val="0"/>
                      <w:sz w:val="18"/>
                      <w:szCs w:val="18"/>
                    </w:rPr>
                  </w:pPr>
                </w:p>
              </w:tc>
              <w:tc>
                <w:tcPr>
                  <w:tcW w:w="1507" w:type="pct"/>
                  <w:vMerge w:val="continue"/>
                  <w:vAlign w:val="center"/>
                </w:tcPr>
                <w:p w14:paraId="468CC438">
                  <w:pPr>
                    <w:widowControl/>
                    <w:adjustRightInd w:val="0"/>
                    <w:snapToGrid w:val="0"/>
                    <w:jc w:val="center"/>
                    <w:rPr>
                      <w:rFonts w:ascii="宋体" w:hAnsi="宋体"/>
                      <w:color w:val="auto"/>
                      <w:kern w:val="0"/>
                      <w:sz w:val="18"/>
                      <w:szCs w:val="18"/>
                    </w:rPr>
                  </w:pPr>
                </w:p>
              </w:tc>
              <w:tc>
                <w:tcPr>
                  <w:tcW w:w="935" w:type="pct"/>
                  <w:vMerge w:val="continue"/>
                  <w:vAlign w:val="center"/>
                </w:tcPr>
                <w:p w14:paraId="276CD8E9">
                  <w:pPr>
                    <w:widowControl/>
                    <w:adjustRightInd w:val="0"/>
                    <w:snapToGrid w:val="0"/>
                    <w:jc w:val="center"/>
                    <w:rPr>
                      <w:rFonts w:ascii="宋体" w:hAnsi="宋体"/>
                      <w:color w:val="auto"/>
                      <w:kern w:val="0"/>
                      <w:sz w:val="18"/>
                      <w:szCs w:val="18"/>
                    </w:rPr>
                  </w:pPr>
                </w:p>
              </w:tc>
            </w:tr>
            <w:tr w14:paraId="35557F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304" w:type="pct"/>
                  <w:vAlign w:val="center"/>
                </w:tcPr>
                <w:p w14:paraId="0796B438">
                  <w:pPr>
                    <w:widowControl/>
                    <w:adjustRightInd w:val="0"/>
                    <w:snapToGrid w:val="0"/>
                    <w:jc w:val="center"/>
                    <w:rPr>
                      <w:bCs/>
                      <w:color w:val="auto"/>
                      <w:kern w:val="0"/>
                      <w:sz w:val="18"/>
                      <w:szCs w:val="18"/>
                    </w:rPr>
                  </w:pPr>
                  <w:r>
                    <w:rPr>
                      <w:rFonts w:hint="eastAsia"/>
                      <w:bCs/>
                      <w:color w:val="auto"/>
                      <w:kern w:val="0"/>
                      <w:sz w:val="18"/>
                      <w:szCs w:val="18"/>
                    </w:rPr>
                    <w:t>8</w:t>
                  </w:r>
                </w:p>
              </w:tc>
              <w:tc>
                <w:tcPr>
                  <w:tcW w:w="587" w:type="pct"/>
                  <w:vMerge w:val="continue"/>
                  <w:vAlign w:val="center"/>
                </w:tcPr>
                <w:p w14:paraId="3B8C748D">
                  <w:pPr>
                    <w:widowControl/>
                    <w:adjustRightInd w:val="0"/>
                    <w:snapToGrid w:val="0"/>
                    <w:jc w:val="center"/>
                    <w:rPr>
                      <w:rFonts w:ascii="宋体" w:hAnsi="宋体"/>
                      <w:color w:val="auto"/>
                      <w:kern w:val="0"/>
                      <w:sz w:val="18"/>
                      <w:szCs w:val="18"/>
                    </w:rPr>
                  </w:pPr>
                </w:p>
              </w:tc>
              <w:tc>
                <w:tcPr>
                  <w:tcW w:w="1665" w:type="pct"/>
                  <w:vAlign w:val="center"/>
                </w:tcPr>
                <w:p w14:paraId="16602582">
                  <w:pPr>
                    <w:widowControl/>
                    <w:adjustRightInd w:val="0"/>
                    <w:snapToGrid w:val="0"/>
                    <w:jc w:val="center"/>
                    <w:rPr>
                      <w:color w:val="auto"/>
                      <w:kern w:val="0"/>
                      <w:sz w:val="18"/>
                      <w:szCs w:val="18"/>
                    </w:rPr>
                  </w:pPr>
                </w:p>
              </w:tc>
              <w:tc>
                <w:tcPr>
                  <w:tcW w:w="1507" w:type="pct"/>
                  <w:vMerge w:val="continue"/>
                  <w:vAlign w:val="center"/>
                </w:tcPr>
                <w:p w14:paraId="018BAF5E">
                  <w:pPr>
                    <w:widowControl/>
                    <w:adjustRightInd w:val="0"/>
                    <w:snapToGrid w:val="0"/>
                    <w:jc w:val="center"/>
                    <w:rPr>
                      <w:rFonts w:ascii="宋体" w:hAnsi="宋体"/>
                      <w:color w:val="auto"/>
                      <w:kern w:val="0"/>
                      <w:sz w:val="18"/>
                      <w:szCs w:val="18"/>
                    </w:rPr>
                  </w:pPr>
                </w:p>
              </w:tc>
              <w:tc>
                <w:tcPr>
                  <w:tcW w:w="935" w:type="pct"/>
                  <w:vMerge w:val="continue"/>
                  <w:vAlign w:val="center"/>
                </w:tcPr>
                <w:p w14:paraId="5425485A">
                  <w:pPr>
                    <w:widowControl/>
                    <w:adjustRightInd w:val="0"/>
                    <w:snapToGrid w:val="0"/>
                    <w:jc w:val="center"/>
                    <w:rPr>
                      <w:rFonts w:ascii="宋体" w:hAnsi="宋体"/>
                      <w:color w:val="auto"/>
                      <w:kern w:val="0"/>
                      <w:sz w:val="18"/>
                      <w:szCs w:val="18"/>
                    </w:rPr>
                  </w:pPr>
                </w:p>
              </w:tc>
            </w:tr>
            <w:tr w14:paraId="63AC8B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304" w:type="pct"/>
                  <w:vAlign w:val="center"/>
                </w:tcPr>
                <w:p w14:paraId="2C1ABCFC">
                  <w:pPr>
                    <w:widowControl/>
                    <w:adjustRightInd w:val="0"/>
                    <w:snapToGrid w:val="0"/>
                    <w:jc w:val="center"/>
                    <w:rPr>
                      <w:bCs/>
                      <w:color w:val="auto"/>
                      <w:kern w:val="0"/>
                      <w:sz w:val="18"/>
                      <w:szCs w:val="18"/>
                    </w:rPr>
                  </w:pPr>
                  <w:r>
                    <w:rPr>
                      <w:rFonts w:hint="eastAsia"/>
                      <w:bCs/>
                      <w:color w:val="auto"/>
                      <w:kern w:val="0"/>
                      <w:sz w:val="18"/>
                      <w:szCs w:val="18"/>
                    </w:rPr>
                    <w:t>9</w:t>
                  </w:r>
                </w:p>
              </w:tc>
              <w:tc>
                <w:tcPr>
                  <w:tcW w:w="587" w:type="pct"/>
                  <w:vMerge w:val="continue"/>
                  <w:vAlign w:val="center"/>
                </w:tcPr>
                <w:p w14:paraId="18D0E75E">
                  <w:pPr>
                    <w:widowControl/>
                    <w:adjustRightInd w:val="0"/>
                    <w:snapToGrid w:val="0"/>
                    <w:jc w:val="center"/>
                    <w:rPr>
                      <w:rFonts w:ascii="宋体" w:hAnsi="宋体"/>
                      <w:color w:val="auto"/>
                      <w:kern w:val="0"/>
                      <w:sz w:val="18"/>
                      <w:szCs w:val="18"/>
                    </w:rPr>
                  </w:pPr>
                </w:p>
              </w:tc>
              <w:tc>
                <w:tcPr>
                  <w:tcW w:w="1665" w:type="pct"/>
                  <w:vAlign w:val="center"/>
                </w:tcPr>
                <w:p w14:paraId="2148B021">
                  <w:pPr>
                    <w:widowControl/>
                    <w:adjustRightInd w:val="0"/>
                    <w:snapToGrid w:val="0"/>
                    <w:jc w:val="center"/>
                    <w:rPr>
                      <w:color w:val="auto"/>
                      <w:kern w:val="0"/>
                      <w:sz w:val="18"/>
                      <w:szCs w:val="18"/>
                    </w:rPr>
                  </w:pPr>
                </w:p>
              </w:tc>
              <w:tc>
                <w:tcPr>
                  <w:tcW w:w="1507" w:type="pct"/>
                  <w:vMerge w:val="continue"/>
                  <w:vAlign w:val="center"/>
                </w:tcPr>
                <w:p w14:paraId="7C99B78E">
                  <w:pPr>
                    <w:widowControl/>
                    <w:adjustRightInd w:val="0"/>
                    <w:snapToGrid w:val="0"/>
                    <w:jc w:val="center"/>
                    <w:rPr>
                      <w:rFonts w:ascii="宋体" w:hAnsi="宋体"/>
                      <w:color w:val="auto"/>
                      <w:kern w:val="0"/>
                      <w:sz w:val="18"/>
                      <w:szCs w:val="18"/>
                    </w:rPr>
                  </w:pPr>
                </w:p>
              </w:tc>
              <w:tc>
                <w:tcPr>
                  <w:tcW w:w="935" w:type="pct"/>
                  <w:vMerge w:val="continue"/>
                  <w:vAlign w:val="center"/>
                </w:tcPr>
                <w:p w14:paraId="63B2F6A2">
                  <w:pPr>
                    <w:widowControl/>
                    <w:adjustRightInd w:val="0"/>
                    <w:snapToGrid w:val="0"/>
                    <w:jc w:val="center"/>
                    <w:rPr>
                      <w:rFonts w:ascii="宋体" w:hAnsi="宋体"/>
                      <w:color w:val="auto"/>
                      <w:kern w:val="0"/>
                      <w:sz w:val="18"/>
                      <w:szCs w:val="18"/>
                    </w:rPr>
                  </w:pPr>
                </w:p>
              </w:tc>
            </w:tr>
            <w:tr w14:paraId="16DD9E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304" w:type="pct"/>
                  <w:vAlign w:val="center"/>
                </w:tcPr>
                <w:p w14:paraId="6D5F68A2">
                  <w:pPr>
                    <w:widowControl/>
                    <w:adjustRightInd w:val="0"/>
                    <w:snapToGrid w:val="0"/>
                    <w:jc w:val="center"/>
                    <w:rPr>
                      <w:bCs/>
                      <w:color w:val="auto"/>
                      <w:kern w:val="0"/>
                      <w:sz w:val="18"/>
                      <w:szCs w:val="18"/>
                    </w:rPr>
                  </w:pPr>
                  <w:r>
                    <w:rPr>
                      <w:rFonts w:hint="eastAsia"/>
                      <w:bCs/>
                      <w:color w:val="auto"/>
                      <w:kern w:val="0"/>
                      <w:sz w:val="18"/>
                      <w:szCs w:val="18"/>
                    </w:rPr>
                    <w:t>10</w:t>
                  </w:r>
                </w:p>
              </w:tc>
              <w:tc>
                <w:tcPr>
                  <w:tcW w:w="587" w:type="pct"/>
                  <w:vMerge w:val="continue"/>
                  <w:vAlign w:val="center"/>
                </w:tcPr>
                <w:p w14:paraId="003DF2CF">
                  <w:pPr>
                    <w:widowControl/>
                    <w:adjustRightInd w:val="0"/>
                    <w:snapToGrid w:val="0"/>
                    <w:jc w:val="center"/>
                    <w:rPr>
                      <w:rFonts w:ascii="宋体" w:hAnsi="宋体"/>
                      <w:color w:val="auto"/>
                      <w:kern w:val="0"/>
                      <w:sz w:val="18"/>
                      <w:szCs w:val="18"/>
                    </w:rPr>
                  </w:pPr>
                </w:p>
              </w:tc>
              <w:tc>
                <w:tcPr>
                  <w:tcW w:w="1665" w:type="pct"/>
                  <w:vAlign w:val="center"/>
                </w:tcPr>
                <w:p w14:paraId="6398AEA9">
                  <w:pPr>
                    <w:widowControl/>
                    <w:adjustRightInd w:val="0"/>
                    <w:snapToGrid w:val="0"/>
                    <w:jc w:val="center"/>
                    <w:rPr>
                      <w:color w:val="auto"/>
                      <w:kern w:val="0"/>
                      <w:sz w:val="18"/>
                      <w:szCs w:val="18"/>
                    </w:rPr>
                  </w:pPr>
                </w:p>
              </w:tc>
              <w:tc>
                <w:tcPr>
                  <w:tcW w:w="1507" w:type="pct"/>
                  <w:vMerge w:val="continue"/>
                  <w:vAlign w:val="center"/>
                </w:tcPr>
                <w:p w14:paraId="737183D3">
                  <w:pPr>
                    <w:widowControl/>
                    <w:adjustRightInd w:val="0"/>
                    <w:snapToGrid w:val="0"/>
                    <w:jc w:val="center"/>
                    <w:rPr>
                      <w:rFonts w:ascii="宋体" w:hAnsi="宋体"/>
                      <w:color w:val="auto"/>
                      <w:kern w:val="0"/>
                      <w:sz w:val="18"/>
                      <w:szCs w:val="18"/>
                    </w:rPr>
                  </w:pPr>
                </w:p>
              </w:tc>
              <w:tc>
                <w:tcPr>
                  <w:tcW w:w="935" w:type="pct"/>
                  <w:vMerge w:val="continue"/>
                  <w:vAlign w:val="center"/>
                </w:tcPr>
                <w:p w14:paraId="49B098AA">
                  <w:pPr>
                    <w:widowControl/>
                    <w:adjustRightInd w:val="0"/>
                    <w:snapToGrid w:val="0"/>
                    <w:jc w:val="center"/>
                    <w:rPr>
                      <w:rFonts w:ascii="宋体" w:hAnsi="宋体"/>
                      <w:color w:val="auto"/>
                      <w:kern w:val="0"/>
                      <w:sz w:val="18"/>
                      <w:szCs w:val="18"/>
                    </w:rPr>
                  </w:pPr>
                </w:p>
              </w:tc>
            </w:tr>
            <w:tr w14:paraId="406D71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304" w:type="pct"/>
                  <w:vAlign w:val="center"/>
                </w:tcPr>
                <w:p w14:paraId="4F23FD04">
                  <w:pPr>
                    <w:widowControl/>
                    <w:adjustRightInd w:val="0"/>
                    <w:snapToGrid w:val="0"/>
                    <w:jc w:val="center"/>
                    <w:rPr>
                      <w:bCs/>
                      <w:color w:val="auto"/>
                      <w:kern w:val="0"/>
                      <w:sz w:val="18"/>
                      <w:szCs w:val="18"/>
                    </w:rPr>
                  </w:pPr>
                  <w:r>
                    <w:rPr>
                      <w:rFonts w:hint="eastAsia"/>
                      <w:bCs/>
                      <w:color w:val="auto"/>
                      <w:kern w:val="0"/>
                      <w:sz w:val="18"/>
                      <w:szCs w:val="18"/>
                    </w:rPr>
                    <w:t>11</w:t>
                  </w:r>
                </w:p>
              </w:tc>
              <w:tc>
                <w:tcPr>
                  <w:tcW w:w="587" w:type="pct"/>
                  <w:vMerge w:val="continue"/>
                  <w:vAlign w:val="center"/>
                </w:tcPr>
                <w:p w14:paraId="32AE6AE8">
                  <w:pPr>
                    <w:widowControl/>
                    <w:adjustRightInd w:val="0"/>
                    <w:snapToGrid w:val="0"/>
                    <w:jc w:val="center"/>
                    <w:rPr>
                      <w:rFonts w:ascii="宋体" w:hAnsi="宋体"/>
                      <w:color w:val="auto"/>
                      <w:kern w:val="0"/>
                      <w:sz w:val="18"/>
                      <w:szCs w:val="18"/>
                    </w:rPr>
                  </w:pPr>
                </w:p>
              </w:tc>
              <w:tc>
                <w:tcPr>
                  <w:tcW w:w="1665" w:type="pct"/>
                  <w:vAlign w:val="center"/>
                </w:tcPr>
                <w:p w14:paraId="684801B2">
                  <w:pPr>
                    <w:widowControl/>
                    <w:adjustRightInd w:val="0"/>
                    <w:snapToGrid w:val="0"/>
                    <w:jc w:val="center"/>
                    <w:rPr>
                      <w:color w:val="auto"/>
                      <w:kern w:val="0"/>
                      <w:sz w:val="18"/>
                      <w:szCs w:val="18"/>
                    </w:rPr>
                  </w:pPr>
                </w:p>
              </w:tc>
              <w:tc>
                <w:tcPr>
                  <w:tcW w:w="1507" w:type="pct"/>
                  <w:vMerge w:val="continue"/>
                  <w:vAlign w:val="center"/>
                </w:tcPr>
                <w:p w14:paraId="2D760B71">
                  <w:pPr>
                    <w:widowControl/>
                    <w:adjustRightInd w:val="0"/>
                    <w:snapToGrid w:val="0"/>
                    <w:jc w:val="center"/>
                    <w:rPr>
                      <w:rFonts w:ascii="宋体" w:hAnsi="宋体"/>
                      <w:color w:val="auto"/>
                      <w:kern w:val="0"/>
                      <w:sz w:val="18"/>
                      <w:szCs w:val="18"/>
                    </w:rPr>
                  </w:pPr>
                </w:p>
              </w:tc>
              <w:tc>
                <w:tcPr>
                  <w:tcW w:w="935" w:type="pct"/>
                  <w:vMerge w:val="continue"/>
                  <w:vAlign w:val="center"/>
                </w:tcPr>
                <w:p w14:paraId="6B33E1E1">
                  <w:pPr>
                    <w:widowControl/>
                    <w:adjustRightInd w:val="0"/>
                    <w:snapToGrid w:val="0"/>
                    <w:jc w:val="center"/>
                    <w:rPr>
                      <w:rFonts w:ascii="宋体" w:hAnsi="宋体"/>
                      <w:color w:val="auto"/>
                      <w:kern w:val="0"/>
                      <w:sz w:val="18"/>
                      <w:szCs w:val="18"/>
                    </w:rPr>
                  </w:pPr>
                </w:p>
              </w:tc>
            </w:tr>
            <w:tr w14:paraId="4A44DD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304" w:type="pct"/>
                  <w:vAlign w:val="center"/>
                </w:tcPr>
                <w:p w14:paraId="18730980">
                  <w:pPr>
                    <w:widowControl/>
                    <w:adjustRightInd w:val="0"/>
                    <w:snapToGrid w:val="0"/>
                    <w:jc w:val="center"/>
                    <w:rPr>
                      <w:bCs/>
                      <w:color w:val="auto"/>
                      <w:kern w:val="0"/>
                      <w:sz w:val="18"/>
                      <w:szCs w:val="18"/>
                    </w:rPr>
                  </w:pPr>
                  <w:r>
                    <w:rPr>
                      <w:rFonts w:hint="eastAsia"/>
                      <w:bCs/>
                      <w:color w:val="auto"/>
                      <w:kern w:val="0"/>
                      <w:sz w:val="18"/>
                      <w:szCs w:val="18"/>
                    </w:rPr>
                    <w:t>12</w:t>
                  </w:r>
                </w:p>
              </w:tc>
              <w:tc>
                <w:tcPr>
                  <w:tcW w:w="587" w:type="pct"/>
                  <w:vAlign w:val="center"/>
                </w:tcPr>
                <w:p w14:paraId="07FAC3C2">
                  <w:pPr>
                    <w:widowControl/>
                    <w:adjustRightInd w:val="0"/>
                    <w:snapToGrid w:val="0"/>
                    <w:jc w:val="center"/>
                    <w:rPr>
                      <w:rFonts w:ascii="宋体" w:hAnsi="宋体"/>
                      <w:color w:val="auto"/>
                      <w:kern w:val="0"/>
                      <w:sz w:val="18"/>
                      <w:szCs w:val="18"/>
                    </w:rPr>
                  </w:pPr>
                </w:p>
              </w:tc>
              <w:tc>
                <w:tcPr>
                  <w:tcW w:w="1665" w:type="pct"/>
                  <w:vAlign w:val="center"/>
                </w:tcPr>
                <w:p w14:paraId="29D972CC">
                  <w:pPr>
                    <w:widowControl/>
                    <w:adjustRightInd w:val="0"/>
                    <w:snapToGrid w:val="0"/>
                    <w:jc w:val="center"/>
                    <w:rPr>
                      <w:color w:val="auto"/>
                      <w:kern w:val="0"/>
                      <w:sz w:val="18"/>
                      <w:szCs w:val="18"/>
                    </w:rPr>
                  </w:pPr>
                </w:p>
              </w:tc>
              <w:tc>
                <w:tcPr>
                  <w:tcW w:w="1507" w:type="pct"/>
                  <w:vAlign w:val="center"/>
                </w:tcPr>
                <w:p w14:paraId="20BF51D9">
                  <w:pPr>
                    <w:widowControl/>
                    <w:adjustRightInd w:val="0"/>
                    <w:snapToGrid w:val="0"/>
                    <w:jc w:val="center"/>
                    <w:rPr>
                      <w:rFonts w:ascii="宋体" w:hAnsi="宋体"/>
                      <w:color w:val="auto"/>
                      <w:kern w:val="0"/>
                      <w:sz w:val="18"/>
                      <w:szCs w:val="18"/>
                    </w:rPr>
                  </w:pPr>
                </w:p>
              </w:tc>
              <w:tc>
                <w:tcPr>
                  <w:tcW w:w="935" w:type="pct"/>
                  <w:vAlign w:val="center"/>
                </w:tcPr>
                <w:p w14:paraId="164D0A54">
                  <w:pPr>
                    <w:widowControl/>
                    <w:adjustRightInd w:val="0"/>
                    <w:snapToGrid w:val="0"/>
                    <w:jc w:val="center"/>
                    <w:rPr>
                      <w:rFonts w:ascii="宋体" w:hAnsi="宋体"/>
                      <w:color w:val="auto"/>
                      <w:kern w:val="0"/>
                      <w:sz w:val="18"/>
                      <w:szCs w:val="18"/>
                    </w:rPr>
                  </w:pPr>
                </w:p>
              </w:tc>
            </w:tr>
          </w:tbl>
          <w:p w14:paraId="7FD7D5EF">
            <w:pPr>
              <w:adjustRightInd w:val="0"/>
              <w:snapToGrid w:val="0"/>
              <w:spacing w:line="500" w:lineRule="exact"/>
              <w:ind w:firstLine="422" w:firstLineChars="200"/>
              <w:rPr>
                <w:b/>
                <w:color w:val="auto"/>
                <w:szCs w:val="21"/>
              </w:rPr>
            </w:pPr>
            <w:r>
              <w:rPr>
                <w:b/>
                <w:color w:val="auto"/>
                <w:szCs w:val="21"/>
              </w:rPr>
              <w:t>2.</w:t>
            </w:r>
            <w:r>
              <w:rPr>
                <w:rFonts w:hint="eastAsia"/>
                <w:b/>
                <w:color w:val="auto"/>
                <w:szCs w:val="21"/>
              </w:rPr>
              <w:t>排污许可履行情况</w:t>
            </w:r>
          </w:p>
          <w:p w14:paraId="6B028354">
            <w:pPr>
              <w:adjustRightInd w:val="0"/>
              <w:snapToGrid w:val="0"/>
              <w:spacing w:line="500" w:lineRule="exact"/>
              <w:ind w:firstLine="420" w:firstLineChars="200"/>
              <w:rPr>
                <w:color w:val="auto"/>
                <w:szCs w:val="21"/>
              </w:rPr>
            </w:pPr>
            <w:r>
              <w:rPr>
                <w:rFonts w:hint="eastAsia"/>
                <w:color w:val="auto"/>
                <w:szCs w:val="21"/>
              </w:rPr>
              <w:t>江苏瑞兆科电子材料有限公司现有项目已纳入排污许可登记管理，申领时间为2024年2月5日，证书编号</w:t>
            </w:r>
            <w:r>
              <w:rPr>
                <w:rFonts w:hint="eastAsia"/>
                <w:color w:val="auto"/>
                <w:szCs w:val="21"/>
                <w:lang w:eastAsia="zh-CN"/>
              </w:rPr>
              <w:t>：</w:t>
            </w:r>
            <w:r>
              <w:rPr>
                <w:rFonts w:hint="eastAsia"/>
                <w:color w:val="auto"/>
                <w:szCs w:val="21"/>
              </w:rPr>
              <w:t>91320700MA1W5L141R001Q，详见附件6。</w:t>
            </w:r>
          </w:p>
        </w:tc>
      </w:tr>
    </w:tbl>
    <w:p w14:paraId="5B5F497D">
      <w:pPr>
        <w:pStyle w:val="18"/>
        <w:rPr>
          <w:color w:val="auto"/>
        </w:rPr>
        <w:sectPr>
          <w:type w:val="nextColumn"/>
          <w:pgSz w:w="11906" w:h="16838"/>
          <w:pgMar w:top="1418" w:right="1418" w:bottom="1418" w:left="1418" w:header="851" w:footer="851" w:gutter="0"/>
          <w:cols w:space="720" w:num="1"/>
          <w:docGrid w:linePitch="312" w:charSpace="0"/>
        </w:sectPr>
      </w:pPr>
    </w:p>
    <w:tbl>
      <w:tblPr>
        <w:tblStyle w:val="21"/>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662"/>
        <w:gridCol w:w="8388"/>
      </w:tblGrid>
      <w:tr w14:paraId="678AC5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19" w:hRule="atLeast"/>
          <w:jc w:val="center"/>
        </w:trPr>
        <w:tc>
          <w:tcPr>
            <w:tcW w:w="366" w:type="pct"/>
            <w:vAlign w:val="center"/>
          </w:tcPr>
          <w:p w14:paraId="71931C45">
            <w:pPr>
              <w:pStyle w:val="18"/>
              <w:rPr>
                <w:color w:val="auto"/>
              </w:rPr>
            </w:pPr>
            <w:r>
              <w:rPr>
                <w:color w:val="auto"/>
                <w:sz w:val="21"/>
                <w:szCs w:val="16"/>
              </w:rPr>
              <w:t>与项目有关的原有环境污染问题</w:t>
            </w:r>
          </w:p>
        </w:tc>
        <w:tc>
          <w:tcPr>
            <w:tcW w:w="4634" w:type="pct"/>
          </w:tcPr>
          <w:p w14:paraId="33B0776E">
            <w:pPr>
              <w:adjustRightInd w:val="0"/>
              <w:snapToGrid w:val="0"/>
              <w:spacing w:line="500" w:lineRule="exact"/>
              <w:ind w:firstLine="422" w:firstLineChars="200"/>
              <w:rPr>
                <w:b/>
                <w:color w:val="auto"/>
                <w:szCs w:val="21"/>
              </w:rPr>
            </w:pPr>
            <w:r>
              <w:rPr>
                <w:b/>
                <w:color w:val="auto"/>
                <w:szCs w:val="21"/>
              </w:rPr>
              <w:t>3.</w:t>
            </w:r>
            <w:r>
              <w:rPr>
                <w:rFonts w:hint="eastAsia"/>
                <w:b/>
                <w:color w:val="auto"/>
                <w:szCs w:val="21"/>
              </w:rPr>
              <w:t>现有项目主体工程及产品方案</w:t>
            </w:r>
          </w:p>
          <w:p w14:paraId="13E29440">
            <w:pPr>
              <w:adjustRightInd w:val="0"/>
              <w:snapToGrid w:val="0"/>
              <w:spacing w:line="500" w:lineRule="exact"/>
              <w:ind w:firstLine="420" w:firstLineChars="200"/>
              <w:rPr>
                <w:color w:val="auto"/>
                <w:szCs w:val="21"/>
              </w:rPr>
            </w:pPr>
            <w:r>
              <w:rPr>
                <w:rFonts w:hint="eastAsia"/>
                <w:color w:val="auto"/>
                <w:szCs w:val="21"/>
              </w:rPr>
              <w:t>瑞兆科公司现有项目主体工程和产品方案见表2</w:t>
            </w:r>
            <w:r>
              <w:rPr>
                <w:color w:val="auto"/>
                <w:szCs w:val="21"/>
              </w:rPr>
              <w:t>-8</w:t>
            </w:r>
            <w:r>
              <w:rPr>
                <w:rFonts w:hint="eastAsia"/>
                <w:color w:val="auto"/>
                <w:szCs w:val="21"/>
              </w:rPr>
              <w:t>。</w:t>
            </w:r>
          </w:p>
          <w:p w14:paraId="765E1431">
            <w:pPr>
              <w:snapToGrid w:val="0"/>
              <w:spacing w:line="500" w:lineRule="exact"/>
              <w:jc w:val="center"/>
              <w:rPr>
                <w:b/>
                <w:color w:val="auto"/>
                <w:szCs w:val="21"/>
              </w:rPr>
            </w:pPr>
            <w:r>
              <w:rPr>
                <w:b/>
                <w:color w:val="auto"/>
                <w:szCs w:val="21"/>
              </w:rPr>
              <w:t>表2-8  现有项目</w:t>
            </w:r>
            <w:r>
              <w:rPr>
                <w:rFonts w:hint="eastAsia"/>
                <w:b/>
                <w:color w:val="auto"/>
                <w:szCs w:val="21"/>
              </w:rPr>
              <w:t>主体工程及产品方案一览表</w:t>
            </w:r>
          </w:p>
          <w:tbl>
            <w:tblPr>
              <w:tblStyle w:val="21"/>
              <w:tblW w:w="4998" w:type="pct"/>
              <w:tblInd w:w="0" w:type="dxa"/>
              <w:tblBorders>
                <w:top w:val="single" w:color="000000"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526"/>
              <w:gridCol w:w="1124"/>
              <w:gridCol w:w="1208"/>
              <w:gridCol w:w="1231"/>
              <w:gridCol w:w="2584"/>
              <w:gridCol w:w="1496"/>
            </w:tblGrid>
            <w:tr w14:paraId="0A7A52D2">
              <w:tblPrEx>
                <w:tblBorders>
                  <w:top w:val="single" w:color="000000"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22" w:type="pct"/>
                  <w:vAlign w:val="center"/>
                </w:tcPr>
                <w:p w14:paraId="7FABDB8B">
                  <w:pPr>
                    <w:widowControl/>
                    <w:adjustRightInd w:val="0"/>
                    <w:snapToGrid w:val="0"/>
                    <w:jc w:val="center"/>
                    <w:rPr>
                      <w:b/>
                      <w:bCs/>
                      <w:color w:val="auto"/>
                      <w:kern w:val="0"/>
                      <w:sz w:val="18"/>
                      <w:szCs w:val="18"/>
                    </w:rPr>
                  </w:pPr>
                  <w:r>
                    <w:rPr>
                      <w:rFonts w:hint="eastAsia"/>
                      <w:b/>
                      <w:bCs/>
                      <w:color w:val="auto"/>
                      <w:kern w:val="0"/>
                      <w:sz w:val="18"/>
                      <w:szCs w:val="18"/>
                    </w:rPr>
                    <w:t>序号</w:t>
                  </w:r>
                </w:p>
              </w:tc>
              <w:tc>
                <w:tcPr>
                  <w:tcW w:w="688" w:type="pct"/>
                  <w:vAlign w:val="center"/>
                </w:tcPr>
                <w:p w14:paraId="245BF86E">
                  <w:pPr>
                    <w:widowControl/>
                    <w:adjustRightInd w:val="0"/>
                    <w:snapToGrid w:val="0"/>
                    <w:jc w:val="center"/>
                    <w:rPr>
                      <w:b/>
                      <w:bCs/>
                      <w:color w:val="auto"/>
                      <w:kern w:val="0"/>
                      <w:sz w:val="18"/>
                      <w:szCs w:val="18"/>
                    </w:rPr>
                  </w:pPr>
                  <w:r>
                    <w:rPr>
                      <w:rFonts w:hint="eastAsia"/>
                      <w:b/>
                      <w:bCs/>
                      <w:color w:val="auto"/>
                      <w:kern w:val="0"/>
                      <w:sz w:val="18"/>
                      <w:szCs w:val="18"/>
                    </w:rPr>
                    <w:t>项目名称</w:t>
                  </w:r>
                </w:p>
              </w:tc>
              <w:tc>
                <w:tcPr>
                  <w:tcW w:w="739" w:type="pct"/>
                  <w:vAlign w:val="center"/>
                </w:tcPr>
                <w:p w14:paraId="4AD7238A">
                  <w:pPr>
                    <w:widowControl/>
                    <w:adjustRightInd w:val="0"/>
                    <w:snapToGrid w:val="0"/>
                    <w:jc w:val="center"/>
                    <w:rPr>
                      <w:b/>
                      <w:bCs/>
                      <w:color w:val="auto"/>
                      <w:kern w:val="0"/>
                      <w:sz w:val="18"/>
                      <w:szCs w:val="18"/>
                    </w:rPr>
                  </w:pPr>
                  <w:r>
                    <w:rPr>
                      <w:rFonts w:hint="eastAsia"/>
                      <w:b/>
                      <w:bCs/>
                      <w:color w:val="auto"/>
                      <w:kern w:val="0"/>
                      <w:sz w:val="18"/>
                      <w:szCs w:val="18"/>
                    </w:rPr>
                    <w:t>生产装置名称</w:t>
                  </w:r>
                </w:p>
              </w:tc>
              <w:tc>
                <w:tcPr>
                  <w:tcW w:w="753" w:type="pct"/>
                  <w:vAlign w:val="center"/>
                </w:tcPr>
                <w:p w14:paraId="07B2E97A">
                  <w:pPr>
                    <w:widowControl/>
                    <w:adjustRightInd w:val="0"/>
                    <w:snapToGrid w:val="0"/>
                    <w:jc w:val="center"/>
                    <w:rPr>
                      <w:rFonts w:hint="default" w:eastAsia="宋体"/>
                      <w:b/>
                      <w:bCs/>
                      <w:color w:val="auto"/>
                      <w:kern w:val="0"/>
                      <w:sz w:val="18"/>
                      <w:szCs w:val="18"/>
                      <w:lang w:val="en-US" w:eastAsia="zh-CN"/>
                    </w:rPr>
                  </w:pPr>
                  <w:r>
                    <w:rPr>
                      <w:rFonts w:hint="eastAsia"/>
                      <w:b/>
                      <w:bCs/>
                      <w:color w:val="auto"/>
                      <w:kern w:val="0"/>
                      <w:sz w:val="18"/>
                      <w:szCs w:val="18"/>
                      <w:lang w:val="en-US" w:eastAsia="zh-CN"/>
                    </w:rPr>
                    <w:t>产物属性</w:t>
                  </w:r>
                </w:p>
              </w:tc>
              <w:tc>
                <w:tcPr>
                  <w:tcW w:w="1581" w:type="pct"/>
                  <w:vAlign w:val="center"/>
                </w:tcPr>
                <w:p w14:paraId="554BC452">
                  <w:pPr>
                    <w:widowControl/>
                    <w:adjustRightInd w:val="0"/>
                    <w:snapToGrid w:val="0"/>
                    <w:jc w:val="center"/>
                    <w:rPr>
                      <w:b/>
                      <w:bCs/>
                      <w:color w:val="auto"/>
                      <w:kern w:val="0"/>
                      <w:sz w:val="18"/>
                      <w:szCs w:val="18"/>
                    </w:rPr>
                  </w:pPr>
                  <w:r>
                    <w:rPr>
                      <w:rFonts w:hint="eastAsia"/>
                      <w:b/>
                      <w:bCs/>
                      <w:color w:val="auto"/>
                      <w:kern w:val="0"/>
                      <w:sz w:val="18"/>
                      <w:szCs w:val="18"/>
                    </w:rPr>
                    <w:t>名称</w:t>
                  </w:r>
                </w:p>
              </w:tc>
              <w:tc>
                <w:tcPr>
                  <w:tcW w:w="915" w:type="pct"/>
                  <w:vAlign w:val="center"/>
                </w:tcPr>
                <w:p w14:paraId="12CEC220">
                  <w:pPr>
                    <w:widowControl/>
                    <w:adjustRightInd w:val="0"/>
                    <w:snapToGrid w:val="0"/>
                    <w:jc w:val="center"/>
                    <w:rPr>
                      <w:b/>
                      <w:bCs/>
                      <w:color w:val="auto"/>
                      <w:kern w:val="0"/>
                      <w:sz w:val="18"/>
                      <w:szCs w:val="18"/>
                    </w:rPr>
                  </w:pPr>
                  <w:r>
                    <w:rPr>
                      <w:rFonts w:hint="eastAsia"/>
                      <w:b/>
                      <w:bCs/>
                      <w:color w:val="auto"/>
                      <w:kern w:val="0"/>
                      <w:sz w:val="18"/>
                      <w:szCs w:val="18"/>
                    </w:rPr>
                    <w:t>设计能力（t/a）</w:t>
                  </w:r>
                </w:p>
              </w:tc>
            </w:tr>
            <w:tr w14:paraId="36892401">
              <w:tblPrEx>
                <w:tblBorders>
                  <w:top w:val="single" w:color="000000"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22" w:type="pct"/>
                  <w:vAlign w:val="center"/>
                </w:tcPr>
                <w:p w14:paraId="59883926">
                  <w:pPr>
                    <w:widowControl/>
                    <w:adjustRightInd w:val="0"/>
                    <w:snapToGrid w:val="0"/>
                    <w:jc w:val="center"/>
                    <w:rPr>
                      <w:color w:val="auto"/>
                      <w:kern w:val="0"/>
                      <w:sz w:val="18"/>
                      <w:szCs w:val="18"/>
                    </w:rPr>
                  </w:pPr>
                  <w:r>
                    <w:rPr>
                      <w:color w:val="auto"/>
                      <w:kern w:val="0"/>
                      <w:sz w:val="18"/>
                      <w:szCs w:val="18"/>
                    </w:rPr>
                    <w:t>1</w:t>
                  </w:r>
                </w:p>
              </w:tc>
              <w:tc>
                <w:tcPr>
                  <w:tcW w:w="688" w:type="pct"/>
                  <w:vMerge w:val="restart"/>
                  <w:vAlign w:val="center"/>
                </w:tcPr>
                <w:p w14:paraId="1F175100">
                  <w:pPr>
                    <w:widowControl/>
                    <w:adjustRightInd w:val="0"/>
                    <w:snapToGrid w:val="0"/>
                    <w:jc w:val="center"/>
                    <w:rPr>
                      <w:color w:val="auto"/>
                      <w:kern w:val="0"/>
                      <w:sz w:val="18"/>
                      <w:szCs w:val="18"/>
                    </w:rPr>
                  </w:pPr>
                </w:p>
              </w:tc>
              <w:tc>
                <w:tcPr>
                  <w:tcW w:w="739" w:type="pct"/>
                  <w:vAlign w:val="center"/>
                </w:tcPr>
                <w:p w14:paraId="1F52C1B2">
                  <w:pPr>
                    <w:widowControl/>
                    <w:adjustRightInd w:val="0"/>
                    <w:snapToGrid w:val="0"/>
                    <w:jc w:val="center"/>
                    <w:rPr>
                      <w:color w:val="auto"/>
                      <w:kern w:val="0"/>
                      <w:sz w:val="18"/>
                      <w:szCs w:val="18"/>
                    </w:rPr>
                  </w:pPr>
                </w:p>
              </w:tc>
              <w:tc>
                <w:tcPr>
                  <w:tcW w:w="753" w:type="pct"/>
                  <w:vAlign w:val="center"/>
                </w:tcPr>
                <w:p w14:paraId="10DF830E">
                  <w:pPr>
                    <w:widowControl/>
                    <w:adjustRightInd w:val="0"/>
                    <w:snapToGrid w:val="0"/>
                    <w:jc w:val="center"/>
                    <w:rPr>
                      <w:color w:val="auto"/>
                      <w:kern w:val="0"/>
                      <w:sz w:val="18"/>
                      <w:szCs w:val="18"/>
                    </w:rPr>
                  </w:pPr>
                </w:p>
              </w:tc>
              <w:tc>
                <w:tcPr>
                  <w:tcW w:w="1581" w:type="pct"/>
                  <w:noWrap/>
                  <w:vAlign w:val="center"/>
                </w:tcPr>
                <w:p w14:paraId="1AA6C0D2">
                  <w:pPr>
                    <w:widowControl/>
                    <w:adjustRightInd w:val="0"/>
                    <w:snapToGrid w:val="0"/>
                    <w:jc w:val="center"/>
                    <w:rPr>
                      <w:color w:val="auto"/>
                      <w:kern w:val="0"/>
                      <w:sz w:val="18"/>
                      <w:szCs w:val="18"/>
                    </w:rPr>
                  </w:pPr>
                </w:p>
              </w:tc>
              <w:tc>
                <w:tcPr>
                  <w:tcW w:w="915" w:type="pct"/>
                  <w:vAlign w:val="center"/>
                </w:tcPr>
                <w:p w14:paraId="1D6D1526">
                  <w:pPr>
                    <w:widowControl/>
                    <w:adjustRightInd w:val="0"/>
                    <w:snapToGrid w:val="0"/>
                    <w:jc w:val="center"/>
                    <w:rPr>
                      <w:color w:val="auto"/>
                      <w:kern w:val="0"/>
                      <w:sz w:val="18"/>
                      <w:szCs w:val="18"/>
                    </w:rPr>
                  </w:pPr>
                </w:p>
              </w:tc>
            </w:tr>
            <w:tr w14:paraId="705FF323">
              <w:tblPrEx>
                <w:tblBorders>
                  <w:top w:val="single" w:color="000000"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22" w:type="pct"/>
                  <w:vAlign w:val="center"/>
                </w:tcPr>
                <w:p w14:paraId="4CF0EE65">
                  <w:pPr>
                    <w:widowControl/>
                    <w:adjustRightInd w:val="0"/>
                    <w:snapToGrid w:val="0"/>
                    <w:jc w:val="center"/>
                    <w:rPr>
                      <w:color w:val="auto"/>
                      <w:kern w:val="0"/>
                      <w:sz w:val="18"/>
                      <w:szCs w:val="18"/>
                    </w:rPr>
                  </w:pPr>
                  <w:r>
                    <w:rPr>
                      <w:rFonts w:hint="eastAsia"/>
                      <w:color w:val="auto"/>
                      <w:kern w:val="0"/>
                      <w:sz w:val="18"/>
                      <w:szCs w:val="18"/>
                    </w:rPr>
                    <w:t>2</w:t>
                  </w:r>
                </w:p>
              </w:tc>
              <w:tc>
                <w:tcPr>
                  <w:tcW w:w="688" w:type="pct"/>
                  <w:vMerge w:val="continue"/>
                  <w:vAlign w:val="center"/>
                </w:tcPr>
                <w:p w14:paraId="35FA7D12">
                  <w:pPr>
                    <w:widowControl/>
                    <w:adjustRightInd w:val="0"/>
                    <w:snapToGrid w:val="0"/>
                    <w:jc w:val="center"/>
                    <w:rPr>
                      <w:color w:val="auto"/>
                      <w:kern w:val="0"/>
                      <w:sz w:val="18"/>
                      <w:szCs w:val="18"/>
                    </w:rPr>
                  </w:pPr>
                </w:p>
              </w:tc>
              <w:tc>
                <w:tcPr>
                  <w:tcW w:w="739" w:type="pct"/>
                  <w:vMerge w:val="restart"/>
                  <w:vAlign w:val="center"/>
                </w:tcPr>
                <w:p w14:paraId="01222AAE">
                  <w:pPr>
                    <w:widowControl/>
                    <w:adjustRightInd w:val="0"/>
                    <w:snapToGrid w:val="0"/>
                    <w:jc w:val="center"/>
                    <w:rPr>
                      <w:color w:val="auto"/>
                      <w:kern w:val="0"/>
                      <w:sz w:val="18"/>
                      <w:szCs w:val="18"/>
                    </w:rPr>
                  </w:pPr>
                </w:p>
              </w:tc>
              <w:tc>
                <w:tcPr>
                  <w:tcW w:w="753" w:type="pct"/>
                  <w:vAlign w:val="center"/>
                </w:tcPr>
                <w:p w14:paraId="4B7D242A">
                  <w:pPr>
                    <w:widowControl/>
                    <w:adjustRightInd w:val="0"/>
                    <w:snapToGrid w:val="0"/>
                    <w:jc w:val="center"/>
                    <w:rPr>
                      <w:color w:val="auto"/>
                      <w:kern w:val="0"/>
                      <w:sz w:val="18"/>
                      <w:szCs w:val="18"/>
                    </w:rPr>
                  </w:pPr>
                </w:p>
              </w:tc>
              <w:tc>
                <w:tcPr>
                  <w:tcW w:w="1581" w:type="pct"/>
                  <w:vAlign w:val="center"/>
                </w:tcPr>
                <w:p w14:paraId="5E88A085">
                  <w:pPr>
                    <w:widowControl/>
                    <w:adjustRightInd w:val="0"/>
                    <w:snapToGrid w:val="0"/>
                    <w:jc w:val="center"/>
                    <w:rPr>
                      <w:color w:val="auto"/>
                      <w:kern w:val="0"/>
                      <w:sz w:val="18"/>
                      <w:szCs w:val="18"/>
                    </w:rPr>
                  </w:pPr>
                </w:p>
              </w:tc>
              <w:tc>
                <w:tcPr>
                  <w:tcW w:w="915" w:type="pct"/>
                  <w:vAlign w:val="center"/>
                </w:tcPr>
                <w:p w14:paraId="0959DA81">
                  <w:pPr>
                    <w:widowControl/>
                    <w:adjustRightInd w:val="0"/>
                    <w:snapToGrid w:val="0"/>
                    <w:jc w:val="center"/>
                    <w:rPr>
                      <w:color w:val="auto"/>
                      <w:kern w:val="0"/>
                      <w:sz w:val="18"/>
                      <w:szCs w:val="18"/>
                    </w:rPr>
                  </w:pPr>
                </w:p>
              </w:tc>
            </w:tr>
            <w:tr w14:paraId="60ADCD74">
              <w:tblPrEx>
                <w:tblBorders>
                  <w:top w:val="single" w:color="000000"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22" w:type="pct"/>
                  <w:vAlign w:val="center"/>
                </w:tcPr>
                <w:p w14:paraId="334DBC97">
                  <w:pPr>
                    <w:widowControl/>
                    <w:adjustRightInd w:val="0"/>
                    <w:snapToGrid w:val="0"/>
                    <w:jc w:val="center"/>
                    <w:rPr>
                      <w:color w:val="auto"/>
                      <w:kern w:val="0"/>
                      <w:sz w:val="18"/>
                      <w:szCs w:val="18"/>
                    </w:rPr>
                  </w:pPr>
                  <w:r>
                    <w:rPr>
                      <w:color w:val="auto"/>
                      <w:kern w:val="0"/>
                      <w:sz w:val="18"/>
                      <w:szCs w:val="18"/>
                    </w:rPr>
                    <w:t>3</w:t>
                  </w:r>
                </w:p>
              </w:tc>
              <w:tc>
                <w:tcPr>
                  <w:tcW w:w="688" w:type="pct"/>
                  <w:vMerge w:val="continue"/>
                  <w:vAlign w:val="center"/>
                </w:tcPr>
                <w:p w14:paraId="128041A2">
                  <w:pPr>
                    <w:widowControl/>
                    <w:adjustRightInd w:val="0"/>
                    <w:snapToGrid w:val="0"/>
                    <w:jc w:val="center"/>
                    <w:rPr>
                      <w:color w:val="auto"/>
                      <w:kern w:val="0"/>
                      <w:sz w:val="18"/>
                      <w:szCs w:val="18"/>
                    </w:rPr>
                  </w:pPr>
                </w:p>
              </w:tc>
              <w:tc>
                <w:tcPr>
                  <w:tcW w:w="739" w:type="pct"/>
                  <w:vMerge w:val="continue"/>
                  <w:vAlign w:val="center"/>
                </w:tcPr>
                <w:p w14:paraId="321EBB4D">
                  <w:pPr>
                    <w:widowControl/>
                    <w:adjustRightInd w:val="0"/>
                    <w:snapToGrid w:val="0"/>
                    <w:jc w:val="center"/>
                    <w:rPr>
                      <w:color w:val="auto"/>
                      <w:kern w:val="0"/>
                      <w:sz w:val="18"/>
                      <w:szCs w:val="18"/>
                    </w:rPr>
                  </w:pPr>
                </w:p>
              </w:tc>
              <w:tc>
                <w:tcPr>
                  <w:tcW w:w="753" w:type="pct"/>
                  <w:vAlign w:val="center"/>
                </w:tcPr>
                <w:p w14:paraId="06233466">
                  <w:pPr>
                    <w:widowControl/>
                    <w:adjustRightInd w:val="0"/>
                    <w:snapToGrid w:val="0"/>
                    <w:jc w:val="center"/>
                    <w:rPr>
                      <w:color w:val="auto"/>
                      <w:kern w:val="0"/>
                      <w:sz w:val="18"/>
                      <w:szCs w:val="18"/>
                    </w:rPr>
                  </w:pPr>
                </w:p>
              </w:tc>
              <w:tc>
                <w:tcPr>
                  <w:tcW w:w="1581" w:type="pct"/>
                  <w:vAlign w:val="center"/>
                </w:tcPr>
                <w:p w14:paraId="33DF86FD">
                  <w:pPr>
                    <w:widowControl/>
                    <w:adjustRightInd w:val="0"/>
                    <w:snapToGrid w:val="0"/>
                    <w:jc w:val="center"/>
                    <w:rPr>
                      <w:color w:val="auto"/>
                      <w:kern w:val="0"/>
                      <w:sz w:val="18"/>
                      <w:szCs w:val="18"/>
                    </w:rPr>
                  </w:pPr>
                </w:p>
              </w:tc>
              <w:tc>
                <w:tcPr>
                  <w:tcW w:w="915" w:type="pct"/>
                  <w:vAlign w:val="center"/>
                </w:tcPr>
                <w:p w14:paraId="760E6E05">
                  <w:pPr>
                    <w:widowControl/>
                    <w:adjustRightInd w:val="0"/>
                    <w:snapToGrid w:val="0"/>
                    <w:jc w:val="center"/>
                    <w:rPr>
                      <w:color w:val="auto"/>
                      <w:kern w:val="0"/>
                      <w:sz w:val="18"/>
                      <w:szCs w:val="18"/>
                    </w:rPr>
                  </w:pPr>
                </w:p>
              </w:tc>
            </w:tr>
            <w:tr w14:paraId="466570C3">
              <w:tblPrEx>
                <w:tblBorders>
                  <w:top w:val="single" w:color="000000"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22" w:type="pct"/>
                  <w:vAlign w:val="center"/>
                </w:tcPr>
                <w:p w14:paraId="6D35BF05">
                  <w:pPr>
                    <w:widowControl/>
                    <w:adjustRightInd w:val="0"/>
                    <w:snapToGrid w:val="0"/>
                    <w:jc w:val="center"/>
                    <w:rPr>
                      <w:color w:val="auto"/>
                      <w:kern w:val="0"/>
                      <w:sz w:val="18"/>
                      <w:szCs w:val="18"/>
                    </w:rPr>
                  </w:pPr>
                  <w:r>
                    <w:rPr>
                      <w:color w:val="auto"/>
                      <w:kern w:val="0"/>
                      <w:sz w:val="18"/>
                      <w:szCs w:val="18"/>
                    </w:rPr>
                    <w:t>4</w:t>
                  </w:r>
                </w:p>
              </w:tc>
              <w:tc>
                <w:tcPr>
                  <w:tcW w:w="688" w:type="pct"/>
                  <w:vMerge w:val="continue"/>
                  <w:vAlign w:val="center"/>
                </w:tcPr>
                <w:p w14:paraId="16FB9267">
                  <w:pPr>
                    <w:widowControl/>
                    <w:adjustRightInd w:val="0"/>
                    <w:snapToGrid w:val="0"/>
                    <w:jc w:val="center"/>
                    <w:rPr>
                      <w:color w:val="auto"/>
                      <w:kern w:val="0"/>
                      <w:sz w:val="18"/>
                      <w:szCs w:val="18"/>
                    </w:rPr>
                  </w:pPr>
                </w:p>
              </w:tc>
              <w:tc>
                <w:tcPr>
                  <w:tcW w:w="739" w:type="pct"/>
                  <w:vMerge w:val="restart"/>
                  <w:vAlign w:val="center"/>
                </w:tcPr>
                <w:p w14:paraId="4FBA8B55">
                  <w:pPr>
                    <w:widowControl/>
                    <w:adjustRightInd w:val="0"/>
                    <w:snapToGrid w:val="0"/>
                    <w:jc w:val="center"/>
                    <w:rPr>
                      <w:color w:val="auto"/>
                      <w:kern w:val="0"/>
                      <w:sz w:val="18"/>
                      <w:szCs w:val="18"/>
                    </w:rPr>
                  </w:pPr>
                </w:p>
              </w:tc>
              <w:tc>
                <w:tcPr>
                  <w:tcW w:w="753" w:type="pct"/>
                  <w:vAlign w:val="center"/>
                </w:tcPr>
                <w:p w14:paraId="14B1B8C1">
                  <w:pPr>
                    <w:widowControl/>
                    <w:adjustRightInd w:val="0"/>
                    <w:snapToGrid w:val="0"/>
                    <w:jc w:val="center"/>
                    <w:rPr>
                      <w:color w:val="auto"/>
                      <w:kern w:val="0"/>
                      <w:sz w:val="18"/>
                      <w:szCs w:val="18"/>
                    </w:rPr>
                  </w:pPr>
                </w:p>
              </w:tc>
              <w:tc>
                <w:tcPr>
                  <w:tcW w:w="1581" w:type="pct"/>
                  <w:vAlign w:val="center"/>
                </w:tcPr>
                <w:p w14:paraId="3A22B041">
                  <w:pPr>
                    <w:widowControl/>
                    <w:adjustRightInd w:val="0"/>
                    <w:snapToGrid w:val="0"/>
                    <w:jc w:val="center"/>
                    <w:rPr>
                      <w:color w:val="auto"/>
                      <w:kern w:val="0"/>
                      <w:sz w:val="18"/>
                      <w:szCs w:val="18"/>
                    </w:rPr>
                  </w:pPr>
                </w:p>
              </w:tc>
              <w:tc>
                <w:tcPr>
                  <w:tcW w:w="915" w:type="pct"/>
                  <w:vAlign w:val="center"/>
                </w:tcPr>
                <w:p w14:paraId="6A09AFD5">
                  <w:pPr>
                    <w:widowControl/>
                    <w:adjustRightInd w:val="0"/>
                    <w:snapToGrid w:val="0"/>
                    <w:jc w:val="center"/>
                    <w:rPr>
                      <w:color w:val="auto"/>
                      <w:kern w:val="0"/>
                      <w:sz w:val="18"/>
                      <w:szCs w:val="18"/>
                    </w:rPr>
                  </w:pPr>
                </w:p>
              </w:tc>
            </w:tr>
            <w:tr w14:paraId="39E863A0">
              <w:tblPrEx>
                <w:tblBorders>
                  <w:top w:val="single" w:color="000000"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22" w:type="pct"/>
                  <w:vAlign w:val="center"/>
                </w:tcPr>
                <w:p w14:paraId="7EAEB592">
                  <w:pPr>
                    <w:widowControl/>
                    <w:adjustRightInd w:val="0"/>
                    <w:snapToGrid w:val="0"/>
                    <w:jc w:val="center"/>
                    <w:rPr>
                      <w:color w:val="auto"/>
                      <w:kern w:val="0"/>
                      <w:sz w:val="18"/>
                      <w:szCs w:val="18"/>
                    </w:rPr>
                  </w:pPr>
                  <w:r>
                    <w:rPr>
                      <w:color w:val="auto"/>
                      <w:kern w:val="0"/>
                      <w:sz w:val="18"/>
                      <w:szCs w:val="18"/>
                    </w:rPr>
                    <w:t>5</w:t>
                  </w:r>
                </w:p>
              </w:tc>
              <w:tc>
                <w:tcPr>
                  <w:tcW w:w="688" w:type="pct"/>
                  <w:vMerge w:val="continue"/>
                  <w:vAlign w:val="center"/>
                </w:tcPr>
                <w:p w14:paraId="10A4DF66">
                  <w:pPr>
                    <w:widowControl/>
                    <w:adjustRightInd w:val="0"/>
                    <w:snapToGrid w:val="0"/>
                    <w:jc w:val="center"/>
                    <w:rPr>
                      <w:color w:val="auto"/>
                      <w:kern w:val="0"/>
                      <w:sz w:val="18"/>
                      <w:szCs w:val="18"/>
                    </w:rPr>
                  </w:pPr>
                </w:p>
              </w:tc>
              <w:tc>
                <w:tcPr>
                  <w:tcW w:w="739" w:type="pct"/>
                  <w:vMerge w:val="continue"/>
                  <w:vAlign w:val="center"/>
                </w:tcPr>
                <w:p w14:paraId="72C76596">
                  <w:pPr>
                    <w:widowControl/>
                    <w:adjustRightInd w:val="0"/>
                    <w:snapToGrid w:val="0"/>
                    <w:jc w:val="center"/>
                    <w:rPr>
                      <w:color w:val="auto"/>
                      <w:kern w:val="0"/>
                      <w:sz w:val="18"/>
                      <w:szCs w:val="18"/>
                    </w:rPr>
                  </w:pPr>
                </w:p>
              </w:tc>
              <w:tc>
                <w:tcPr>
                  <w:tcW w:w="753" w:type="pct"/>
                  <w:vMerge w:val="restart"/>
                  <w:vAlign w:val="center"/>
                </w:tcPr>
                <w:p w14:paraId="70490A5A">
                  <w:pPr>
                    <w:widowControl/>
                    <w:adjustRightInd w:val="0"/>
                    <w:snapToGrid w:val="0"/>
                    <w:jc w:val="center"/>
                    <w:rPr>
                      <w:color w:val="auto"/>
                      <w:kern w:val="0"/>
                      <w:sz w:val="18"/>
                      <w:szCs w:val="18"/>
                    </w:rPr>
                  </w:pPr>
                </w:p>
              </w:tc>
              <w:tc>
                <w:tcPr>
                  <w:tcW w:w="1581" w:type="pct"/>
                  <w:vAlign w:val="center"/>
                </w:tcPr>
                <w:p w14:paraId="1E8ED061">
                  <w:pPr>
                    <w:widowControl/>
                    <w:adjustRightInd w:val="0"/>
                    <w:snapToGrid w:val="0"/>
                    <w:jc w:val="center"/>
                    <w:rPr>
                      <w:color w:val="auto"/>
                      <w:kern w:val="0"/>
                      <w:sz w:val="18"/>
                      <w:szCs w:val="18"/>
                    </w:rPr>
                  </w:pPr>
                </w:p>
              </w:tc>
              <w:tc>
                <w:tcPr>
                  <w:tcW w:w="915" w:type="pct"/>
                  <w:vAlign w:val="center"/>
                </w:tcPr>
                <w:p w14:paraId="42E9079E">
                  <w:pPr>
                    <w:widowControl/>
                    <w:adjustRightInd w:val="0"/>
                    <w:snapToGrid w:val="0"/>
                    <w:jc w:val="center"/>
                    <w:rPr>
                      <w:color w:val="auto"/>
                      <w:kern w:val="0"/>
                      <w:sz w:val="18"/>
                      <w:szCs w:val="18"/>
                    </w:rPr>
                  </w:pPr>
                </w:p>
              </w:tc>
            </w:tr>
            <w:tr w14:paraId="119DD11B">
              <w:tblPrEx>
                <w:tblBorders>
                  <w:top w:val="single" w:color="000000"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22" w:type="pct"/>
                  <w:vAlign w:val="center"/>
                </w:tcPr>
                <w:p w14:paraId="430E4D1F">
                  <w:pPr>
                    <w:widowControl/>
                    <w:adjustRightInd w:val="0"/>
                    <w:snapToGrid w:val="0"/>
                    <w:jc w:val="center"/>
                    <w:rPr>
                      <w:color w:val="auto"/>
                      <w:kern w:val="0"/>
                      <w:sz w:val="18"/>
                      <w:szCs w:val="18"/>
                    </w:rPr>
                  </w:pPr>
                  <w:r>
                    <w:rPr>
                      <w:color w:val="auto"/>
                      <w:kern w:val="0"/>
                      <w:sz w:val="18"/>
                      <w:szCs w:val="18"/>
                    </w:rPr>
                    <w:t>6</w:t>
                  </w:r>
                </w:p>
              </w:tc>
              <w:tc>
                <w:tcPr>
                  <w:tcW w:w="688" w:type="pct"/>
                  <w:vMerge w:val="continue"/>
                  <w:vAlign w:val="center"/>
                </w:tcPr>
                <w:p w14:paraId="1FDCDDD2">
                  <w:pPr>
                    <w:widowControl/>
                    <w:adjustRightInd w:val="0"/>
                    <w:snapToGrid w:val="0"/>
                    <w:jc w:val="center"/>
                    <w:rPr>
                      <w:color w:val="auto"/>
                      <w:kern w:val="0"/>
                      <w:sz w:val="18"/>
                      <w:szCs w:val="18"/>
                    </w:rPr>
                  </w:pPr>
                </w:p>
              </w:tc>
              <w:tc>
                <w:tcPr>
                  <w:tcW w:w="739" w:type="pct"/>
                  <w:vMerge w:val="continue"/>
                  <w:vAlign w:val="center"/>
                </w:tcPr>
                <w:p w14:paraId="61AC3C92">
                  <w:pPr>
                    <w:widowControl/>
                    <w:adjustRightInd w:val="0"/>
                    <w:snapToGrid w:val="0"/>
                    <w:jc w:val="center"/>
                    <w:rPr>
                      <w:color w:val="auto"/>
                      <w:kern w:val="0"/>
                      <w:sz w:val="18"/>
                      <w:szCs w:val="18"/>
                    </w:rPr>
                  </w:pPr>
                </w:p>
              </w:tc>
              <w:tc>
                <w:tcPr>
                  <w:tcW w:w="753" w:type="pct"/>
                  <w:vMerge w:val="continue"/>
                  <w:vAlign w:val="center"/>
                </w:tcPr>
                <w:p w14:paraId="72695A3E">
                  <w:pPr>
                    <w:widowControl/>
                    <w:adjustRightInd w:val="0"/>
                    <w:snapToGrid w:val="0"/>
                    <w:jc w:val="center"/>
                    <w:rPr>
                      <w:color w:val="auto"/>
                      <w:kern w:val="0"/>
                      <w:sz w:val="18"/>
                      <w:szCs w:val="18"/>
                    </w:rPr>
                  </w:pPr>
                </w:p>
              </w:tc>
              <w:tc>
                <w:tcPr>
                  <w:tcW w:w="1581" w:type="pct"/>
                  <w:vAlign w:val="center"/>
                </w:tcPr>
                <w:p w14:paraId="4A61BA85">
                  <w:pPr>
                    <w:widowControl/>
                    <w:adjustRightInd w:val="0"/>
                    <w:snapToGrid w:val="0"/>
                    <w:jc w:val="center"/>
                    <w:rPr>
                      <w:color w:val="auto"/>
                      <w:kern w:val="0"/>
                      <w:sz w:val="18"/>
                      <w:szCs w:val="18"/>
                    </w:rPr>
                  </w:pPr>
                </w:p>
              </w:tc>
              <w:tc>
                <w:tcPr>
                  <w:tcW w:w="915" w:type="pct"/>
                  <w:vAlign w:val="center"/>
                </w:tcPr>
                <w:p w14:paraId="7CF5DAAA">
                  <w:pPr>
                    <w:widowControl/>
                    <w:adjustRightInd w:val="0"/>
                    <w:snapToGrid w:val="0"/>
                    <w:jc w:val="center"/>
                    <w:rPr>
                      <w:color w:val="auto"/>
                      <w:kern w:val="0"/>
                      <w:sz w:val="18"/>
                      <w:szCs w:val="18"/>
                    </w:rPr>
                  </w:pPr>
                </w:p>
              </w:tc>
            </w:tr>
            <w:tr w14:paraId="3B785B1B">
              <w:tblPrEx>
                <w:tblBorders>
                  <w:top w:val="single" w:color="000000"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22" w:type="pct"/>
                  <w:vAlign w:val="center"/>
                </w:tcPr>
                <w:p w14:paraId="125B5092">
                  <w:pPr>
                    <w:widowControl/>
                    <w:adjustRightInd w:val="0"/>
                    <w:snapToGrid w:val="0"/>
                    <w:jc w:val="center"/>
                    <w:rPr>
                      <w:color w:val="auto"/>
                      <w:kern w:val="0"/>
                      <w:sz w:val="18"/>
                      <w:szCs w:val="18"/>
                    </w:rPr>
                  </w:pPr>
                  <w:r>
                    <w:rPr>
                      <w:color w:val="auto"/>
                      <w:kern w:val="0"/>
                      <w:sz w:val="18"/>
                      <w:szCs w:val="18"/>
                    </w:rPr>
                    <w:t>7</w:t>
                  </w:r>
                </w:p>
              </w:tc>
              <w:tc>
                <w:tcPr>
                  <w:tcW w:w="688" w:type="pct"/>
                  <w:vMerge w:val="restart"/>
                  <w:vAlign w:val="center"/>
                </w:tcPr>
                <w:p w14:paraId="41B27F91">
                  <w:pPr>
                    <w:widowControl/>
                    <w:adjustRightInd w:val="0"/>
                    <w:snapToGrid w:val="0"/>
                    <w:jc w:val="center"/>
                    <w:rPr>
                      <w:color w:val="auto"/>
                      <w:kern w:val="0"/>
                      <w:sz w:val="18"/>
                      <w:szCs w:val="18"/>
                    </w:rPr>
                  </w:pPr>
                </w:p>
              </w:tc>
              <w:tc>
                <w:tcPr>
                  <w:tcW w:w="739" w:type="pct"/>
                  <w:vMerge w:val="restart"/>
                  <w:vAlign w:val="center"/>
                </w:tcPr>
                <w:p w14:paraId="6ED56C2E">
                  <w:pPr>
                    <w:widowControl/>
                    <w:adjustRightInd w:val="0"/>
                    <w:snapToGrid w:val="0"/>
                    <w:jc w:val="center"/>
                    <w:rPr>
                      <w:color w:val="auto"/>
                      <w:kern w:val="0"/>
                      <w:sz w:val="18"/>
                      <w:szCs w:val="18"/>
                    </w:rPr>
                  </w:pPr>
                </w:p>
              </w:tc>
              <w:tc>
                <w:tcPr>
                  <w:tcW w:w="753" w:type="pct"/>
                  <w:vMerge w:val="restart"/>
                  <w:vAlign w:val="center"/>
                </w:tcPr>
                <w:p w14:paraId="5ED1F67E">
                  <w:pPr>
                    <w:widowControl/>
                    <w:adjustRightInd w:val="0"/>
                    <w:snapToGrid w:val="0"/>
                    <w:jc w:val="center"/>
                    <w:rPr>
                      <w:color w:val="auto"/>
                      <w:kern w:val="0"/>
                      <w:sz w:val="18"/>
                      <w:szCs w:val="18"/>
                    </w:rPr>
                  </w:pPr>
                </w:p>
              </w:tc>
              <w:tc>
                <w:tcPr>
                  <w:tcW w:w="1581" w:type="pct"/>
                  <w:noWrap/>
                  <w:vAlign w:val="center"/>
                </w:tcPr>
                <w:p w14:paraId="509DAFAE">
                  <w:pPr>
                    <w:widowControl/>
                    <w:adjustRightInd w:val="0"/>
                    <w:snapToGrid w:val="0"/>
                    <w:jc w:val="center"/>
                    <w:rPr>
                      <w:color w:val="auto"/>
                      <w:kern w:val="0"/>
                      <w:sz w:val="18"/>
                      <w:szCs w:val="18"/>
                    </w:rPr>
                  </w:pPr>
                </w:p>
              </w:tc>
              <w:tc>
                <w:tcPr>
                  <w:tcW w:w="915" w:type="pct"/>
                  <w:noWrap/>
                  <w:vAlign w:val="center"/>
                </w:tcPr>
                <w:p w14:paraId="1C0C9546">
                  <w:pPr>
                    <w:widowControl/>
                    <w:adjustRightInd w:val="0"/>
                    <w:snapToGrid w:val="0"/>
                    <w:jc w:val="center"/>
                    <w:rPr>
                      <w:color w:val="auto"/>
                      <w:kern w:val="0"/>
                      <w:sz w:val="18"/>
                      <w:szCs w:val="18"/>
                    </w:rPr>
                  </w:pPr>
                </w:p>
              </w:tc>
            </w:tr>
            <w:tr w14:paraId="0662912A">
              <w:tblPrEx>
                <w:tblBorders>
                  <w:top w:val="single" w:color="000000"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22" w:type="pct"/>
                  <w:vAlign w:val="center"/>
                </w:tcPr>
                <w:p w14:paraId="1DA0F621">
                  <w:pPr>
                    <w:widowControl/>
                    <w:adjustRightInd w:val="0"/>
                    <w:snapToGrid w:val="0"/>
                    <w:jc w:val="center"/>
                    <w:rPr>
                      <w:color w:val="auto"/>
                      <w:kern w:val="0"/>
                      <w:sz w:val="18"/>
                      <w:szCs w:val="18"/>
                    </w:rPr>
                  </w:pPr>
                  <w:r>
                    <w:rPr>
                      <w:color w:val="auto"/>
                      <w:kern w:val="0"/>
                      <w:sz w:val="18"/>
                      <w:szCs w:val="18"/>
                    </w:rPr>
                    <w:t>8</w:t>
                  </w:r>
                </w:p>
              </w:tc>
              <w:tc>
                <w:tcPr>
                  <w:tcW w:w="688" w:type="pct"/>
                  <w:vMerge w:val="continue"/>
                  <w:vAlign w:val="center"/>
                </w:tcPr>
                <w:p w14:paraId="455647C6">
                  <w:pPr>
                    <w:widowControl/>
                    <w:adjustRightInd w:val="0"/>
                    <w:snapToGrid w:val="0"/>
                    <w:jc w:val="center"/>
                    <w:rPr>
                      <w:color w:val="auto"/>
                      <w:kern w:val="0"/>
                      <w:sz w:val="18"/>
                      <w:szCs w:val="18"/>
                    </w:rPr>
                  </w:pPr>
                </w:p>
              </w:tc>
              <w:tc>
                <w:tcPr>
                  <w:tcW w:w="739" w:type="pct"/>
                  <w:vMerge w:val="continue"/>
                  <w:vAlign w:val="center"/>
                </w:tcPr>
                <w:p w14:paraId="761B18A0">
                  <w:pPr>
                    <w:widowControl/>
                    <w:adjustRightInd w:val="0"/>
                    <w:snapToGrid w:val="0"/>
                    <w:jc w:val="center"/>
                    <w:rPr>
                      <w:color w:val="auto"/>
                      <w:kern w:val="0"/>
                      <w:sz w:val="18"/>
                      <w:szCs w:val="18"/>
                    </w:rPr>
                  </w:pPr>
                </w:p>
              </w:tc>
              <w:tc>
                <w:tcPr>
                  <w:tcW w:w="753" w:type="pct"/>
                  <w:vMerge w:val="continue"/>
                  <w:vAlign w:val="center"/>
                </w:tcPr>
                <w:p w14:paraId="678D804E">
                  <w:pPr>
                    <w:widowControl/>
                    <w:adjustRightInd w:val="0"/>
                    <w:snapToGrid w:val="0"/>
                    <w:jc w:val="center"/>
                    <w:rPr>
                      <w:color w:val="auto"/>
                      <w:kern w:val="0"/>
                      <w:sz w:val="18"/>
                      <w:szCs w:val="18"/>
                    </w:rPr>
                  </w:pPr>
                </w:p>
              </w:tc>
              <w:tc>
                <w:tcPr>
                  <w:tcW w:w="1581" w:type="pct"/>
                  <w:noWrap/>
                  <w:vAlign w:val="center"/>
                </w:tcPr>
                <w:p w14:paraId="31E8672A">
                  <w:pPr>
                    <w:widowControl/>
                    <w:adjustRightInd w:val="0"/>
                    <w:snapToGrid w:val="0"/>
                    <w:jc w:val="center"/>
                    <w:rPr>
                      <w:color w:val="auto"/>
                      <w:kern w:val="0"/>
                      <w:sz w:val="18"/>
                      <w:szCs w:val="18"/>
                    </w:rPr>
                  </w:pPr>
                </w:p>
              </w:tc>
              <w:tc>
                <w:tcPr>
                  <w:tcW w:w="915" w:type="pct"/>
                  <w:noWrap/>
                  <w:vAlign w:val="center"/>
                </w:tcPr>
                <w:p w14:paraId="7AAA69DC">
                  <w:pPr>
                    <w:widowControl/>
                    <w:adjustRightInd w:val="0"/>
                    <w:snapToGrid w:val="0"/>
                    <w:jc w:val="center"/>
                    <w:rPr>
                      <w:color w:val="auto"/>
                      <w:kern w:val="0"/>
                      <w:sz w:val="18"/>
                      <w:szCs w:val="18"/>
                    </w:rPr>
                  </w:pPr>
                </w:p>
              </w:tc>
            </w:tr>
            <w:tr w14:paraId="1B313F82">
              <w:tblPrEx>
                <w:tblBorders>
                  <w:top w:val="single" w:color="000000"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22" w:type="pct"/>
                  <w:vAlign w:val="center"/>
                </w:tcPr>
                <w:p w14:paraId="4E2B88CC">
                  <w:pPr>
                    <w:widowControl/>
                    <w:adjustRightInd w:val="0"/>
                    <w:snapToGrid w:val="0"/>
                    <w:jc w:val="center"/>
                    <w:rPr>
                      <w:color w:val="auto"/>
                      <w:kern w:val="0"/>
                      <w:sz w:val="18"/>
                      <w:szCs w:val="18"/>
                    </w:rPr>
                  </w:pPr>
                  <w:r>
                    <w:rPr>
                      <w:color w:val="auto"/>
                      <w:kern w:val="0"/>
                      <w:sz w:val="18"/>
                      <w:szCs w:val="18"/>
                    </w:rPr>
                    <w:t>9</w:t>
                  </w:r>
                </w:p>
              </w:tc>
              <w:tc>
                <w:tcPr>
                  <w:tcW w:w="688" w:type="pct"/>
                  <w:vMerge w:val="continue"/>
                  <w:vAlign w:val="center"/>
                </w:tcPr>
                <w:p w14:paraId="7D8C5FDB">
                  <w:pPr>
                    <w:widowControl/>
                    <w:adjustRightInd w:val="0"/>
                    <w:snapToGrid w:val="0"/>
                    <w:jc w:val="center"/>
                    <w:rPr>
                      <w:color w:val="auto"/>
                      <w:kern w:val="0"/>
                      <w:sz w:val="18"/>
                      <w:szCs w:val="18"/>
                    </w:rPr>
                  </w:pPr>
                </w:p>
              </w:tc>
              <w:tc>
                <w:tcPr>
                  <w:tcW w:w="739" w:type="pct"/>
                  <w:vMerge w:val="continue"/>
                  <w:vAlign w:val="center"/>
                </w:tcPr>
                <w:p w14:paraId="7903DDE8">
                  <w:pPr>
                    <w:widowControl/>
                    <w:adjustRightInd w:val="0"/>
                    <w:snapToGrid w:val="0"/>
                    <w:jc w:val="center"/>
                    <w:rPr>
                      <w:color w:val="auto"/>
                      <w:kern w:val="0"/>
                      <w:sz w:val="18"/>
                      <w:szCs w:val="18"/>
                    </w:rPr>
                  </w:pPr>
                </w:p>
              </w:tc>
              <w:tc>
                <w:tcPr>
                  <w:tcW w:w="753" w:type="pct"/>
                  <w:vMerge w:val="continue"/>
                  <w:vAlign w:val="center"/>
                </w:tcPr>
                <w:p w14:paraId="217CDE1F">
                  <w:pPr>
                    <w:widowControl/>
                    <w:adjustRightInd w:val="0"/>
                    <w:snapToGrid w:val="0"/>
                    <w:jc w:val="center"/>
                    <w:rPr>
                      <w:color w:val="auto"/>
                      <w:kern w:val="0"/>
                      <w:sz w:val="18"/>
                      <w:szCs w:val="18"/>
                    </w:rPr>
                  </w:pPr>
                </w:p>
              </w:tc>
              <w:tc>
                <w:tcPr>
                  <w:tcW w:w="1581" w:type="pct"/>
                  <w:noWrap/>
                  <w:vAlign w:val="center"/>
                </w:tcPr>
                <w:p w14:paraId="0BFBEE81">
                  <w:pPr>
                    <w:widowControl/>
                    <w:adjustRightInd w:val="0"/>
                    <w:snapToGrid w:val="0"/>
                    <w:jc w:val="center"/>
                    <w:rPr>
                      <w:color w:val="auto"/>
                      <w:kern w:val="0"/>
                      <w:sz w:val="18"/>
                      <w:szCs w:val="18"/>
                    </w:rPr>
                  </w:pPr>
                </w:p>
              </w:tc>
              <w:tc>
                <w:tcPr>
                  <w:tcW w:w="915" w:type="pct"/>
                  <w:noWrap/>
                  <w:vAlign w:val="center"/>
                </w:tcPr>
                <w:p w14:paraId="3B5125B7">
                  <w:pPr>
                    <w:widowControl/>
                    <w:adjustRightInd w:val="0"/>
                    <w:snapToGrid w:val="0"/>
                    <w:jc w:val="center"/>
                    <w:rPr>
                      <w:color w:val="auto"/>
                      <w:kern w:val="0"/>
                      <w:sz w:val="18"/>
                      <w:szCs w:val="18"/>
                    </w:rPr>
                  </w:pPr>
                </w:p>
              </w:tc>
            </w:tr>
            <w:tr w14:paraId="4A063730">
              <w:tblPrEx>
                <w:tblBorders>
                  <w:top w:val="single" w:color="000000"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22" w:type="pct"/>
                  <w:vAlign w:val="center"/>
                </w:tcPr>
                <w:p w14:paraId="3298EE75">
                  <w:pPr>
                    <w:widowControl/>
                    <w:adjustRightInd w:val="0"/>
                    <w:snapToGrid w:val="0"/>
                    <w:jc w:val="center"/>
                    <w:rPr>
                      <w:color w:val="auto"/>
                      <w:kern w:val="0"/>
                      <w:sz w:val="18"/>
                      <w:szCs w:val="18"/>
                    </w:rPr>
                  </w:pPr>
                  <w:r>
                    <w:rPr>
                      <w:color w:val="auto"/>
                      <w:kern w:val="0"/>
                      <w:sz w:val="18"/>
                      <w:szCs w:val="18"/>
                    </w:rPr>
                    <w:t>10</w:t>
                  </w:r>
                </w:p>
              </w:tc>
              <w:tc>
                <w:tcPr>
                  <w:tcW w:w="688" w:type="pct"/>
                  <w:vMerge w:val="continue"/>
                  <w:vAlign w:val="center"/>
                </w:tcPr>
                <w:p w14:paraId="7DA3B1AE">
                  <w:pPr>
                    <w:widowControl/>
                    <w:adjustRightInd w:val="0"/>
                    <w:snapToGrid w:val="0"/>
                    <w:jc w:val="center"/>
                    <w:rPr>
                      <w:color w:val="auto"/>
                      <w:kern w:val="0"/>
                      <w:sz w:val="18"/>
                      <w:szCs w:val="18"/>
                    </w:rPr>
                  </w:pPr>
                </w:p>
              </w:tc>
              <w:tc>
                <w:tcPr>
                  <w:tcW w:w="739" w:type="pct"/>
                  <w:vMerge w:val="continue"/>
                  <w:vAlign w:val="center"/>
                </w:tcPr>
                <w:p w14:paraId="6DDC6EF4">
                  <w:pPr>
                    <w:widowControl/>
                    <w:adjustRightInd w:val="0"/>
                    <w:snapToGrid w:val="0"/>
                    <w:jc w:val="center"/>
                    <w:rPr>
                      <w:color w:val="auto"/>
                      <w:kern w:val="0"/>
                      <w:sz w:val="18"/>
                      <w:szCs w:val="18"/>
                    </w:rPr>
                  </w:pPr>
                </w:p>
              </w:tc>
              <w:tc>
                <w:tcPr>
                  <w:tcW w:w="753" w:type="pct"/>
                  <w:vMerge w:val="continue"/>
                  <w:vAlign w:val="center"/>
                </w:tcPr>
                <w:p w14:paraId="14AA2CF9">
                  <w:pPr>
                    <w:widowControl/>
                    <w:adjustRightInd w:val="0"/>
                    <w:snapToGrid w:val="0"/>
                    <w:jc w:val="center"/>
                    <w:rPr>
                      <w:color w:val="auto"/>
                      <w:kern w:val="0"/>
                      <w:sz w:val="18"/>
                      <w:szCs w:val="18"/>
                    </w:rPr>
                  </w:pPr>
                </w:p>
              </w:tc>
              <w:tc>
                <w:tcPr>
                  <w:tcW w:w="1581" w:type="pct"/>
                  <w:noWrap/>
                  <w:vAlign w:val="center"/>
                </w:tcPr>
                <w:p w14:paraId="2B9F969B">
                  <w:pPr>
                    <w:widowControl/>
                    <w:adjustRightInd w:val="0"/>
                    <w:snapToGrid w:val="0"/>
                    <w:jc w:val="center"/>
                    <w:rPr>
                      <w:color w:val="auto"/>
                      <w:kern w:val="0"/>
                      <w:sz w:val="18"/>
                      <w:szCs w:val="18"/>
                    </w:rPr>
                  </w:pPr>
                </w:p>
              </w:tc>
              <w:tc>
                <w:tcPr>
                  <w:tcW w:w="915" w:type="pct"/>
                  <w:noWrap/>
                  <w:vAlign w:val="center"/>
                </w:tcPr>
                <w:p w14:paraId="4703AB00">
                  <w:pPr>
                    <w:widowControl/>
                    <w:adjustRightInd w:val="0"/>
                    <w:snapToGrid w:val="0"/>
                    <w:jc w:val="center"/>
                    <w:rPr>
                      <w:color w:val="auto"/>
                      <w:kern w:val="0"/>
                      <w:sz w:val="18"/>
                      <w:szCs w:val="18"/>
                    </w:rPr>
                  </w:pPr>
                </w:p>
              </w:tc>
            </w:tr>
            <w:tr w14:paraId="30B25C11">
              <w:tblPrEx>
                <w:tblBorders>
                  <w:top w:val="single" w:color="000000"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22" w:type="pct"/>
                  <w:vAlign w:val="center"/>
                </w:tcPr>
                <w:p w14:paraId="4F783E8C">
                  <w:pPr>
                    <w:widowControl/>
                    <w:adjustRightInd w:val="0"/>
                    <w:snapToGrid w:val="0"/>
                    <w:jc w:val="center"/>
                    <w:rPr>
                      <w:color w:val="auto"/>
                      <w:kern w:val="0"/>
                      <w:sz w:val="18"/>
                      <w:szCs w:val="18"/>
                    </w:rPr>
                  </w:pPr>
                  <w:r>
                    <w:rPr>
                      <w:color w:val="auto"/>
                      <w:kern w:val="0"/>
                      <w:sz w:val="18"/>
                      <w:szCs w:val="18"/>
                    </w:rPr>
                    <w:t>11</w:t>
                  </w:r>
                </w:p>
              </w:tc>
              <w:tc>
                <w:tcPr>
                  <w:tcW w:w="688" w:type="pct"/>
                  <w:vMerge w:val="continue"/>
                  <w:vAlign w:val="center"/>
                </w:tcPr>
                <w:p w14:paraId="68138FC5">
                  <w:pPr>
                    <w:widowControl/>
                    <w:adjustRightInd w:val="0"/>
                    <w:snapToGrid w:val="0"/>
                    <w:jc w:val="center"/>
                    <w:rPr>
                      <w:color w:val="auto"/>
                      <w:kern w:val="0"/>
                      <w:sz w:val="18"/>
                      <w:szCs w:val="18"/>
                    </w:rPr>
                  </w:pPr>
                </w:p>
              </w:tc>
              <w:tc>
                <w:tcPr>
                  <w:tcW w:w="739" w:type="pct"/>
                  <w:vMerge w:val="continue"/>
                  <w:vAlign w:val="center"/>
                </w:tcPr>
                <w:p w14:paraId="3E78C814">
                  <w:pPr>
                    <w:widowControl/>
                    <w:adjustRightInd w:val="0"/>
                    <w:snapToGrid w:val="0"/>
                    <w:jc w:val="center"/>
                    <w:rPr>
                      <w:color w:val="auto"/>
                      <w:kern w:val="0"/>
                      <w:sz w:val="18"/>
                      <w:szCs w:val="18"/>
                    </w:rPr>
                  </w:pPr>
                </w:p>
              </w:tc>
              <w:tc>
                <w:tcPr>
                  <w:tcW w:w="753" w:type="pct"/>
                  <w:vMerge w:val="continue"/>
                  <w:vAlign w:val="center"/>
                </w:tcPr>
                <w:p w14:paraId="56B4FD8E">
                  <w:pPr>
                    <w:widowControl/>
                    <w:adjustRightInd w:val="0"/>
                    <w:snapToGrid w:val="0"/>
                    <w:jc w:val="center"/>
                    <w:rPr>
                      <w:color w:val="auto"/>
                      <w:kern w:val="0"/>
                      <w:sz w:val="18"/>
                      <w:szCs w:val="18"/>
                    </w:rPr>
                  </w:pPr>
                </w:p>
              </w:tc>
              <w:tc>
                <w:tcPr>
                  <w:tcW w:w="1581" w:type="pct"/>
                  <w:noWrap/>
                  <w:vAlign w:val="center"/>
                </w:tcPr>
                <w:p w14:paraId="67FE0FBB">
                  <w:pPr>
                    <w:widowControl/>
                    <w:adjustRightInd w:val="0"/>
                    <w:snapToGrid w:val="0"/>
                    <w:jc w:val="center"/>
                    <w:rPr>
                      <w:color w:val="auto"/>
                      <w:kern w:val="0"/>
                      <w:sz w:val="18"/>
                      <w:szCs w:val="18"/>
                    </w:rPr>
                  </w:pPr>
                </w:p>
              </w:tc>
              <w:tc>
                <w:tcPr>
                  <w:tcW w:w="915" w:type="pct"/>
                  <w:noWrap/>
                  <w:vAlign w:val="center"/>
                </w:tcPr>
                <w:p w14:paraId="2F5732D3">
                  <w:pPr>
                    <w:widowControl/>
                    <w:adjustRightInd w:val="0"/>
                    <w:snapToGrid w:val="0"/>
                    <w:jc w:val="center"/>
                    <w:rPr>
                      <w:color w:val="auto"/>
                      <w:kern w:val="0"/>
                      <w:sz w:val="18"/>
                      <w:szCs w:val="18"/>
                    </w:rPr>
                  </w:pPr>
                </w:p>
              </w:tc>
            </w:tr>
            <w:tr w14:paraId="50962B56">
              <w:tblPrEx>
                <w:tblBorders>
                  <w:top w:val="single" w:color="000000"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22" w:type="pct"/>
                  <w:vAlign w:val="center"/>
                </w:tcPr>
                <w:p w14:paraId="0FE5198E">
                  <w:pPr>
                    <w:widowControl/>
                    <w:adjustRightInd w:val="0"/>
                    <w:snapToGrid w:val="0"/>
                    <w:jc w:val="center"/>
                    <w:rPr>
                      <w:color w:val="auto"/>
                      <w:kern w:val="0"/>
                      <w:sz w:val="18"/>
                      <w:szCs w:val="18"/>
                    </w:rPr>
                  </w:pPr>
                  <w:r>
                    <w:rPr>
                      <w:color w:val="auto"/>
                      <w:kern w:val="0"/>
                      <w:sz w:val="18"/>
                      <w:szCs w:val="18"/>
                    </w:rPr>
                    <w:t>12</w:t>
                  </w:r>
                </w:p>
              </w:tc>
              <w:tc>
                <w:tcPr>
                  <w:tcW w:w="688" w:type="pct"/>
                  <w:vMerge w:val="continue"/>
                  <w:vAlign w:val="center"/>
                </w:tcPr>
                <w:p w14:paraId="10F15B14">
                  <w:pPr>
                    <w:widowControl/>
                    <w:adjustRightInd w:val="0"/>
                    <w:snapToGrid w:val="0"/>
                    <w:jc w:val="center"/>
                    <w:rPr>
                      <w:color w:val="auto"/>
                      <w:kern w:val="0"/>
                      <w:sz w:val="18"/>
                      <w:szCs w:val="18"/>
                    </w:rPr>
                  </w:pPr>
                </w:p>
              </w:tc>
              <w:tc>
                <w:tcPr>
                  <w:tcW w:w="739" w:type="pct"/>
                  <w:vMerge w:val="continue"/>
                  <w:vAlign w:val="center"/>
                </w:tcPr>
                <w:p w14:paraId="2C1F048C">
                  <w:pPr>
                    <w:widowControl/>
                    <w:adjustRightInd w:val="0"/>
                    <w:snapToGrid w:val="0"/>
                    <w:jc w:val="center"/>
                    <w:rPr>
                      <w:color w:val="auto"/>
                      <w:kern w:val="0"/>
                      <w:sz w:val="18"/>
                      <w:szCs w:val="18"/>
                    </w:rPr>
                  </w:pPr>
                </w:p>
              </w:tc>
              <w:tc>
                <w:tcPr>
                  <w:tcW w:w="753" w:type="pct"/>
                  <w:vMerge w:val="continue"/>
                  <w:vAlign w:val="center"/>
                </w:tcPr>
                <w:p w14:paraId="5C6757B3">
                  <w:pPr>
                    <w:widowControl/>
                    <w:adjustRightInd w:val="0"/>
                    <w:snapToGrid w:val="0"/>
                    <w:jc w:val="center"/>
                    <w:rPr>
                      <w:color w:val="auto"/>
                      <w:kern w:val="0"/>
                      <w:sz w:val="18"/>
                      <w:szCs w:val="18"/>
                    </w:rPr>
                  </w:pPr>
                </w:p>
              </w:tc>
              <w:tc>
                <w:tcPr>
                  <w:tcW w:w="1581" w:type="pct"/>
                  <w:noWrap/>
                  <w:vAlign w:val="center"/>
                </w:tcPr>
                <w:p w14:paraId="20046B0C">
                  <w:pPr>
                    <w:widowControl/>
                    <w:adjustRightInd w:val="0"/>
                    <w:snapToGrid w:val="0"/>
                    <w:jc w:val="center"/>
                    <w:rPr>
                      <w:color w:val="auto"/>
                      <w:kern w:val="0"/>
                      <w:sz w:val="18"/>
                      <w:szCs w:val="18"/>
                    </w:rPr>
                  </w:pPr>
                </w:p>
              </w:tc>
              <w:tc>
                <w:tcPr>
                  <w:tcW w:w="915" w:type="pct"/>
                  <w:noWrap/>
                  <w:vAlign w:val="center"/>
                </w:tcPr>
                <w:p w14:paraId="7F988ABD">
                  <w:pPr>
                    <w:widowControl/>
                    <w:adjustRightInd w:val="0"/>
                    <w:snapToGrid w:val="0"/>
                    <w:jc w:val="center"/>
                    <w:rPr>
                      <w:color w:val="auto"/>
                      <w:kern w:val="0"/>
                      <w:sz w:val="18"/>
                      <w:szCs w:val="18"/>
                    </w:rPr>
                  </w:pPr>
                </w:p>
              </w:tc>
            </w:tr>
            <w:tr w14:paraId="00E51C79">
              <w:tblPrEx>
                <w:tblBorders>
                  <w:top w:val="single" w:color="000000"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22" w:type="pct"/>
                  <w:vAlign w:val="center"/>
                </w:tcPr>
                <w:p w14:paraId="3D563686">
                  <w:pPr>
                    <w:widowControl/>
                    <w:adjustRightInd w:val="0"/>
                    <w:snapToGrid w:val="0"/>
                    <w:jc w:val="center"/>
                    <w:rPr>
                      <w:color w:val="auto"/>
                      <w:kern w:val="0"/>
                      <w:sz w:val="18"/>
                      <w:szCs w:val="18"/>
                    </w:rPr>
                  </w:pPr>
                  <w:r>
                    <w:rPr>
                      <w:rFonts w:hint="eastAsia"/>
                      <w:color w:val="auto"/>
                      <w:kern w:val="0"/>
                      <w:sz w:val="18"/>
                      <w:szCs w:val="18"/>
                    </w:rPr>
                    <w:t>13</w:t>
                  </w:r>
                </w:p>
              </w:tc>
              <w:tc>
                <w:tcPr>
                  <w:tcW w:w="688" w:type="pct"/>
                  <w:vAlign w:val="center"/>
                </w:tcPr>
                <w:p w14:paraId="2B65B3B6">
                  <w:pPr>
                    <w:widowControl/>
                    <w:adjustRightInd w:val="0"/>
                    <w:snapToGrid w:val="0"/>
                    <w:jc w:val="center"/>
                    <w:rPr>
                      <w:color w:val="auto"/>
                      <w:kern w:val="0"/>
                      <w:sz w:val="18"/>
                      <w:szCs w:val="18"/>
                    </w:rPr>
                  </w:pPr>
                </w:p>
              </w:tc>
              <w:tc>
                <w:tcPr>
                  <w:tcW w:w="739" w:type="pct"/>
                  <w:vAlign w:val="center"/>
                </w:tcPr>
                <w:p w14:paraId="1CB106EB">
                  <w:pPr>
                    <w:widowControl/>
                    <w:adjustRightInd w:val="0"/>
                    <w:snapToGrid w:val="0"/>
                    <w:jc w:val="center"/>
                    <w:rPr>
                      <w:color w:val="auto"/>
                      <w:kern w:val="0"/>
                      <w:sz w:val="18"/>
                      <w:szCs w:val="18"/>
                    </w:rPr>
                  </w:pPr>
                </w:p>
              </w:tc>
              <w:tc>
                <w:tcPr>
                  <w:tcW w:w="753" w:type="pct"/>
                  <w:vAlign w:val="center"/>
                </w:tcPr>
                <w:p w14:paraId="7EA63161">
                  <w:pPr>
                    <w:widowControl/>
                    <w:adjustRightInd w:val="0"/>
                    <w:snapToGrid w:val="0"/>
                    <w:jc w:val="center"/>
                    <w:rPr>
                      <w:color w:val="auto"/>
                      <w:kern w:val="0"/>
                      <w:sz w:val="18"/>
                      <w:szCs w:val="18"/>
                    </w:rPr>
                  </w:pPr>
                </w:p>
              </w:tc>
              <w:tc>
                <w:tcPr>
                  <w:tcW w:w="1581" w:type="pct"/>
                  <w:noWrap/>
                  <w:vAlign w:val="center"/>
                </w:tcPr>
                <w:p w14:paraId="307552F0">
                  <w:pPr>
                    <w:widowControl/>
                    <w:adjustRightInd w:val="0"/>
                    <w:snapToGrid w:val="0"/>
                    <w:jc w:val="center"/>
                    <w:rPr>
                      <w:color w:val="auto"/>
                      <w:kern w:val="0"/>
                      <w:sz w:val="18"/>
                      <w:szCs w:val="18"/>
                    </w:rPr>
                  </w:pPr>
                </w:p>
              </w:tc>
              <w:tc>
                <w:tcPr>
                  <w:tcW w:w="915" w:type="pct"/>
                  <w:noWrap/>
                  <w:vAlign w:val="center"/>
                </w:tcPr>
                <w:p w14:paraId="71BC293C">
                  <w:pPr>
                    <w:widowControl/>
                    <w:adjustRightInd w:val="0"/>
                    <w:snapToGrid w:val="0"/>
                    <w:jc w:val="center"/>
                    <w:rPr>
                      <w:color w:val="auto"/>
                      <w:kern w:val="0"/>
                      <w:sz w:val="18"/>
                      <w:szCs w:val="18"/>
                    </w:rPr>
                  </w:pPr>
                </w:p>
              </w:tc>
            </w:tr>
          </w:tbl>
          <w:p w14:paraId="5D46B8EA">
            <w:pPr>
              <w:adjustRightInd w:val="0"/>
              <w:snapToGrid w:val="0"/>
              <w:spacing w:line="500" w:lineRule="exact"/>
              <w:ind w:firstLine="422" w:firstLineChars="200"/>
              <w:rPr>
                <w:b/>
                <w:color w:val="auto"/>
                <w:szCs w:val="21"/>
              </w:rPr>
            </w:pPr>
            <w:r>
              <w:rPr>
                <w:b/>
                <w:color w:val="auto"/>
                <w:szCs w:val="21"/>
              </w:rPr>
              <w:t>4.</w:t>
            </w:r>
            <w:r>
              <w:rPr>
                <w:rFonts w:hint="eastAsia"/>
                <w:b/>
                <w:color w:val="auto"/>
                <w:szCs w:val="21"/>
              </w:rPr>
              <w:t>现有项目公辅及环保工程</w:t>
            </w:r>
          </w:p>
          <w:p w14:paraId="7D30CFCE">
            <w:pPr>
              <w:adjustRightInd w:val="0"/>
              <w:snapToGrid w:val="0"/>
              <w:spacing w:line="500" w:lineRule="exact"/>
              <w:ind w:firstLine="420" w:firstLineChars="200"/>
              <w:rPr>
                <w:color w:val="auto"/>
                <w:szCs w:val="21"/>
              </w:rPr>
            </w:pPr>
            <w:r>
              <w:rPr>
                <w:rFonts w:hint="eastAsia"/>
                <w:color w:val="auto"/>
                <w:szCs w:val="21"/>
              </w:rPr>
              <w:t>瑞兆科公司现有项目公辅及环保工程建设情况见表2</w:t>
            </w:r>
            <w:r>
              <w:rPr>
                <w:color w:val="auto"/>
                <w:szCs w:val="21"/>
              </w:rPr>
              <w:t>-9</w:t>
            </w:r>
            <w:r>
              <w:rPr>
                <w:rFonts w:hint="eastAsia"/>
                <w:color w:val="auto"/>
                <w:szCs w:val="21"/>
              </w:rPr>
              <w:t>。</w:t>
            </w:r>
          </w:p>
          <w:p w14:paraId="54A11A21">
            <w:pPr>
              <w:snapToGrid w:val="0"/>
              <w:spacing w:line="500" w:lineRule="exact"/>
              <w:jc w:val="center"/>
              <w:rPr>
                <w:b/>
                <w:color w:val="auto"/>
                <w:szCs w:val="21"/>
              </w:rPr>
            </w:pPr>
            <w:r>
              <w:rPr>
                <w:b/>
                <w:color w:val="auto"/>
                <w:szCs w:val="21"/>
              </w:rPr>
              <w:t>表2-9  现有项目</w:t>
            </w:r>
            <w:r>
              <w:rPr>
                <w:rFonts w:hint="eastAsia"/>
                <w:b/>
                <w:color w:val="auto"/>
                <w:szCs w:val="21"/>
              </w:rPr>
              <w:t>公辅及环保工程一览表</w:t>
            </w:r>
          </w:p>
          <w:tbl>
            <w:tblPr>
              <w:tblStyle w:val="21"/>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386"/>
              <w:gridCol w:w="708"/>
              <w:gridCol w:w="2425"/>
              <w:gridCol w:w="1819"/>
              <w:gridCol w:w="2834"/>
            </w:tblGrid>
            <w:tr w14:paraId="25792E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236" w:type="pct"/>
                  <w:tcBorders>
                    <w:left w:val="nil"/>
                    <w:tl2br w:val="nil"/>
                  </w:tcBorders>
                  <w:shd w:val="clear" w:color="auto" w:fill="FFFFFF"/>
                  <w:vAlign w:val="center"/>
                </w:tcPr>
                <w:p w14:paraId="5CADABBB">
                  <w:pPr>
                    <w:widowControl/>
                    <w:contextualSpacing/>
                    <w:jc w:val="center"/>
                    <w:rPr>
                      <w:b/>
                      <w:color w:val="auto"/>
                      <w:sz w:val="18"/>
                      <w:szCs w:val="18"/>
                      <w14:ligatures w14:val="standardContextual"/>
                    </w:rPr>
                  </w:pPr>
                </w:p>
              </w:tc>
              <w:tc>
                <w:tcPr>
                  <w:tcW w:w="433" w:type="pct"/>
                  <w:shd w:val="clear" w:color="auto" w:fill="FFFFFF"/>
                  <w:vAlign w:val="center"/>
                </w:tcPr>
                <w:p w14:paraId="0DA21B79">
                  <w:pPr>
                    <w:widowControl/>
                    <w:contextualSpacing/>
                    <w:jc w:val="center"/>
                    <w:rPr>
                      <w:b/>
                      <w:color w:val="auto"/>
                      <w:sz w:val="18"/>
                      <w:szCs w:val="18"/>
                      <w14:ligatures w14:val="standardContextual"/>
                    </w:rPr>
                  </w:pPr>
                </w:p>
              </w:tc>
              <w:tc>
                <w:tcPr>
                  <w:tcW w:w="1483" w:type="pct"/>
                  <w:shd w:val="clear" w:color="auto" w:fill="FFFFFF"/>
                  <w:vAlign w:val="center"/>
                </w:tcPr>
                <w:p w14:paraId="1F04B212">
                  <w:pPr>
                    <w:widowControl/>
                    <w:contextualSpacing/>
                    <w:jc w:val="center"/>
                    <w:rPr>
                      <w:b/>
                      <w:color w:val="auto"/>
                      <w:sz w:val="18"/>
                      <w:szCs w:val="18"/>
                      <w14:ligatures w14:val="standardContextual"/>
                    </w:rPr>
                  </w:pPr>
                </w:p>
              </w:tc>
              <w:tc>
                <w:tcPr>
                  <w:tcW w:w="1112" w:type="pct"/>
                  <w:tcBorders>
                    <w:right w:val="nil"/>
                  </w:tcBorders>
                  <w:shd w:val="clear" w:color="auto" w:fill="FFFFFF"/>
                  <w:vAlign w:val="center"/>
                </w:tcPr>
                <w:p w14:paraId="12303076">
                  <w:pPr>
                    <w:widowControl/>
                    <w:contextualSpacing/>
                    <w:jc w:val="center"/>
                    <w:rPr>
                      <w:b/>
                      <w:color w:val="auto"/>
                      <w:sz w:val="18"/>
                      <w:szCs w:val="18"/>
                      <w14:ligatures w14:val="standardContextual"/>
                    </w:rPr>
                  </w:pPr>
                </w:p>
              </w:tc>
              <w:tc>
                <w:tcPr>
                  <w:tcW w:w="1733" w:type="pct"/>
                  <w:tcBorders>
                    <w:right w:val="nil"/>
                  </w:tcBorders>
                  <w:shd w:val="clear" w:color="auto" w:fill="FFFFFF"/>
                  <w:vAlign w:val="center"/>
                </w:tcPr>
                <w:p w14:paraId="5DBFE320">
                  <w:pPr>
                    <w:widowControl/>
                    <w:contextualSpacing/>
                    <w:jc w:val="center"/>
                    <w:rPr>
                      <w:b/>
                      <w:color w:val="auto"/>
                      <w:sz w:val="18"/>
                      <w:szCs w:val="18"/>
                      <w14:ligatures w14:val="standardContextual"/>
                    </w:rPr>
                  </w:pPr>
                </w:p>
              </w:tc>
            </w:tr>
            <w:tr w14:paraId="073D72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236" w:type="pct"/>
                  <w:vMerge w:val="restart"/>
                  <w:tcBorders>
                    <w:left w:val="nil"/>
                  </w:tcBorders>
                  <w:shd w:val="clear" w:color="auto" w:fill="FFFFFF"/>
                  <w:vAlign w:val="center"/>
                </w:tcPr>
                <w:p w14:paraId="185A2A77">
                  <w:pPr>
                    <w:widowControl/>
                    <w:contextualSpacing/>
                    <w:jc w:val="center"/>
                    <w:rPr>
                      <w:bCs/>
                      <w:color w:val="auto"/>
                      <w:sz w:val="18"/>
                      <w:szCs w:val="18"/>
                      <w14:ligatures w14:val="standardContextual"/>
                    </w:rPr>
                  </w:pPr>
                </w:p>
              </w:tc>
              <w:tc>
                <w:tcPr>
                  <w:tcW w:w="433" w:type="pct"/>
                  <w:shd w:val="clear" w:color="auto" w:fill="FFFFFF"/>
                  <w:vAlign w:val="center"/>
                </w:tcPr>
                <w:p w14:paraId="56C5E54A">
                  <w:pPr>
                    <w:widowControl/>
                    <w:contextualSpacing/>
                    <w:jc w:val="center"/>
                    <w:rPr>
                      <w:bCs/>
                      <w:color w:val="auto"/>
                      <w:sz w:val="18"/>
                      <w:szCs w:val="18"/>
                      <w14:ligatures w14:val="standardContextual"/>
                    </w:rPr>
                  </w:pPr>
                </w:p>
              </w:tc>
              <w:tc>
                <w:tcPr>
                  <w:tcW w:w="1483" w:type="pct"/>
                  <w:shd w:val="clear" w:color="auto" w:fill="FFFFFF"/>
                  <w:vAlign w:val="center"/>
                </w:tcPr>
                <w:p w14:paraId="2201F468">
                  <w:pPr>
                    <w:widowControl/>
                    <w:contextualSpacing/>
                    <w:jc w:val="center"/>
                    <w:rPr>
                      <w:bCs/>
                      <w:color w:val="auto"/>
                      <w:sz w:val="18"/>
                      <w:szCs w:val="18"/>
                      <w14:ligatures w14:val="standardContextual"/>
                    </w:rPr>
                  </w:pPr>
                </w:p>
              </w:tc>
              <w:tc>
                <w:tcPr>
                  <w:tcW w:w="1112" w:type="pct"/>
                  <w:tcBorders>
                    <w:right w:val="nil"/>
                  </w:tcBorders>
                  <w:shd w:val="clear" w:color="auto" w:fill="FFFFFF"/>
                  <w:vAlign w:val="center"/>
                </w:tcPr>
                <w:p w14:paraId="168A7F4E">
                  <w:pPr>
                    <w:widowControl/>
                    <w:contextualSpacing/>
                    <w:jc w:val="center"/>
                    <w:rPr>
                      <w:bCs/>
                      <w:color w:val="auto"/>
                      <w:sz w:val="18"/>
                      <w:szCs w:val="18"/>
                      <w14:ligatures w14:val="standardContextual"/>
                    </w:rPr>
                  </w:pPr>
                </w:p>
              </w:tc>
              <w:tc>
                <w:tcPr>
                  <w:tcW w:w="1733" w:type="pct"/>
                  <w:tcBorders>
                    <w:right w:val="nil"/>
                  </w:tcBorders>
                  <w:shd w:val="clear" w:color="auto" w:fill="FFFFFF"/>
                  <w:vAlign w:val="center"/>
                </w:tcPr>
                <w:p w14:paraId="21D1D05E">
                  <w:pPr>
                    <w:widowControl/>
                    <w:contextualSpacing/>
                    <w:jc w:val="center"/>
                    <w:rPr>
                      <w:bCs/>
                      <w:color w:val="auto"/>
                      <w:sz w:val="18"/>
                      <w:szCs w:val="18"/>
                      <w14:ligatures w14:val="standardContextual"/>
                    </w:rPr>
                  </w:pPr>
                </w:p>
              </w:tc>
            </w:tr>
            <w:tr w14:paraId="2E4CE5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236" w:type="pct"/>
                  <w:vMerge w:val="continue"/>
                  <w:tcBorders>
                    <w:left w:val="nil"/>
                  </w:tcBorders>
                  <w:shd w:val="clear" w:color="auto" w:fill="FFFFFF"/>
                  <w:vAlign w:val="center"/>
                </w:tcPr>
                <w:p w14:paraId="3500537A">
                  <w:pPr>
                    <w:widowControl/>
                    <w:contextualSpacing/>
                    <w:jc w:val="center"/>
                    <w:rPr>
                      <w:bCs/>
                      <w:color w:val="auto"/>
                      <w:sz w:val="18"/>
                      <w:szCs w:val="18"/>
                      <w14:ligatures w14:val="standardContextual"/>
                    </w:rPr>
                  </w:pPr>
                </w:p>
              </w:tc>
              <w:tc>
                <w:tcPr>
                  <w:tcW w:w="433" w:type="pct"/>
                  <w:shd w:val="clear" w:color="auto" w:fill="FFFFFF"/>
                  <w:vAlign w:val="center"/>
                </w:tcPr>
                <w:p w14:paraId="688F44BD">
                  <w:pPr>
                    <w:widowControl/>
                    <w:contextualSpacing/>
                    <w:jc w:val="center"/>
                    <w:rPr>
                      <w:bCs/>
                      <w:color w:val="auto"/>
                      <w:sz w:val="18"/>
                      <w:szCs w:val="18"/>
                      <w14:ligatures w14:val="standardContextual"/>
                    </w:rPr>
                  </w:pPr>
                </w:p>
              </w:tc>
              <w:tc>
                <w:tcPr>
                  <w:tcW w:w="1483" w:type="pct"/>
                  <w:shd w:val="clear" w:color="auto" w:fill="FFFFFF"/>
                  <w:vAlign w:val="center"/>
                </w:tcPr>
                <w:p w14:paraId="5B4CE332">
                  <w:pPr>
                    <w:widowControl/>
                    <w:contextualSpacing/>
                    <w:jc w:val="center"/>
                    <w:rPr>
                      <w:bCs/>
                      <w:color w:val="auto"/>
                      <w:sz w:val="18"/>
                      <w:szCs w:val="18"/>
                      <w14:ligatures w14:val="standardContextual"/>
                    </w:rPr>
                  </w:pPr>
                </w:p>
              </w:tc>
              <w:tc>
                <w:tcPr>
                  <w:tcW w:w="1112" w:type="pct"/>
                  <w:tcBorders>
                    <w:right w:val="nil"/>
                  </w:tcBorders>
                  <w:shd w:val="clear" w:color="auto" w:fill="FFFFFF"/>
                  <w:vAlign w:val="center"/>
                </w:tcPr>
                <w:p w14:paraId="2FB4DB84">
                  <w:pPr>
                    <w:widowControl/>
                    <w:contextualSpacing/>
                    <w:jc w:val="center"/>
                    <w:rPr>
                      <w:bCs/>
                      <w:color w:val="auto"/>
                      <w:sz w:val="18"/>
                      <w:szCs w:val="18"/>
                      <w14:ligatures w14:val="standardContextual"/>
                    </w:rPr>
                  </w:pPr>
                </w:p>
              </w:tc>
              <w:tc>
                <w:tcPr>
                  <w:tcW w:w="1733" w:type="pct"/>
                  <w:tcBorders>
                    <w:right w:val="nil"/>
                  </w:tcBorders>
                  <w:shd w:val="clear" w:color="auto" w:fill="FFFFFF"/>
                  <w:vAlign w:val="center"/>
                </w:tcPr>
                <w:p w14:paraId="48563570">
                  <w:pPr>
                    <w:widowControl/>
                    <w:contextualSpacing/>
                    <w:jc w:val="center"/>
                    <w:rPr>
                      <w:bCs/>
                      <w:color w:val="auto"/>
                      <w:sz w:val="18"/>
                      <w:szCs w:val="18"/>
                      <w14:ligatures w14:val="standardContextual"/>
                    </w:rPr>
                  </w:pPr>
                </w:p>
              </w:tc>
            </w:tr>
            <w:tr w14:paraId="785CB4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236" w:type="pct"/>
                  <w:vMerge w:val="continue"/>
                  <w:tcBorders>
                    <w:left w:val="nil"/>
                  </w:tcBorders>
                  <w:shd w:val="clear" w:color="auto" w:fill="FFFFFF"/>
                  <w:vAlign w:val="center"/>
                </w:tcPr>
                <w:p w14:paraId="5709607B">
                  <w:pPr>
                    <w:widowControl/>
                    <w:contextualSpacing/>
                    <w:jc w:val="center"/>
                    <w:rPr>
                      <w:bCs/>
                      <w:color w:val="auto"/>
                      <w:sz w:val="18"/>
                      <w:szCs w:val="18"/>
                      <w14:ligatures w14:val="standardContextual"/>
                    </w:rPr>
                  </w:pPr>
                </w:p>
              </w:tc>
              <w:tc>
                <w:tcPr>
                  <w:tcW w:w="433" w:type="pct"/>
                  <w:shd w:val="clear" w:color="auto" w:fill="FFFFFF"/>
                  <w:vAlign w:val="center"/>
                </w:tcPr>
                <w:p w14:paraId="1DC73424">
                  <w:pPr>
                    <w:widowControl/>
                    <w:contextualSpacing/>
                    <w:jc w:val="center"/>
                    <w:rPr>
                      <w:bCs/>
                      <w:color w:val="auto"/>
                      <w:sz w:val="18"/>
                      <w:szCs w:val="18"/>
                      <w14:ligatures w14:val="standardContextual"/>
                    </w:rPr>
                  </w:pPr>
                </w:p>
              </w:tc>
              <w:tc>
                <w:tcPr>
                  <w:tcW w:w="1483" w:type="pct"/>
                  <w:shd w:val="clear" w:color="auto" w:fill="FFFFFF"/>
                  <w:vAlign w:val="center"/>
                </w:tcPr>
                <w:p w14:paraId="7E27FA4D">
                  <w:pPr>
                    <w:widowControl/>
                    <w:contextualSpacing/>
                    <w:jc w:val="center"/>
                    <w:rPr>
                      <w:bCs/>
                      <w:color w:val="auto"/>
                      <w:sz w:val="18"/>
                      <w:szCs w:val="18"/>
                      <w14:ligatures w14:val="standardContextual"/>
                    </w:rPr>
                  </w:pPr>
                </w:p>
              </w:tc>
              <w:tc>
                <w:tcPr>
                  <w:tcW w:w="1112" w:type="pct"/>
                  <w:tcBorders>
                    <w:right w:val="nil"/>
                  </w:tcBorders>
                  <w:shd w:val="clear" w:color="auto" w:fill="FFFFFF"/>
                  <w:vAlign w:val="center"/>
                </w:tcPr>
                <w:p w14:paraId="5EBA6923">
                  <w:pPr>
                    <w:widowControl/>
                    <w:contextualSpacing/>
                    <w:jc w:val="center"/>
                    <w:rPr>
                      <w:bCs/>
                      <w:color w:val="auto"/>
                      <w:sz w:val="18"/>
                      <w:szCs w:val="18"/>
                      <w14:ligatures w14:val="standardContextual"/>
                    </w:rPr>
                  </w:pPr>
                </w:p>
              </w:tc>
              <w:tc>
                <w:tcPr>
                  <w:tcW w:w="1733" w:type="pct"/>
                  <w:tcBorders>
                    <w:right w:val="nil"/>
                  </w:tcBorders>
                  <w:shd w:val="clear" w:color="auto" w:fill="FFFFFF"/>
                  <w:vAlign w:val="center"/>
                </w:tcPr>
                <w:p w14:paraId="306045A6">
                  <w:pPr>
                    <w:widowControl/>
                    <w:contextualSpacing/>
                    <w:jc w:val="center"/>
                    <w:rPr>
                      <w:bCs/>
                      <w:color w:val="auto"/>
                      <w:sz w:val="18"/>
                      <w:szCs w:val="18"/>
                      <w14:ligatures w14:val="standardContextual"/>
                    </w:rPr>
                  </w:pPr>
                </w:p>
              </w:tc>
            </w:tr>
            <w:tr w14:paraId="3B14B6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236" w:type="pct"/>
                  <w:vMerge w:val="restart"/>
                  <w:tcBorders>
                    <w:left w:val="nil"/>
                  </w:tcBorders>
                  <w:shd w:val="clear" w:color="auto" w:fill="FFFFFF"/>
                  <w:vAlign w:val="center"/>
                </w:tcPr>
                <w:p w14:paraId="177D638F">
                  <w:pPr>
                    <w:widowControl/>
                    <w:contextualSpacing/>
                    <w:jc w:val="center"/>
                    <w:rPr>
                      <w:bCs/>
                      <w:color w:val="auto"/>
                      <w:sz w:val="18"/>
                      <w:szCs w:val="18"/>
                      <w14:ligatures w14:val="standardContextual"/>
                    </w:rPr>
                  </w:pPr>
                </w:p>
              </w:tc>
              <w:tc>
                <w:tcPr>
                  <w:tcW w:w="433" w:type="pct"/>
                  <w:shd w:val="clear" w:color="auto" w:fill="FFFFFF"/>
                  <w:vAlign w:val="center"/>
                </w:tcPr>
                <w:p w14:paraId="40613559">
                  <w:pPr>
                    <w:widowControl/>
                    <w:contextualSpacing/>
                    <w:jc w:val="center"/>
                    <w:rPr>
                      <w:bCs/>
                      <w:color w:val="auto"/>
                      <w:sz w:val="18"/>
                      <w:szCs w:val="18"/>
                      <w14:ligatures w14:val="standardContextual"/>
                    </w:rPr>
                  </w:pPr>
                </w:p>
              </w:tc>
              <w:tc>
                <w:tcPr>
                  <w:tcW w:w="1483" w:type="pct"/>
                  <w:shd w:val="clear" w:color="auto" w:fill="FFFFFF"/>
                  <w:vAlign w:val="center"/>
                </w:tcPr>
                <w:p w14:paraId="6C486D59">
                  <w:pPr>
                    <w:widowControl/>
                    <w:contextualSpacing/>
                    <w:jc w:val="center"/>
                    <w:rPr>
                      <w:bCs/>
                      <w:color w:val="auto"/>
                      <w:sz w:val="18"/>
                      <w:szCs w:val="18"/>
                      <w14:ligatures w14:val="standardContextual"/>
                    </w:rPr>
                  </w:pPr>
                </w:p>
              </w:tc>
              <w:tc>
                <w:tcPr>
                  <w:tcW w:w="1112" w:type="pct"/>
                  <w:tcBorders>
                    <w:right w:val="nil"/>
                  </w:tcBorders>
                  <w:shd w:val="clear" w:color="auto" w:fill="FFFFFF"/>
                  <w:vAlign w:val="center"/>
                </w:tcPr>
                <w:p w14:paraId="3197DD41">
                  <w:pPr>
                    <w:widowControl/>
                    <w:contextualSpacing/>
                    <w:jc w:val="center"/>
                    <w:rPr>
                      <w:bCs/>
                      <w:color w:val="auto"/>
                      <w:sz w:val="18"/>
                      <w:szCs w:val="18"/>
                      <w14:ligatures w14:val="standardContextual"/>
                    </w:rPr>
                  </w:pPr>
                </w:p>
              </w:tc>
              <w:tc>
                <w:tcPr>
                  <w:tcW w:w="1733" w:type="pct"/>
                  <w:tcBorders>
                    <w:right w:val="nil"/>
                  </w:tcBorders>
                  <w:shd w:val="clear" w:color="auto" w:fill="FFFFFF"/>
                  <w:vAlign w:val="center"/>
                </w:tcPr>
                <w:p w14:paraId="2A0FCC13">
                  <w:pPr>
                    <w:widowControl/>
                    <w:contextualSpacing/>
                    <w:jc w:val="center"/>
                    <w:rPr>
                      <w:bCs/>
                      <w:color w:val="auto"/>
                      <w:sz w:val="18"/>
                      <w:szCs w:val="18"/>
                      <w14:ligatures w14:val="standardContextual"/>
                    </w:rPr>
                  </w:pPr>
                </w:p>
              </w:tc>
            </w:tr>
            <w:tr w14:paraId="2F22F1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236" w:type="pct"/>
                  <w:vMerge w:val="continue"/>
                  <w:tcBorders>
                    <w:left w:val="nil"/>
                  </w:tcBorders>
                  <w:shd w:val="clear" w:color="auto" w:fill="FFFFFF"/>
                  <w:vAlign w:val="center"/>
                </w:tcPr>
                <w:p w14:paraId="24BCE9B2">
                  <w:pPr>
                    <w:widowControl/>
                    <w:contextualSpacing/>
                    <w:jc w:val="center"/>
                    <w:rPr>
                      <w:bCs/>
                      <w:color w:val="auto"/>
                      <w:sz w:val="18"/>
                      <w:szCs w:val="18"/>
                      <w14:ligatures w14:val="standardContextual"/>
                    </w:rPr>
                  </w:pPr>
                </w:p>
              </w:tc>
              <w:tc>
                <w:tcPr>
                  <w:tcW w:w="433" w:type="pct"/>
                  <w:shd w:val="clear" w:color="auto" w:fill="FFFFFF"/>
                  <w:vAlign w:val="center"/>
                </w:tcPr>
                <w:p w14:paraId="7E5E06B6">
                  <w:pPr>
                    <w:widowControl/>
                    <w:contextualSpacing/>
                    <w:jc w:val="center"/>
                    <w:rPr>
                      <w:bCs/>
                      <w:color w:val="auto"/>
                      <w:sz w:val="18"/>
                      <w:szCs w:val="18"/>
                      <w14:ligatures w14:val="standardContextual"/>
                    </w:rPr>
                  </w:pPr>
                </w:p>
              </w:tc>
              <w:tc>
                <w:tcPr>
                  <w:tcW w:w="1483" w:type="pct"/>
                  <w:shd w:val="clear" w:color="auto" w:fill="FFFFFF"/>
                  <w:vAlign w:val="center"/>
                </w:tcPr>
                <w:p w14:paraId="78346508">
                  <w:pPr>
                    <w:widowControl/>
                    <w:contextualSpacing/>
                    <w:jc w:val="center"/>
                    <w:rPr>
                      <w:bCs/>
                      <w:color w:val="auto"/>
                      <w:sz w:val="18"/>
                      <w:szCs w:val="18"/>
                      <w14:ligatures w14:val="standardContextual"/>
                    </w:rPr>
                  </w:pPr>
                </w:p>
              </w:tc>
              <w:tc>
                <w:tcPr>
                  <w:tcW w:w="1112" w:type="pct"/>
                  <w:tcBorders>
                    <w:right w:val="nil"/>
                  </w:tcBorders>
                  <w:shd w:val="clear" w:color="auto" w:fill="FFFFFF"/>
                  <w:vAlign w:val="center"/>
                </w:tcPr>
                <w:p w14:paraId="0D14D9EC">
                  <w:pPr>
                    <w:widowControl/>
                    <w:contextualSpacing/>
                    <w:jc w:val="center"/>
                    <w:rPr>
                      <w:bCs/>
                      <w:color w:val="auto"/>
                      <w:sz w:val="18"/>
                      <w:szCs w:val="18"/>
                      <w14:ligatures w14:val="standardContextual"/>
                    </w:rPr>
                  </w:pPr>
                </w:p>
              </w:tc>
              <w:tc>
                <w:tcPr>
                  <w:tcW w:w="1733" w:type="pct"/>
                  <w:tcBorders>
                    <w:right w:val="nil"/>
                  </w:tcBorders>
                  <w:shd w:val="clear" w:color="auto" w:fill="FFFFFF"/>
                  <w:vAlign w:val="center"/>
                </w:tcPr>
                <w:p w14:paraId="73F8E981">
                  <w:pPr>
                    <w:widowControl/>
                    <w:contextualSpacing/>
                    <w:jc w:val="center"/>
                    <w:rPr>
                      <w:bCs/>
                      <w:color w:val="auto"/>
                      <w:sz w:val="18"/>
                      <w:szCs w:val="18"/>
                      <w14:ligatures w14:val="standardContextual"/>
                    </w:rPr>
                  </w:pPr>
                </w:p>
              </w:tc>
            </w:tr>
            <w:tr w14:paraId="64E3F8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236" w:type="pct"/>
                  <w:vMerge w:val="continue"/>
                  <w:tcBorders>
                    <w:left w:val="nil"/>
                  </w:tcBorders>
                  <w:shd w:val="clear" w:color="auto" w:fill="FFFFFF"/>
                  <w:vAlign w:val="center"/>
                </w:tcPr>
                <w:p w14:paraId="6A9B5E9C">
                  <w:pPr>
                    <w:widowControl/>
                    <w:contextualSpacing/>
                    <w:jc w:val="center"/>
                    <w:rPr>
                      <w:bCs/>
                      <w:color w:val="auto"/>
                      <w:sz w:val="18"/>
                      <w:szCs w:val="18"/>
                      <w14:ligatures w14:val="standardContextual"/>
                    </w:rPr>
                  </w:pPr>
                </w:p>
              </w:tc>
              <w:tc>
                <w:tcPr>
                  <w:tcW w:w="433" w:type="pct"/>
                  <w:shd w:val="clear" w:color="auto" w:fill="FFFFFF"/>
                  <w:vAlign w:val="center"/>
                </w:tcPr>
                <w:p w14:paraId="65897351">
                  <w:pPr>
                    <w:widowControl/>
                    <w:contextualSpacing/>
                    <w:jc w:val="center"/>
                    <w:rPr>
                      <w:bCs/>
                      <w:color w:val="auto"/>
                      <w:sz w:val="18"/>
                      <w:szCs w:val="18"/>
                      <w14:ligatures w14:val="standardContextual"/>
                    </w:rPr>
                  </w:pPr>
                </w:p>
              </w:tc>
              <w:tc>
                <w:tcPr>
                  <w:tcW w:w="1483" w:type="pct"/>
                  <w:shd w:val="clear" w:color="auto" w:fill="FFFFFF"/>
                  <w:vAlign w:val="center"/>
                </w:tcPr>
                <w:p w14:paraId="6519D2CD">
                  <w:pPr>
                    <w:widowControl/>
                    <w:contextualSpacing/>
                    <w:jc w:val="center"/>
                    <w:rPr>
                      <w:bCs/>
                      <w:color w:val="auto"/>
                      <w:sz w:val="18"/>
                      <w:szCs w:val="18"/>
                      <w14:ligatures w14:val="standardContextual"/>
                    </w:rPr>
                  </w:pPr>
                </w:p>
              </w:tc>
              <w:tc>
                <w:tcPr>
                  <w:tcW w:w="1112" w:type="pct"/>
                  <w:tcBorders>
                    <w:right w:val="nil"/>
                  </w:tcBorders>
                  <w:shd w:val="clear" w:color="auto" w:fill="FFFFFF"/>
                  <w:vAlign w:val="center"/>
                </w:tcPr>
                <w:p w14:paraId="2AB8DD4A">
                  <w:pPr>
                    <w:widowControl/>
                    <w:contextualSpacing/>
                    <w:jc w:val="center"/>
                    <w:rPr>
                      <w:bCs/>
                      <w:color w:val="auto"/>
                      <w:sz w:val="18"/>
                      <w:szCs w:val="18"/>
                      <w14:ligatures w14:val="standardContextual"/>
                    </w:rPr>
                  </w:pPr>
                </w:p>
              </w:tc>
              <w:tc>
                <w:tcPr>
                  <w:tcW w:w="1733" w:type="pct"/>
                  <w:tcBorders>
                    <w:right w:val="nil"/>
                  </w:tcBorders>
                  <w:shd w:val="clear" w:color="auto" w:fill="FFFFFF"/>
                  <w:vAlign w:val="center"/>
                </w:tcPr>
                <w:p w14:paraId="110E190E">
                  <w:pPr>
                    <w:widowControl/>
                    <w:contextualSpacing/>
                    <w:jc w:val="center"/>
                    <w:rPr>
                      <w:bCs/>
                      <w:color w:val="auto"/>
                      <w:sz w:val="18"/>
                      <w:szCs w:val="18"/>
                      <w14:ligatures w14:val="standardContextual"/>
                    </w:rPr>
                  </w:pPr>
                </w:p>
              </w:tc>
            </w:tr>
            <w:tr w14:paraId="4AB87E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236" w:type="pct"/>
                  <w:vMerge w:val="continue"/>
                  <w:tcBorders>
                    <w:left w:val="nil"/>
                  </w:tcBorders>
                  <w:shd w:val="clear" w:color="auto" w:fill="FFFFFF"/>
                  <w:vAlign w:val="center"/>
                </w:tcPr>
                <w:p w14:paraId="18B81BCD">
                  <w:pPr>
                    <w:widowControl/>
                    <w:contextualSpacing/>
                    <w:jc w:val="center"/>
                    <w:rPr>
                      <w:bCs/>
                      <w:color w:val="auto"/>
                      <w:sz w:val="18"/>
                      <w:szCs w:val="18"/>
                      <w14:ligatures w14:val="standardContextual"/>
                    </w:rPr>
                  </w:pPr>
                </w:p>
              </w:tc>
              <w:tc>
                <w:tcPr>
                  <w:tcW w:w="433" w:type="pct"/>
                  <w:shd w:val="clear" w:color="auto" w:fill="FFFFFF"/>
                  <w:vAlign w:val="center"/>
                </w:tcPr>
                <w:p w14:paraId="6A0F4BCE">
                  <w:pPr>
                    <w:widowControl/>
                    <w:contextualSpacing/>
                    <w:jc w:val="center"/>
                    <w:rPr>
                      <w:bCs/>
                      <w:color w:val="auto"/>
                      <w:sz w:val="18"/>
                      <w:szCs w:val="18"/>
                      <w14:ligatures w14:val="standardContextual"/>
                    </w:rPr>
                  </w:pPr>
                </w:p>
              </w:tc>
              <w:tc>
                <w:tcPr>
                  <w:tcW w:w="1483" w:type="pct"/>
                  <w:shd w:val="clear" w:color="auto" w:fill="FFFFFF"/>
                  <w:vAlign w:val="center"/>
                </w:tcPr>
                <w:p w14:paraId="67DC10D9">
                  <w:pPr>
                    <w:widowControl/>
                    <w:contextualSpacing/>
                    <w:jc w:val="center"/>
                    <w:rPr>
                      <w:bCs/>
                      <w:color w:val="auto"/>
                      <w:sz w:val="18"/>
                      <w:szCs w:val="18"/>
                      <w14:ligatures w14:val="standardContextual"/>
                    </w:rPr>
                  </w:pPr>
                </w:p>
              </w:tc>
              <w:tc>
                <w:tcPr>
                  <w:tcW w:w="1112" w:type="pct"/>
                  <w:tcBorders>
                    <w:right w:val="nil"/>
                  </w:tcBorders>
                  <w:shd w:val="clear" w:color="auto" w:fill="FFFFFF"/>
                  <w:vAlign w:val="center"/>
                </w:tcPr>
                <w:p w14:paraId="007F4E12">
                  <w:pPr>
                    <w:widowControl/>
                    <w:contextualSpacing/>
                    <w:jc w:val="center"/>
                    <w:rPr>
                      <w:bCs/>
                      <w:color w:val="auto"/>
                      <w:sz w:val="18"/>
                      <w:szCs w:val="18"/>
                      <w14:ligatures w14:val="standardContextual"/>
                    </w:rPr>
                  </w:pPr>
                </w:p>
              </w:tc>
              <w:tc>
                <w:tcPr>
                  <w:tcW w:w="1733" w:type="pct"/>
                  <w:tcBorders>
                    <w:right w:val="nil"/>
                  </w:tcBorders>
                  <w:shd w:val="clear" w:color="auto" w:fill="FFFFFF"/>
                  <w:vAlign w:val="center"/>
                </w:tcPr>
                <w:p w14:paraId="2EE2B7F8">
                  <w:pPr>
                    <w:widowControl/>
                    <w:contextualSpacing/>
                    <w:jc w:val="center"/>
                    <w:rPr>
                      <w:bCs/>
                      <w:color w:val="auto"/>
                      <w:sz w:val="18"/>
                      <w:szCs w:val="18"/>
                      <w14:ligatures w14:val="standardContextual"/>
                    </w:rPr>
                  </w:pPr>
                </w:p>
              </w:tc>
            </w:tr>
            <w:tr w14:paraId="67E1E5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236" w:type="pct"/>
                  <w:vMerge w:val="restart"/>
                  <w:tcBorders>
                    <w:left w:val="nil"/>
                  </w:tcBorders>
                  <w:shd w:val="clear" w:color="auto" w:fill="FFFFFF"/>
                  <w:vAlign w:val="center"/>
                </w:tcPr>
                <w:p w14:paraId="22CAD56C">
                  <w:pPr>
                    <w:widowControl/>
                    <w:contextualSpacing/>
                    <w:jc w:val="center"/>
                    <w:rPr>
                      <w:bCs/>
                      <w:color w:val="auto"/>
                      <w:sz w:val="18"/>
                      <w:szCs w:val="18"/>
                      <w14:ligatures w14:val="standardContextual"/>
                    </w:rPr>
                  </w:pPr>
                </w:p>
              </w:tc>
              <w:tc>
                <w:tcPr>
                  <w:tcW w:w="433" w:type="pct"/>
                  <w:shd w:val="clear" w:color="auto" w:fill="FFFFFF"/>
                  <w:vAlign w:val="center"/>
                </w:tcPr>
                <w:p w14:paraId="5A6A58EA">
                  <w:pPr>
                    <w:widowControl/>
                    <w:contextualSpacing/>
                    <w:jc w:val="center"/>
                    <w:rPr>
                      <w:bCs/>
                      <w:color w:val="auto"/>
                      <w:sz w:val="18"/>
                      <w:szCs w:val="18"/>
                      <w14:ligatures w14:val="standardContextual"/>
                    </w:rPr>
                  </w:pPr>
                </w:p>
              </w:tc>
              <w:tc>
                <w:tcPr>
                  <w:tcW w:w="1483" w:type="pct"/>
                  <w:shd w:val="clear" w:color="auto" w:fill="FFFFFF"/>
                  <w:vAlign w:val="center"/>
                </w:tcPr>
                <w:p w14:paraId="3CE1EA31">
                  <w:pPr>
                    <w:widowControl/>
                    <w:contextualSpacing/>
                    <w:jc w:val="center"/>
                    <w:rPr>
                      <w:bCs/>
                      <w:color w:val="auto"/>
                      <w:sz w:val="18"/>
                      <w:szCs w:val="18"/>
                      <w14:ligatures w14:val="standardContextual"/>
                    </w:rPr>
                  </w:pPr>
                </w:p>
              </w:tc>
              <w:tc>
                <w:tcPr>
                  <w:tcW w:w="1112" w:type="pct"/>
                  <w:tcBorders>
                    <w:right w:val="nil"/>
                  </w:tcBorders>
                  <w:shd w:val="clear" w:color="auto" w:fill="FFFFFF"/>
                  <w:vAlign w:val="center"/>
                </w:tcPr>
                <w:p w14:paraId="41E223D5">
                  <w:pPr>
                    <w:widowControl/>
                    <w:contextualSpacing/>
                    <w:jc w:val="center"/>
                    <w:rPr>
                      <w:bCs/>
                      <w:color w:val="auto"/>
                      <w:sz w:val="18"/>
                      <w:szCs w:val="18"/>
                      <w14:ligatures w14:val="standardContextual"/>
                    </w:rPr>
                  </w:pPr>
                </w:p>
              </w:tc>
              <w:tc>
                <w:tcPr>
                  <w:tcW w:w="1733" w:type="pct"/>
                  <w:tcBorders>
                    <w:right w:val="nil"/>
                  </w:tcBorders>
                  <w:shd w:val="clear" w:color="auto" w:fill="FFFFFF"/>
                  <w:vAlign w:val="center"/>
                </w:tcPr>
                <w:p w14:paraId="1B85678A">
                  <w:pPr>
                    <w:widowControl/>
                    <w:contextualSpacing/>
                    <w:jc w:val="center"/>
                    <w:rPr>
                      <w:bCs/>
                      <w:color w:val="auto"/>
                      <w:sz w:val="18"/>
                      <w:szCs w:val="18"/>
                      <w14:ligatures w14:val="standardContextual"/>
                    </w:rPr>
                  </w:pPr>
                </w:p>
              </w:tc>
            </w:tr>
            <w:tr w14:paraId="745237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236" w:type="pct"/>
                  <w:vMerge w:val="continue"/>
                  <w:tcBorders>
                    <w:left w:val="nil"/>
                  </w:tcBorders>
                  <w:shd w:val="clear" w:color="auto" w:fill="FFFFFF"/>
                  <w:vAlign w:val="center"/>
                </w:tcPr>
                <w:p w14:paraId="60364305">
                  <w:pPr>
                    <w:widowControl/>
                    <w:contextualSpacing/>
                    <w:jc w:val="center"/>
                    <w:rPr>
                      <w:bCs/>
                      <w:color w:val="auto"/>
                      <w:sz w:val="18"/>
                      <w:szCs w:val="18"/>
                      <w14:ligatures w14:val="standardContextual"/>
                    </w:rPr>
                  </w:pPr>
                </w:p>
              </w:tc>
              <w:tc>
                <w:tcPr>
                  <w:tcW w:w="433" w:type="pct"/>
                  <w:shd w:val="clear" w:color="auto" w:fill="FFFFFF"/>
                  <w:vAlign w:val="center"/>
                </w:tcPr>
                <w:p w14:paraId="1CB5F0BC">
                  <w:pPr>
                    <w:widowControl/>
                    <w:contextualSpacing/>
                    <w:jc w:val="center"/>
                    <w:rPr>
                      <w:bCs/>
                      <w:color w:val="auto"/>
                      <w:sz w:val="18"/>
                      <w:szCs w:val="18"/>
                      <w14:ligatures w14:val="standardContextual"/>
                    </w:rPr>
                  </w:pPr>
                </w:p>
              </w:tc>
              <w:tc>
                <w:tcPr>
                  <w:tcW w:w="1483" w:type="pct"/>
                  <w:shd w:val="clear" w:color="auto" w:fill="FFFFFF"/>
                  <w:vAlign w:val="center"/>
                </w:tcPr>
                <w:p w14:paraId="0AE10E94">
                  <w:pPr>
                    <w:widowControl/>
                    <w:contextualSpacing/>
                    <w:jc w:val="center"/>
                    <w:rPr>
                      <w:bCs/>
                      <w:color w:val="auto"/>
                      <w:sz w:val="18"/>
                      <w:szCs w:val="18"/>
                      <w14:ligatures w14:val="standardContextual"/>
                    </w:rPr>
                  </w:pPr>
                </w:p>
              </w:tc>
              <w:tc>
                <w:tcPr>
                  <w:tcW w:w="1112" w:type="pct"/>
                  <w:tcBorders>
                    <w:right w:val="nil"/>
                  </w:tcBorders>
                  <w:shd w:val="clear" w:color="auto" w:fill="FFFFFF"/>
                  <w:vAlign w:val="center"/>
                </w:tcPr>
                <w:p w14:paraId="76F8F2AB">
                  <w:pPr>
                    <w:widowControl/>
                    <w:contextualSpacing/>
                    <w:jc w:val="center"/>
                    <w:rPr>
                      <w:bCs/>
                      <w:color w:val="auto"/>
                      <w:sz w:val="18"/>
                      <w:szCs w:val="18"/>
                      <w14:ligatures w14:val="standardContextual"/>
                    </w:rPr>
                  </w:pPr>
                </w:p>
              </w:tc>
              <w:tc>
                <w:tcPr>
                  <w:tcW w:w="1733" w:type="pct"/>
                  <w:tcBorders>
                    <w:right w:val="nil"/>
                  </w:tcBorders>
                  <w:shd w:val="clear" w:color="auto" w:fill="FFFFFF"/>
                  <w:vAlign w:val="center"/>
                </w:tcPr>
                <w:p w14:paraId="47827F16">
                  <w:pPr>
                    <w:widowControl/>
                    <w:contextualSpacing/>
                    <w:jc w:val="center"/>
                    <w:rPr>
                      <w:bCs/>
                      <w:color w:val="auto"/>
                      <w:sz w:val="18"/>
                      <w:szCs w:val="18"/>
                      <w14:ligatures w14:val="standardContextual"/>
                    </w:rPr>
                  </w:pPr>
                </w:p>
              </w:tc>
            </w:tr>
            <w:tr w14:paraId="74BA90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236" w:type="pct"/>
                  <w:vMerge w:val="continue"/>
                  <w:tcBorders>
                    <w:left w:val="nil"/>
                  </w:tcBorders>
                  <w:shd w:val="clear" w:color="auto" w:fill="FFFFFF"/>
                  <w:vAlign w:val="center"/>
                </w:tcPr>
                <w:p w14:paraId="11204351">
                  <w:pPr>
                    <w:widowControl/>
                    <w:contextualSpacing/>
                    <w:jc w:val="center"/>
                    <w:rPr>
                      <w:bCs/>
                      <w:color w:val="auto"/>
                      <w:sz w:val="18"/>
                      <w:szCs w:val="18"/>
                      <w14:ligatures w14:val="standardContextual"/>
                    </w:rPr>
                  </w:pPr>
                </w:p>
              </w:tc>
              <w:tc>
                <w:tcPr>
                  <w:tcW w:w="433" w:type="pct"/>
                  <w:shd w:val="clear" w:color="auto" w:fill="FFFFFF"/>
                  <w:vAlign w:val="center"/>
                </w:tcPr>
                <w:p w14:paraId="1DC332B3">
                  <w:pPr>
                    <w:widowControl/>
                    <w:contextualSpacing/>
                    <w:jc w:val="center"/>
                    <w:rPr>
                      <w:bCs/>
                      <w:color w:val="auto"/>
                      <w:sz w:val="18"/>
                      <w:szCs w:val="18"/>
                      <w14:ligatures w14:val="standardContextual"/>
                    </w:rPr>
                  </w:pPr>
                </w:p>
              </w:tc>
              <w:tc>
                <w:tcPr>
                  <w:tcW w:w="1483" w:type="pct"/>
                  <w:shd w:val="clear" w:color="auto" w:fill="FFFFFF"/>
                  <w:vAlign w:val="center"/>
                </w:tcPr>
                <w:p w14:paraId="647CC050">
                  <w:pPr>
                    <w:widowControl/>
                    <w:contextualSpacing/>
                    <w:jc w:val="center"/>
                    <w:rPr>
                      <w:bCs/>
                      <w:color w:val="auto"/>
                      <w:sz w:val="18"/>
                      <w:szCs w:val="18"/>
                      <w14:ligatures w14:val="standardContextual"/>
                    </w:rPr>
                  </w:pPr>
                </w:p>
              </w:tc>
              <w:tc>
                <w:tcPr>
                  <w:tcW w:w="1112" w:type="pct"/>
                  <w:tcBorders>
                    <w:right w:val="nil"/>
                  </w:tcBorders>
                  <w:shd w:val="clear" w:color="auto" w:fill="FFFFFF"/>
                  <w:vAlign w:val="center"/>
                </w:tcPr>
                <w:p w14:paraId="20EA9B40">
                  <w:pPr>
                    <w:widowControl/>
                    <w:contextualSpacing/>
                    <w:jc w:val="center"/>
                    <w:rPr>
                      <w:bCs/>
                      <w:color w:val="auto"/>
                      <w:sz w:val="18"/>
                      <w:szCs w:val="18"/>
                      <w14:ligatures w14:val="standardContextual"/>
                    </w:rPr>
                  </w:pPr>
                </w:p>
              </w:tc>
              <w:tc>
                <w:tcPr>
                  <w:tcW w:w="1733" w:type="pct"/>
                  <w:tcBorders>
                    <w:right w:val="nil"/>
                  </w:tcBorders>
                  <w:shd w:val="clear" w:color="auto" w:fill="FFFFFF"/>
                  <w:vAlign w:val="center"/>
                </w:tcPr>
                <w:p w14:paraId="6352A616">
                  <w:pPr>
                    <w:widowControl/>
                    <w:contextualSpacing/>
                    <w:jc w:val="center"/>
                    <w:rPr>
                      <w:bCs/>
                      <w:color w:val="auto"/>
                      <w:sz w:val="18"/>
                      <w:szCs w:val="18"/>
                      <w14:ligatures w14:val="standardContextual"/>
                    </w:rPr>
                  </w:pPr>
                </w:p>
              </w:tc>
            </w:tr>
            <w:tr w14:paraId="128352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236" w:type="pct"/>
                  <w:vMerge w:val="continue"/>
                  <w:tcBorders>
                    <w:left w:val="nil"/>
                  </w:tcBorders>
                  <w:shd w:val="clear" w:color="auto" w:fill="FFFFFF"/>
                  <w:vAlign w:val="center"/>
                </w:tcPr>
                <w:p w14:paraId="3455D1E0">
                  <w:pPr>
                    <w:widowControl/>
                    <w:contextualSpacing/>
                    <w:jc w:val="center"/>
                    <w:rPr>
                      <w:bCs/>
                      <w:color w:val="auto"/>
                      <w:sz w:val="18"/>
                      <w:szCs w:val="18"/>
                      <w14:ligatures w14:val="standardContextual"/>
                    </w:rPr>
                  </w:pPr>
                </w:p>
              </w:tc>
              <w:tc>
                <w:tcPr>
                  <w:tcW w:w="433" w:type="pct"/>
                  <w:shd w:val="clear" w:color="auto" w:fill="FFFFFF"/>
                  <w:vAlign w:val="center"/>
                </w:tcPr>
                <w:p w14:paraId="5B613DD7">
                  <w:pPr>
                    <w:widowControl/>
                    <w:contextualSpacing/>
                    <w:jc w:val="center"/>
                    <w:rPr>
                      <w:bCs/>
                      <w:color w:val="auto"/>
                      <w:sz w:val="18"/>
                      <w:szCs w:val="18"/>
                      <w14:ligatures w14:val="standardContextual"/>
                    </w:rPr>
                  </w:pPr>
                </w:p>
              </w:tc>
              <w:tc>
                <w:tcPr>
                  <w:tcW w:w="1483" w:type="pct"/>
                  <w:shd w:val="clear" w:color="auto" w:fill="FFFFFF"/>
                  <w:vAlign w:val="center"/>
                </w:tcPr>
                <w:p w14:paraId="3C8E352D">
                  <w:pPr>
                    <w:widowControl/>
                    <w:contextualSpacing/>
                    <w:jc w:val="center"/>
                    <w:rPr>
                      <w:bCs/>
                      <w:color w:val="auto"/>
                      <w:sz w:val="18"/>
                      <w:szCs w:val="18"/>
                      <w14:ligatures w14:val="standardContextual"/>
                    </w:rPr>
                  </w:pPr>
                </w:p>
              </w:tc>
              <w:tc>
                <w:tcPr>
                  <w:tcW w:w="1112" w:type="pct"/>
                  <w:tcBorders>
                    <w:right w:val="nil"/>
                  </w:tcBorders>
                  <w:shd w:val="clear" w:color="auto" w:fill="FFFFFF"/>
                  <w:vAlign w:val="center"/>
                </w:tcPr>
                <w:p w14:paraId="369AD18B">
                  <w:pPr>
                    <w:widowControl/>
                    <w:contextualSpacing/>
                    <w:jc w:val="center"/>
                    <w:rPr>
                      <w:bCs/>
                      <w:color w:val="auto"/>
                      <w:sz w:val="18"/>
                      <w:szCs w:val="18"/>
                      <w14:ligatures w14:val="standardContextual"/>
                    </w:rPr>
                  </w:pPr>
                </w:p>
              </w:tc>
              <w:tc>
                <w:tcPr>
                  <w:tcW w:w="1733" w:type="pct"/>
                  <w:tcBorders>
                    <w:right w:val="nil"/>
                  </w:tcBorders>
                  <w:shd w:val="clear" w:color="auto" w:fill="FFFFFF"/>
                  <w:vAlign w:val="center"/>
                </w:tcPr>
                <w:p w14:paraId="6C65A54C">
                  <w:pPr>
                    <w:widowControl/>
                    <w:contextualSpacing/>
                    <w:jc w:val="center"/>
                    <w:rPr>
                      <w:bCs/>
                      <w:color w:val="auto"/>
                      <w:sz w:val="18"/>
                      <w:szCs w:val="18"/>
                      <w14:ligatures w14:val="standardContextual"/>
                    </w:rPr>
                  </w:pPr>
                </w:p>
              </w:tc>
            </w:tr>
            <w:tr w14:paraId="51C08F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236" w:type="pct"/>
                  <w:vMerge w:val="continue"/>
                  <w:tcBorders>
                    <w:left w:val="nil"/>
                  </w:tcBorders>
                  <w:shd w:val="clear" w:color="auto" w:fill="FFFFFF"/>
                  <w:vAlign w:val="center"/>
                </w:tcPr>
                <w:p w14:paraId="530904EE">
                  <w:pPr>
                    <w:widowControl/>
                    <w:contextualSpacing/>
                    <w:jc w:val="center"/>
                    <w:rPr>
                      <w:bCs/>
                      <w:color w:val="auto"/>
                      <w:sz w:val="18"/>
                      <w:szCs w:val="18"/>
                      <w14:ligatures w14:val="standardContextual"/>
                    </w:rPr>
                  </w:pPr>
                </w:p>
              </w:tc>
              <w:tc>
                <w:tcPr>
                  <w:tcW w:w="433" w:type="pct"/>
                  <w:shd w:val="clear" w:color="auto" w:fill="FFFFFF"/>
                  <w:vAlign w:val="center"/>
                </w:tcPr>
                <w:p w14:paraId="1C0EFF1F">
                  <w:pPr>
                    <w:widowControl/>
                    <w:contextualSpacing/>
                    <w:jc w:val="center"/>
                    <w:rPr>
                      <w:bCs/>
                      <w:color w:val="auto"/>
                      <w:sz w:val="18"/>
                      <w:szCs w:val="18"/>
                      <w14:ligatures w14:val="standardContextual"/>
                    </w:rPr>
                  </w:pPr>
                </w:p>
              </w:tc>
              <w:tc>
                <w:tcPr>
                  <w:tcW w:w="1483" w:type="pct"/>
                  <w:shd w:val="clear" w:color="auto" w:fill="FFFFFF"/>
                  <w:vAlign w:val="center"/>
                </w:tcPr>
                <w:p w14:paraId="065E07E1">
                  <w:pPr>
                    <w:widowControl/>
                    <w:contextualSpacing/>
                    <w:jc w:val="center"/>
                    <w:rPr>
                      <w:bCs/>
                      <w:color w:val="auto"/>
                      <w:sz w:val="18"/>
                      <w:szCs w:val="18"/>
                      <w14:ligatures w14:val="standardContextual"/>
                    </w:rPr>
                  </w:pPr>
                </w:p>
              </w:tc>
              <w:tc>
                <w:tcPr>
                  <w:tcW w:w="1112" w:type="pct"/>
                  <w:tcBorders>
                    <w:right w:val="nil"/>
                  </w:tcBorders>
                  <w:shd w:val="clear" w:color="auto" w:fill="FFFFFF"/>
                  <w:vAlign w:val="center"/>
                </w:tcPr>
                <w:p w14:paraId="6060FE61">
                  <w:pPr>
                    <w:widowControl/>
                    <w:contextualSpacing/>
                    <w:jc w:val="center"/>
                    <w:rPr>
                      <w:bCs/>
                      <w:color w:val="auto"/>
                      <w:sz w:val="18"/>
                      <w:szCs w:val="18"/>
                      <w14:ligatures w14:val="standardContextual"/>
                    </w:rPr>
                  </w:pPr>
                </w:p>
              </w:tc>
              <w:tc>
                <w:tcPr>
                  <w:tcW w:w="1733" w:type="pct"/>
                  <w:tcBorders>
                    <w:right w:val="nil"/>
                  </w:tcBorders>
                  <w:shd w:val="clear" w:color="auto" w:fill="FFFFFF"/>
                  <w:vAlign w:val="center"/>
                </w:tcPr>
                <w:p w14:paraId="040BBF8F">
                  <w:pPr>
                    <w:widowControl/>
                    <w:contextualSpacing/>
                    <w:jc w:val="center"/>
                    <w:rPr>
                      <w:bCs/>
                      <w:color w:val="auto"/>
                      <w:sz w:val="18"/>
                      <w:szCs w:val="18"/>
                      <w14:ligatures w14:val="standardContextual"/>
                    </w:rPr>
                  </w:pPr>
                </w:p>
              </w:tc>
            </w:tr>
            <w:tr w14:paraId="7771E0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236" w:type="pct"/>
                  <w:vMerge w:val="continue"/>
                  <w:tcBorders>
                    <w:left w:val="nil"/>
                  </w:tcBorders>
                  <w:shd w:val="clear" w:color="auto" w:fill="FFFFFF"/>
                  <w:vAlign w:val="center"/>
                </w:tcPr>
                <w:p w14:paraId="49C79D2E">
                  <w:pPr>
                    <w:widowControl/>
                    <w:contextualSpacing/>
                    <w:jc w:val="center"/>
                    <w:rPr>
                      <w:bCs/>
                      <w:color w:val="auto"/>
                      <w:sz w:val="18"/>
                      <w:szCs w:val="18"/>
                      <w14:ligatures w14:val="standardContextual"/>
                    </w:rPr>
                  </w:pPr>
                </w:p>
              </w:tc>
              <w:tc>
                <w:tcPr>
                  <w:tcW w:w="433" w:type="pct"/>
                  <w:shd w:val="clear" w:color="auto" w:fill="FFFFFF"/>
                  <w:vAlign w:val="center"/>
                </w:tcPr>
                <w:p w14:paraId="7D67143E">
                  <w:pPr>
                    <w:widowControl/>
                    <w:contextualSpacing/>
                    <w:jc w:val="center"/>
                    <w:rPr>
                      <w:bCs/>
                      <w:color w:val="auto"/>
                      <w:sz w:val="18"/>
                      <w:szCs w:val="18"/>
                      <w14:ligatures w14:val="standardContextual"/>
                    </w:rPr>
                  </w:pPr>
                </w:p>
              </w:tc>
              <w:tc>
                <w:tcPr>
                  <w:tcW w:w="1483" w:type="pct"/>
                  <w:shd w:val="clear" w:color="auto" w:fill="FFFFFF"/>
                  <w:vAlign w:val="center"/>
                </w:tcPr>
                <w:p w14:paraId="4BAC8C7E">
                  <w:pPr>
                    <w:widowControl/>
                    <w:contextualSpacing/>
                    <w:jc w:val="center"/>
                    <w:rPr>
                      <w:bCs/>
                      <w:color w:val="auto"/>
                      <w:sz w:val="18"/>
                      <w:szCs w:val="18"/>
                      <w14:ligatures w14:val="standardContextual"/>
                    </w:rPr>
                  </w:pPr>
                </w:p>
              </w:tc>
              <w:tc>
                <w:tcPr>
                  <w:tcW w:w="1112" w:type="pct"/>
                  <w:tcBorders>
                    <w:right w:val="nil"/>
                  </w:tcBorders>
                  <w:shd w:val="clear" w:color="auto" w:fill="FFFFFF"/>
                  <w:vAlign w:val="center"/>
                </w:tcPr>
                <w:p w14:paraId="03047F23">
                  <w:pPr>
                    <w:widowControl/>
                    <w:contextualSpacing/>
                    <w:jc w:val="center"/>
                    <w:rPr>
                      <w:bCs/>
                      <w:color w:val="auto"/>
                      <w:sz w:val="18"/>
                      <w:szCs w:val="18"/>
                      <w14:ligatures w14:val="standardContextual"/>
                    </w:rPr>
                  </w:pPr>
                </w:p>
              </w:tc>
              <w:tc>
                <w:tcPr>
                  <w:tcW w:w="1733" w:type="pct"/>
                  <w:tcBorders>
                    <w:right w:val="nil"/>
                  </w:tcBorders>
                  <w:shd w:val="clear" w:color="auto" w:fill="FFFFFF"/>
                  <w:vAlign w:val="center"/>
                </w:tcPr>
                <w:p w14:paraId="327ABEFE">
                  <w:pPr>
                    <w:widowControl/>
                    <w:contextualSpacing/>
                    <w:jc w:val="center"/>
                    <w:rPr>
                      <w:bCs/>
                      <w:color w:val="auto"/>
                      <w:sz w:val="18"/>
                      <w:szCs w:val="18"/>
                      <w14:ligatures w14:val="standardContextual"/>
                    </w:rPr>
                  </w:pPr>
                </w:p>
              </w:tc>
            </w:tr>
            <w:tr w14:paraId="7C769C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236" w:type="pct"/>
                  <w:vMerge w:val="continue"/>
                  <w:tcBorders>
                    <w:left w:val="nil"/>
                  </w:tcBorders>
                  <w:shd w:val="clear" w:color="auto" w:fill="FFFFFF"/>
                  <w:vAlign w:val="center"/>
                </w:tcPr>
                <w:p w14:paraId="02A6826E">
                  <w:pPr>
                    <w:widowControl/>
                    <w:contextualSpacing/>
                    <w:jc w:val="center"/>
                    <w:rPr>
                      <w:bCs/>
                      <w:color w:val="auto"/>
                      <w:sz w:val="18"/>
                      <w:szCs w:val="18"/>
                      <w14:ligatures w14:val="standardContextual"/>
                    </w:rPr>
                  </w:pPr>
                </w:p>
              </w:tc>
              <w:tc>
                <w:tcPr>
                  <w:tcW w:w="433" w:type="pct"/>
                  <w:shd w:val="clear" w:color="auto" w:fill="FFFFFF"/>
                  <w:vAlign w:val="center"/>
                </w:tcPr>
                <w:p w14:paraId="2F6925D2">
                  <w:pPr>
                    <w:widowControl/>
                    <w:contextualSpacing/>
                    <w:jc w:val="center"/>
                    <w:rPr>
                      <w:bCs/>
                      <w:color w:val="auto"/>
                      <w:sz w:val="18"/>
                      <w:szCs w:val="18"/>
                      <w14:ligatures w14:val="standardContextual"/>
                    </w:rPr>
                  </w:pPr>
                </w:p>
              </w:tc>
              <w:tc>
                <w:tcPr>
                  <w:tcW w:w="1483" w:type="pct"/>
                  <w:shd w:val="clear" w:color="auto" w:fill="FFFFFF"/>
                  <w:vAlign w:val="center"/>
                </w:tcPr>
                <w:p w14:paraId="6FDCC6B9">
                  <w:pPr>
                    <w:widowControl/>
                    <w:contextualSpacing/>
                    <w:jc w:val="center"/>
                    <w:rPr>
                      <w:bCs/>
                      <w:color w:val="auto"/>
                      <w:sz w:val="18"/>
                      <w:szCs w:val="18"/>
                      <w14:ligatures w14:val="standardContextual"/>
                    </w:rPr>
                  </w:pPr>
                </w:p>
              </w:tc>
              <w:tc>
                <w:tcPr>
                  <w:tcW w:w="1112" w:type="pct"/>
                  <w:tcBorders>
                    <w:right w:val="nil"/>
                  </w:tcBorders>
                  <w:shd w:val="clear" w:color="auto" w:fill="FFFFFF"/>
                  <w:vAlign w:val="center"/>
                </w:tcPr>
                <w:p w14:paraId="03C09475">
                  <w:pPr>
                    <w:widowControl/>
                    <w:contextualSpacing/>
                    <w:jc w:val="center"/>
                    <w:rPr>
                      <w:bCs/>
                      <w:color w:val="auto"/>
                      <w:sz w:val="18"/>
                      <w:szCs w:val="18"/>
                      <w14:ligatures w14:val="standardContextual"/>
                    </w:rPr>
                  </w:pPr>
                </w:p>
              </w:tc>
              <w:tc>
                <w:tcPr>
                  <w:tcW w:w="1733" w:type="pct"/>
                  <w:tcBorders>
                    <w:right w:val="nil"/>
                  </w:tcBorders>
                  <w:shd w:val="clear" w:color="auto" w:fill="FFFFFF"/>
                  <w:vAlign w:val="center"/>
                </w:tcPr>
                <w:p w14:paraId="0E0BF9B0">
                  <w:pPr>
                    <w:widowControl/>
                    <w:contextualSpacing/>
                    <w:jc w:val="center"/>
                    <w:rPr>
                      <w:bCs/>
                      <w:color w:val="auto"/>
                      <w:sz w:val="18"/>
                      <w:szCs w:val="18"/>
                      <w14:ligatures w14:val="standardContextual"/>
                    </w:rPr>
                  </w:pPr>
                </w:p>
              </w:tc>
            </w:tr>
            <w:tr w14:paraId="4E330C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236" w:type="pct"/>
                  <w:vMerge w:val="continue"/>
                  <w:tcBorders>
                    <w:left w:val="nil"/>
                  </w:tcBorders>
                  <w:shd w:val="clear" w:color="auto" w:fill="FFFFFF"/>
                  <w:vAlign w:val="center"/>
                </w:tcPr>
                <w:p w14:paraId="6D671921">
                  <w:pPr>
                    <w:widowControl/>
                    <w:contextualSpacing/>
                    <w:jc w:val="center"/>
                    <w:rPr>
                      <w:bCs/>
                      <w:color w:val="auto"/>
                      <w:sz w:val="18"/>
                      <w:szCs w:val="18"/>
                      <w14:ligatures w14:val="standardContextual"/>
                    </w:rPr>
                  </w:pPr>
                </w:p>
              </w:tc>
              <w:tc>
                <w:tcPr>
                  <w:tcW w:w="433" w:type="pct"/>
                  <w:shd w:val="clear" w:color="auto" w:fill="FFFFFF"/>
                  <w:vAlign w:val="center"/>
                </w:tcPr>
                <w:p w14:paraId="273C028C">
                  <w:pPr>
                    <w:widowControl/>
                    <w:contextualSpacing/>
                    <w:jc w:val="center"/>
                    <w:rPr>
                      <w:bCs/>
                      <w:color w:val="auto"/>
                      <w:sz w:val="18"/>
                      <w:szCs w:val="18"/>
                      <w14:ligatures w14:val="standardContextual"/>
                    </w:rPr>
                  </w:pPr>
                </w:p>
              </w:tc>
              <w:tc>
                <w:tcPr>
                  <w:tcW w:w="1483" w:type="pct"/>
                  <w:shd w:val="clear" w:color="auto" w:fill="FFFFFF"/>
                  <w:vAlign w:val="center"/>
                </w:tcPr>
                <w:p w14:paraId="443A7C91">
                  <w:pPr>
                    <w:widowControl/>
                    <w:contextualSpacing/>
                    <w:jc w:val="center"/>
                    <w:rPr>
                      <w:bCs/>
                      <w:color w:val="auto"/>
                      <w:sz w:val="18"/>
                      <w:szCs w:val="18"/>
                      <w14:ligatures w14:val="standardContextual"/>
                    </w:rPr>
                  </w:pPr>
                </w:p>
              </w:tc>
              <w:tc>
                <w:tcPr>
                  <w:tcW w:w="1112" w:type="pct"/>
                  <w:tcBorders>
                    <w:right w:val="nil"/>
                  </w:tcBorders>
                  <w:shd w:val="clear" w:color="auto" w:fill="FFFFFF"/>
                  <w:vAlign w:val="center"/>
                </w:tcPr>
                <w:p w14:paraId="0B68836B">
                  <w:pPr>
                    <w:widowControl/>
                    <w:contextualSpacing/>
                    <w:jc w:val="center"/>
                    <w:rPr>
                      <w:bCs/>
                      <w:color w:val="auto"/>
                      <w:sz w:val="18"/>
                      <w:szCs w:val="18"/>
                      <w14:ligatures w14:val="standardContextual"/>
                    </w:rPr>
                  </w:pPr>
                </w:p>
              </w:tc>
              <w:tc>
                <w:tcPr>
                  <w:tcW w:w="1733" w:type="pct"/>
                  <w:tcBorders>
                    <w:right w:val="nil"/>
                  </w:tcBorders>
                  <w:shd w:val="clear" w:color="auto" w:fill="FFFFFF"/>
                  <w:vAlign w:val="center"/>
                </w:tcPr>
                <w:p w14:paraId="5B25A4E0">
                  <w:pPr>
                    <w:widowControl/>
                    <w:contextualSpacing/>
                    <w:jc w:val="center"/>
                    <w:rPr>
                      <w:bCs/>
                      <w:color w:val="auto"/>
                      <w:sz w:val="18"/>
                      <w:szCs w:val="18"/>
                      <w14:ligatures w14:val="standardContextual"/>
                    </w:rPr>
                  </w:pPr>
                </w:p>
              </w:tc>
            </w:tr>
            <w:tr w14:paraId="6099FF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236" w:type="pct"/>
                  <w:vMerge w:val="continue"/>
                  <w:tcBorders>
                    <w:left w:val="nil"/>
                  </w:tcBorders>
                  <w:shd w:val="clear" w:color="auto" w:fill="FFFFFF"/>
                  <w:vAlign w:val="center"/>
                </w:tcPr>
                <w:p w14:paraId="17613C8A">
                  <w:pPr>
                    <w:widowControl/>
                    <w:contextualSpacing/>
                    <w:jc w:val="center"/>
                    <w:rPr>
                      <w:bCs/>
                      <w:color w:val="auto"/>
                      <w:sz w:val="18"/>
                      <w:szCs w:val="18"/>
                      <w14:ligatures w14:val="standardContextual"/>
                    </w:rPr>
                  </w:pPr>
                </w:p>
              </w:tc>
              <w:tc>
                <w:tcPr>
                  <w:tcW w:w="433" w:type="pct"/>
                  <w:shd w:val="clear" w:color="auto" w:fill="FFFFFF"/>
                  <w:vAlign w:val="center"/>
                </w:tcPr>
                <w:p w14:paraId="085C455D">
                  <w:pPr>
                    <w:widowControl/>
                    <w:contextualSpacing/>
                    <w:jc w:val="center"/>
                    <w:rPr>
                      <w:bCs/>
                      <w:color w:val="auto"/>
                      <w:sz w:val="18"/>
                      <w:szCs w:val="18"/>
                      <w14:ligatures w14:val="standardContextual"/>
                    </w:rPr>
                  </w:pPr>
                </w:p>
              </w:tc>
              <w:tc>
                <w:tcPr>
                  <w:tcW w:w="1483" w:type="pct"/>
                  <w:shd w:val="clear" w:color="auto" w:fill="FFFFFF"/>
                  <w:vAlign w:val="center"/>
                </w:tcPr>
                <w:p w14:paraId="56DDC259">
                  <w:pPr>
                    <w:widowControl/>
                    <w:contextualSpacing/>
                    <w:jc w:val="center"/>
                    <w:rPr>
                      <w:bCs/>
                      <w:color w:val="auto"/>
                      <w:sz w:val="18"/>
                      <w:szCs w:val="18"/>
                      <w14:ligatures w14:val="standardContextual"/>
                    </w:rPr>
                  </w:pPr>
                </w:p>
              </w:tc>
              <w:tc>
                <w:tcPr>
                  <w:tcW w:w="1112" w:type="pct"/>
                  <w:tcBorders>
                    <w:right w:val="nil"/>
                  </w:tcBorders>
                  <w:shd w:val="clear" w:color="auto" w:fill="FFFFFF"/>
                  <w:vAlign w:val="center"/>
                </w:tcPr>
                <w:p w14:paraId="1475A7B4">
                  <w:pPr>
                    <w:widowControl/>
                    <w:contextualSpacing/>
                    <w:jc w:val="center"/>
                    <w:rPr>
                      <w:bCs/>
                      <w:color w:val="auto"/>
                      <w:sz w:val="18"/>
                      <w:szCs w:val="18"/>
                      <w14:ligatures w14:val="standardContextual"/>
                    </w:rPr>
                  </w:pPr>
                </w:p>
              </w:tc>
              <w:tc>
                <w:tcPr>
                  <w:tcW w:w="1733" w:type="pct"/>
                  <w:tcBorders>
                    <w:right w:val="nil"/>
                  </w:tcBorders>
                  <w:shd w:val="clear" w:color="auto" w:fill="FFFFFF"/>
                  <w:vAlign w:val="center"/>
                </w:tcPr>
                <w:p w14:paraId="00AF4FEE">
                  <w:pPr>
                    <w:widowControl/>
                    <w:contextualSpacing/>
                    <w:jc w:val="center"/>
                    <w:rPr>
                      <w:bCs/>
                      <w:color w:val="auto"/>
                      <w:sz w:val="18"/>
                      <w:szCs w:val="18"/>
                      <w14:ligatures w14:val="standardContextual"/>
                    </w:rPr>
                  </w:pPr>
                </w:p>
              </w:tc>
            </w:tr>
            <w:tr w14:paraId="3EC27D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236" w:type="pct"/>
                  <w:vMerge w:val="continue"/>
                  <w:tcBorders>
                    <w:left w:val="nil"/>
                  </w:tcBorders>
                  <w:shd w:val="clear" w:color="auto" w:fill="FFFFFF"/>
                  <w:vAlign w:val="center"/>
                </w:tcPr>
                <w:p w14:paraId="582E4B40">
                  <w:pPr>
                    <w:widowControl/>
                    <w:contextualSpacing/>
                    <w:jc w:val="center"/>
                    <w:rPr>
                      <w:bCs/>
                      <w:color w:val="auto"/>
                      <w:sz w:val="18"/>
                      <w:szCs w:val="18"/>
                      <w14:ligatures w14:val="standardContextual"/>
                    </w:rPr>
                  </w:pPr>
                </w:p>
              </w:tc>
              <w:tc>
                <w:tcPr>
                  <w:tcW w:w="433" w:type="pct"/>
                  <w:shd w:val="clear" w:color="auto" w:fill="FFFFFF"/>
                  <w:vAlign w:val="center"/>
                </w:tcPr>
                <w:p w14:paraId="1C5B6EFA">
                  <w:pPr>
                    <w:widowControl/>
                    <w:contextualSpacing/>
                    <w:jc w:val="center"/>
                    <w:rPr>
                      <w:bCs/>
                      <w:color w:val="auto"/>
                      <w:sz w:val="18"/>
                      <w:szCs w:val="18"/>
                      <w14:ligatures w14:val="standardContextual"/>
                    </w:rPr>
                  </w:pPr>
                </w:p>
              </w:tc>
              <w:tc>
                <w:tcPr>
                  <w:tcW w:w="1483" w:type="pct"/>
                  <w:shd w:val="clear" w:color="auto" w:fill="FFFFFF"/>
                  <w:vAlign w:val="center"/>
                </w:tcPr>
                <w:p w14:paraId="4C21BC6D">
                  <w:pPr>
                    <w:widowControl/>
                    <w:contextualSpacing/>
                    <w:jc w:val="center"/>
                    <w:rPr>
                      <w:bCs/>
                      <w:color w:val="auto"/>
                      <w:sz w:val="18"/>
                      <w:szCs w:val="18"/>
                      <w14:ligatures w14:val="standardContextual"/>
                    </w:rPr>
                  </w:pPr>
                </w:p>
              </w:tc>
              <w:tc>
                <w:tcPr>
                  <w:tcW w:w="1112" w:type="pct"/>
                  <w:tcBorders>
                    <w:right w:val="nil"/>
                  </w:tcBorders>
                  <w:shd w:val="clear" w:color="auto" w:fill="FFFFFF"/>
                  <w:vAlign w:val="center"/>
                </w:tcPr>
                <w:p w14:paraId="068A7731">
                  <w:pPr>
                    <w:widowControl/>
                    <w:contextualSpacing/>
                    <w:jc w:val="center"/>
                    <w:rPr>
                      <w:bCs/>
                      <w:color w:val="auto"/>
                      <w:sz w:val="18"/>
                      <w:szCs w:val="18"/>
                      <w14:ligatures w14:val="standardContextual"/>
                    </w:rPr>
                  </w:pPr>
                </w:p>
              </w:tc>
              <w:tc>
                <w:tcPr>
                  <w:tcW w:w="1733" w:type="pct"/>
                  <w:tcBorders>
                    <w:right w:val="nil"/>
                  </w:tcBorders>
                  <w:shd w:val="clear" w:color="auto" w:fill="FFFFFF"/>
                  <w:vAlign w:val="center"/>
                </w:tcPr>
                <w:p w14:paraId="0B7DAD66">
                  <w:pPr>
                    <w:widowControl/>
                    <w:contextualSpacing/>
                    <w:jc w:val="center"/>
                    <w:rPr>
                      <w:bCs/>
                      <w:color w:val="auto"/>
                      <w:sz w:val="18"/>
                      <w:szCs w:val="18"/>
                      <w14:ligatures w14:val="standardContextual"/>
                    </w:rPr>
                  </w:pPr>
                </w:p>
              </w:tc>
            </w:tr>
            <w:tr w14:paraId="631302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236" w:type="pct"/>
                  <w:vMerge w:val="continue"/>
                  <w:tcBorders>
                    <w:left w:val="nil"/>
                  </w:tcBorders>
                  <w:shd w:val="clear" w:color="auto" w:fill="FFFFFF"/>
                  <w:vAlign w:val="center"/>
                </w:tcPr>
                <w:p w14:paraId="4682A0DD">
                  <w:pPr>
                    <w:widowControl/>
                    <w:contextualSpacing/>
                    <w:jc w:val="center"/>
                    <w:rPr>
                      <w:bCs/>
                      <w:color w:val="auto"/>
                      <w:sz w:val="18"/>
                      <w:szCs w:val="18"/>
                      <w14:ligatures w14:val="standardContextual"/>
                    </w:rPr>
                  </w:pPr>
                </w:p>
              </w:tc>
              <w:tc>
                <w:tcPr>
                  <w:tcW w:w="433" w:type="pct"/>
                  <w:shd w:val="clear" w:color="auto" w:fill="FFFFFF"/>
                  <w:vAlign w:val="center"/>
                </w:tcPr>
                <w:p w14:paraId="4CA038E8">
                  <w:pPr>
                    <w:widowControl/>
                    <w:contextualSpacing/>
                    <w:jc w:val="center"/>
                    <w:rPr>
                      <w:bCs/>
                      <w:color w:val="auto"/>
                      <w:sz w:val="18"/>
                      <w:szCs w:val="18"/>
                      <w14:ligatures w14:val="standardContextual"/>
                    </w:rPr>
                  </w:pPr>
                </w:p>
              </w:tc>
              <w:tc>
                <w:tcPr>
                  <w:tcW w:w="1483" w:type="pct"/>
                  <w:shd w:val="clear" w:color="auto" w:fill="FFFFFF"/>
                  <w:vAlign w:val="center"/>
                </w:tcPr>
                <w:p w14:paraId="39B3FC0A">
                  <w:pPr>
                    <w:widowControl/>
                    <w:contextualSpacing/>
                    <w:jc w:val="center"/>
                    <w:rPr>
                      <w:bCs/>
                      <w:color w:val="auto"/>
                      <w:sz w:val="18"/>
                      <w:szCs w:val="18"/>
                      <w14:ligatures w14:val="standardContextual"/>
                    </w:rPr>
                  </w:pPr>
                </w:p>
              </w:tc>
              <w:tc>
                <w:tcPr>
                  <w:tcW w:w="1112" w:type="pct"/>
                  <w:tcBorders>
                    <w:right w:val="nil"/>
                  </w:tcBorders>
                  <w:shd w:val="clear" w:color="auto" w:fill="FFFFFF"/>
                  <w:vAlign w:val="center"/>
                </w:tcPr>
                <w:p w14:paraId="48D8EAB7">
                  <w:pPr>
                    <w:widowControl/>
                    <w:contextualSpacing/>
                    <w:jc w:val="center"/>
                    <w:rPr>
                      <w:bCs/>
                      <w:color w:val="auto"/>
                      <w:sz w:val="18"/>
                      <w:szCs w:val="18"/>
                      <w14:ligatures w14:val="standardContextual"/>
                    </w:rPr>
                  </w:pPr>
                </w:p>
              </w:tc>
              <w:tc>
                <w:tcPr>
                  <w:tcW w:w="1733" w:type="pct"/>
                  <w:tcBorders>
                    <w:right w:val="nil"/>
                  </w:tcBorders>
                  <w:shd w:val="clear" w:color="auto" w:fill="FFFFFF"/>
                  <w:vAlign w:val="center"/>
                </w:tcPr>
                <w:p w14:paraId="44B15B93">
                  <w:pPr>
                    <w:widowControl/>
                    <w:contextualSpacing/>
                    <w:jc w:val="center"/>
                    <w:rPr>
                      <w:bCs/>
                      <w:color w:val="auto"/>
                      <w:sz w:val="18"/>
                      <w:szCs w:val="18"/>
                      <w14:ligatures w14:val="standardContextual"/>
                    </w:rPr>
                  </w:pPr>
                </w:p>
              </w:tc>
            </w:tr>
            <w:tr w14:paraId="491BBD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cantSplit/>
                <w:trHeight w:val="20" w:hRule="atLeast"/>
                <w:jc w:val="center"/>
              </w:trPr>
              <w:tc>
                <w:tcPr>
                  <w:tcW w:w="236" w:type="pct"/>
                  <w:vMerge w:val="restart"/>
                  <w:tcBorders>
                    <w:left w:val="nil"/>
                  </w:tcBorders>
                  <w:shd w:val="clear" w:color="auto" w:fill="FFFFFF"/>
                  <w:vAlign w:val="center"/>
                </w:tcPr>
                <w:p w14:paraId="6B492D28">
                  <w:pPr>
                    <w:widowControl/>
                    <w:contextualSpacing/>
                    <w:jc w:val="center"/>
                    <w:rPr>
                      <w:bCs/>
                      <w:color w:val="auto"/>
                      <w:sz w:val="18"/>
                      <w:szCs w:val="18"/>
                      <w14:ligatures w14:val="standardContextual"/>
                    </w:rPr>
                  </w:pPr>
                </w:p>
              </w:tc>
              <w:tc>
                <w:tcPr>
                  <w:tcW w:w="433" w:type="pct"/>
                  <w:shd w:val="clear" w:color="auto" w:fill="FFFFFF"/>
                  <w:vAlign w:val="center"/>
                </w:tcPr>
                <w:p w14:paraId="7156394F">
                  <w:pPr>
                    <w:widowControl/>
                    <w:contextualSpacing/>
                    <w:jc w:val="center"/>
                    <w:rPr>
                      <w:bCs/>
                      <w:color w:val="auto"/>
                      <w:sz w:val="18"/>
                      <w:szCs w:val="18"/>
                      <w14:ligatures w14:val="standardContextual"/>
                    </w:rPr>
                  </w:pPr>
                </w:p>
              </w:tc>
              <w:tc>
                <w:tcPr>
                  <w:tcW w:w="1483" w:type="pct"/>
                  <w:shd w:val="clear" w:color="auto" w:fill="FFFFFF"/>
                  <w:vAlign w:val="center"/>
                </w:tcPr>
                <w:p w14:paraId="13E18D8E">
                  <w:pPr>
                    <w:widowControl/>
                    <w:contextualSpacing/>
                    <w:jc w:val="center"/>
                    <w:rPr>
                      <w:bCs/>
                      <w:color w:val="auto"/>
                      <w:sz w:val="18"/>
                      <w:szCs w:val="18"/>
                      <w14:ligatures w14:val="standardContextual"/>
                    </w:rPr>
                  </w:pPr>
                </w:p>
              </w:tc>
              <w:tc>
                <w:tcPr>
                  <w:tcW w:w="1112" w:type="pct"/>
                  <w:tcBorders>
                    <w:right w:val="nil"/>
                  </w:tcBorders>
                  <w:shd w:val="clear" w:color="auto" w:fill="FFFFFF"/>
                  <w:vAlign w:val="center"/>
                </w:tcPr>
                <w:p w14:paraId="4F002BD2">
                  <w:pPr>
                    <w:widowControl/>
                    <w:contextualSpacing/>
                    <w:jc w:val="center"/>
                    <w:rPr>
                      <w:bCs/>
                      <w:color w:val="auto"/>
                      <w:sz w:val="18"/>
                      <w:szCs w:val="18"/>
                      <w14:ligatures w14:val="standardContextual"/>
                    </w:rPr>
                  </w:pPr>
                </w:p>
              </w:tc>
              <w:tc>
                <w:tcPr>
                  <w:tcW w:w="1733" w:type="pct"/>
                  <w:tcBorders>
                    <w:right w:val="nil"/>
                  </w:tcBorders>
                  <w:shd w:val="clear" w:color="auto" w:fill="FFFFFF"/>
                  <w:vAlign w:val="center"/>
                </w:tcPr>
                <w:p w14:paraId="549DE9B6">
                  <w:pPr>
                    <w:widowControl/>
                    <w:contextualSpacing/>
                    <w:jc w:val="center"/>
                    <w:rPr>
                      <w:bCs/>
                      <w:color w:val="auto"/>
                      <w:sz w:val="18"/>
                      <w:szCs w:val="18"/>
                      <w14:ligatures w14:val="standardContextual"/>
                    </w:rPr>
                  </w:pPr>
                </w:p>
              </w:tc>
            </w:tr>
            <w:tr w14:paraId="439351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236" w:type="pct"/>
                  <w:vMerge w:val="continue"/>
                  <w:tcBorders>
                    <w:left w:val="nil"/>
                  </w:tcBorders>
                  <w:shd w:val="clear" w:color="auto" w:fill="FFFFFF"/>
                  <w:vAlign w:val="center"/>
                </w:tcPr>
                <w:p w14:paraId="4840499C">
                  <w:pPr>
                    <w:widowControl/>
                    <w:contextualSpacing/>
                    <w:jc w:val="center"/>
                    <w:rPr>
                      <w:bCs/>
                      <w:color w:val="auto"/>
                      <w:sz w:val="18"/>
                      <w:szCs w:val="18"/>
                      <w14:ligatures w14:val="standardContextual"/>
                    </w:rPr>
                  </w:pPr>
                </w:p>
              </w:tc>
              <w:tc>
                <w:tcPr>
                  <w:tcW w:w="433" w:type="pct"/>
                  <w:shd w:val="clear" w:color="auto" w:fill="FFFFFF"/>
                  <w:vAlign w:val="center"/>
                </w:tcPr>
                <w:p w14:paraId="6554B52B">
                  <w:pPr>
                    <w:widowControl/>
                    <w:contextualSpacing/>
                    <w:jc w:val="center"/>
                    <w:rPr>
                      <w:bCs/>
                      <w:color w:val="auto"/>
                      <w:sz w:val="18"/>
                      <w:szCs w:val="18"/>
                      <w14:ligatures w14:val="standardContextual"/>
                    </w:rPr>
                  </w:pPr>
                </w:p>
              </w:tc>
              <w:tc>
                <w:tcPr>
                  <w:tcW w:w="1483" w:type="pct"/>
                  <w:shd w:val="clear" w:color="auto" w:fill="FFFFFF"/>
                  <w:vAlign w:val="center"/>
                </w:tcPr>
                <w:p w14:paraId="3EA8ADF4">
                  <w:pPr>
                    <w:widowControl/>
                    <w:numPr>
                      <w:ilvl w:val="0"/>
                      <w:numId w:val="4"/>
                    </w:numPr>
                    <w:contextualSpacing/>
                    <w:jc w:val="center"/>
                    <w:rPr>
                      <w:bCs/>
                      <w:color w:val="auto"/>
                      <w:sz w:val="18"/>
                      <w:szCs w:val="18"/>
                      <w14:ligatures w14:val="standardContextual"/>
                    </w:rPr>
                  </w:pPr>
                </w:p>
              </w:tc>
              <w:tc>
                <w:tcPr>
                  <w:tcW w:w="1112" w:type="pct"/>
                  <w:tcBorders>
                    <w:right w:val="nil"/>
                  </w:tcBorders>
                  <w:shd w:val="clear" w:color="auto" w:fill="FFFFFF"/>
                  <w:vAlign w:val="center"/>
                </w:tcPr>
                <w:p w14:paraId="1A5096F1">
                  <w:pPr>
                    <w:widowControl/>
                    <w:numPr>
                      <w:ilvl w:val="0"/>
                      <w:numId w:val="5"/>
                    </w:numPr>
                    <w:contextualSpacing/>
                    <w:jc w:val="center"/>
                    <w:rPr>
                      <w:bCs/>
                      <w:color w:val="auto"/>
                      <w:sz w:val="18"/>
                      <w:szCs w:val="18"/>
                      <w14:ligatures w14:val="standardContextual"/>
                    </w:rPr>
                  </w:pPr>
                </w:p>
              </w:tc>
              <w:tc>
                <w:tcPr>
                  <w:tcW w:w="1733" w:type="pct"/>
                  <w:tcBorders>
                    <w:right w:val="nil"/>
                  </w:tcBorders>
                  <w:shd w:val="clear" w:color="auto" w:fill="FFFFFF"/>
                  <w:vAlign w:val="center"/>
                </w:tcPr>
                <w:p w14:paraId="58020A89">
                  <w:pPr>
                    <w:widowControl/>
                    <w:numPr>
                      <w:ilvl w:val="0"/>
                      <w:numId w:val="6"/>
                    </w:numPr>
                    <w:contextualSpacing/>
                    <w:jc w:val="center"/>
                    <w:rPr>
                      <w:bCs/>
                      <w:color w:val="auto"/>
                      <w:sz w:val="18"/>
                      <w:szCs w:val="18"/>
                      <w14:ligatures w14:val="standardContextual"/>
                    </w:rPr>
                  </w:pPr>
                </w:p>
              </w:tc>
            </w:tr>
            <w:tr w14:paraId="7F2CD2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236" w:type="pct"/>
                  <w:vMerge w:val="continue"/>
                  <w:tcBorders>
                    <w:left w:val="nil"/>
                  </w:tcBorders>
                  <w:shd w:val="clear" w:color="auto" w:fill="FFFFFF"/>
                  <w:vAlign w:val="center"/>
                </w:tcPr>
                <w:p w14:paraId="05B21500">
                  <w:pPr>
                    <w:widowControl/>
                    <w:contextualSpacing/>
                    <w:jc w:val="center"/>
                    <w:rPr>
                      <w:bCs/>
                      <w:color w:val="auto"/>
                      <w:sz w:val="18"/>
                      <w:szCs w:val="18"/>
                      <w14:ligatures w14:val="standardContextual"/>
                    </w:rPr>
                  </w:pPr>
                </w:p>
              </w:tc>
              <w:tc>
                <w:tcPr>
                  <w:tcW w:w="433" w:type="pct"/>
                  <w:shd w:val="clear" w:color="auto" w:fill="FFFFFF"/>
                  <w:vAlign w:val="center"/>
                </w:tcPr>
                <w:p w14:paraId="1BDC53BB">
                  <w:pPr>
                    <w:widowControl/>
                    <w:contextualSpacing/>
                    <w:jc w:val="center"/>
                    <w:rPr>
                      <w:bCs/>
                      <w:color w:val="auto"/>
                      <w:sz w:val="18"/>
                      <w:szCs w:val="18"/>
                      <w14:ligatures w14:val="standardContextual"/>
                    </w:rPr>
                  </w:pPr>
                </w:p>
              </w:tc>
              <w:tc>
                <w:tcPr>
                  <w:tcW w:w="1483" w:type="pct"/>
                  <w:shd w:val="clear" w:color="auto" w:fill="FFFFFF"/>
                  <w:vAlign w:val="center"/>
                </w:tcPr>
                <w:p w14:paraId="6E84DF48">
                  <w:pPr>
                    <w:widowControl/>
                    <w:contextualSpacing/>
                    <w:jc w:val="center"/>
                    <w:rPr>
                      <w:bCs/>
                      <w:color w:val="auto"/>
                      <w:sz w:val="18"/>
                      <w:szCs w:val="18"/>
                      <w14:ligatures w14:val="standardContextual"/>
                    </w:rPr>
                  </w:pPr>
                </w:p>
              </w:tc>
              <w:tc>
                <w:tcPr>
                  <w:tcW w:w="1112" w:type="pct"/>
                  <w:tcBorders>
                    <w:right w:val="nil"/>
                  </w:tcBorders>
                  <w:shd w:val="clear" w:color="auto" w:fill="FFFFFF"/>
                  <w:vAlign w:val="center"/>
                </w:tcPr>
                <w:p w14:paraId="7A76CFC1">
                  <w:pPr>
                    <w:widowControl/>
                    <w:contextualSpacing/>
                    <w:jc w:val="center"/>
                    <w:rPr>
                      <w:bCs/>
                      <w:color w:val="auto"/>
                      <w:sz w:val="18"/>
                      <w:szCs w:val="18"/>
                      <w14:ligatures w14:val="standardContextual"/>
                    </w:rPr>
                  </w:pPr>
                </w:p>
              </w:tc>
              <w:tc>
                <w:tcPr>
                  <w:tcW w:w="1733" w:type="pct"/>
                  <w:tcBorders>
                    <w:right w:val="nil"/>
                  </w:tcBorders>
                  <w:shd w:val="clear" w:color="auto" w:fill="FFFFFF"/>
                  <w:vAlign w:val="center"/>
                </w:tcPr>
                <w:p w14:paraId="3B0D1008">
                  <w:pPr>
                    <w:widowControl/>
                    <w:contextualSpacing/>
                    <w:jc w:val="center"/>
                    <w:rPr>
                      <w:bCs/>
                      <w:color w:val="auto"/>
                      <w:sz w:val="18"/>
                      <w:szCs w:val="18"/>
                      <w14:ligatures w14:val="standardContextual"/>
                    </w:rPr>
                  </w:pPr>
                </w:p>
              </w:tc>
            </w:tr>
            <w:tr w14:paraId="1B52B0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236" w:type="pct"/>
                  <w:vMerge w:val="continue"/>
                  <w:tcBorders>
                    <w:left w:val="nil"/>
                  </w:tcBorders>
                  <w:shd w:val="clear" w:color="auto" w:fill="FFFFFF"/>
                  <w:vAlign w:val="center"/>
                </w:tcPr>
                <w:p w14:paraId="75966EA5">
                  <w:pPr>
                    <w:widowControl/>
                    <w:contextualSpacing/>
                    <w:jc w:val="center"/>
                    <w:rPr>
                      <w:bCs/>
                      <w:color w:val="auto"/>
                      <w:sz w:val="18"/>
                      <w:szCs w:val="18"/>
                      <w14:ligatures w14:val="standardContextual"/>
                    </w:rPr>
                  </w:pPr>
                </w:p>
              </w:tc>
              <w:tc>
                <w:tcPr>
                  <w:tcW w:w="433" w:type="pct"/>
                  <w:shd w:val="clear" w:color="auto" w:fill="FFFFFF"/>
                  <w:vAlign w:val="center"/>
                </w:tcPr>
                <w:p w14:paraId="271FA0DC">
                  <w:pPr>
                    <w:widowControl/>
                    <w:contextualSpacing/>
                    <w:jc w:val="center"/>
                    <w:rPr>
                      <w:bCs/>
                      <w:color w:val="auto"/>
                      <w:sz w:val="18"/>
                      <w:szCs w:val="18"/>
                      <w14:ligatures w14:val="standardContextual"/>
                    </w:rPr>
                  </w:pPr>
                </w:p>
              </w:tc>
              <w:tc>
                <w:tcPr>
                  <w:tcW w:w="1483" w:type="pct"/>
                  <w:shd w:val="clear" w:color="auto" w:fill="FFFFFF"/>
                  <w:vAlign w:val="center"/>
                </w:tcPr>
                <w:p w14:paraId="036AE793">
                  <w:pPr>
                    <w:widowControl/>
                    <w:contextualSpacing/>
                    <w:jc w:val="center"/>
                    <w:rPr>
                      <w:bCs/>
                      <w:color w:val="auto"/>
                      <w:sz w:val="18"/>
                      <w:szCs w:val="18"/>
                      <w14:ligatures w14:val="standardContextual"/>
                    </w:rPr>
                  </w:pPr>
                </w:p>
              </w:tc>
              <w:tc>
                <w:tcPr>
                  <w:tcW w:w="1112" w:type="pct"/>
                  <w:tcBorders>
                    <w:right w:val="nil"/>
                  </w:tcBorders>
                  <w:shd w:val="clear" w:color="auto" w:fill="FFFFFF"/>
                  <w:vAlign w:val="center"/>
                </w:tcPr>
                <w:p w14:paraId="3742A91A">
                  <w:pPr>
                    <w:widowControl/>
                    <w:contextualSpacing/>
                    <w:jc w:val="center"/>
                    <w:rPr>
                      <w:bCs/>
                      <w:color w:val="auto"/>
                      <w:sz w:val="18"/>
                      <w:szCs w:val="18"/>
                      <w14:ligatures w14:val="standardContextual"/>
                    </w:rPr>
                  </w:pPr>
                </w:p>
              </w:tc>
              <w:tc>
                <w:tcPr>
                  <w:tcW w:w="1733" w:type="pct"/>
                  <w:tcBorders>
                    <w:right w:val="nil"/>
                  </w:tcBorders>
                  <w:shd w:val="clear" w:color="auto" w:fill="FFFFFF"/>
                  <w:vAlign w:val="center"/>
                </w:tcPr>
                <w:p w14:paraId="135E14DA">
                  <w:pPr>
                    <w:widowControl/>
                    <w:contextualSpacing/>
                    <w:jc w:val="center"/>
                    <w:rPr>
                      <w:bCs/>
                      <w:color w:val="auto"/>
                      <w:sz w:val="18"/>
                      <w:szCs w:val="18"/>
                      <w14:ligatures w14:val="standardContextual"/>
                    </w:rPr>
                  </w:pPr>
                </w:p>
              </w:tc>
            </w:tr>
            <w:tr w14:paraId="5B04FD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236" w:type="pct"/>
                  <w:vMerge w:val="continue"/>
                  <w:tcBorders>
                    <w:left w:val="nil"/>
                  </w:tcBorders>
                  <w:shd w:val="clear" w:color="auto" w:fill="FFFFFF"/>
                  <w:vAlign w:val="center"/>
                </w:tcPr>
                <w:p w14:paraId="4E56B9B7">
                  <w:pPr>
                    <w:widowControl/>
                    <w:contextualSpacing/>
                    <w:jc w:val="center"/>
                    <w:rPr>
                      <w:bCs/>
                      <w:color w:val="auto"/>
                      <w:sz w:val="18"/>
                      <w:szCs w:val="18"/>
                      <w14:ligatures w14:val="standardContextual"/>
                    </w:rPr>
                  </w:pPr>
                </w:p>
              </w:tc>
              <w:tc>
                <w:tcPr>
                  <w:tcW w:w="433" w:type="pct"/>
                  <w:shd w:val="clear" w:color="auto" w:fill="FFFFFF"/>
                  <w:vAlign w:val="center"/>
                </w:tcPr>
                <w:p w14:paraId="701F6F41">
                  <w:pPr>
                    <w:widowControl/>
                    <w:contextualSpacing/>
                    <w:jc w:val="center"/>
                    <w:rPr>
                      <w:bCs/>
                      <w:color w:val="auto"/>
                      <w:sz w:val="18"/>
                      <w:szCs w:val="18"/>
                      <w14:ligatures w14:val="standardContextual"/>
                    </w:rPr>
                  </w:pPr>
                </w:p>
              </w:tc>
              <w:tc>
                <w:tcPr>
                  <w:tcW w:w="1483" w:type="pct"/>
                  <w:shd w:val="clear" w:color="auto" w:fill="FFFFFF"/>
                  <w:vAlign w:val="center"/>
                </w:tcPr>
                <w:p w14:paraId="00FBFF49">
                  <w:pPr>
                    <w:widowControl/>
                    <w:contextualSpacing/>
                    <w:jc w:val="center"/>
                    <w:rPr>
                      <w:bCs/>
                      <w:color w:val="auto"/>
                      <w:sz w:val="18"/>
                      <w:szCs w:val="18"/>
                      <w14:ligatures w14:val="standardContextual"/>
                    </w:rPr>
                  </w:pPr>
                </w:p>
              </w:tc>
              <w:tc>
                <w:tcPr>
                  <w:tcW w:w="1112" w:type="pct"/>
                  <w:tcBorders>
                    <w:right w:val="nil"/>
                  </w:tcBorders>
                  <w:shd w:val="clear" w:color="auto" w:fill="FFFFFF"/>
                  <w:vAlign w:val="center"/>
                </w:tcPr>
                <w:p w14:paraId="5E7D51EF">
                  <w:pPr>
                    <w:widowControl/>
                    <w:contextualSpacing/>
                    <w:jc w:val="center"/>
                    <w:rPr>
                      <w:bCs/>
                      <w:color w:val="auto"/>
                      <w:sz w:val="18"/>
                      <w:szCs w:val="18"/>
                      <w14:ligatures w14:val="standardContextual"/>
                    </w:rPr>
                  </w:pPr>
                </w:p>
              </w:tc>
              <w:tc>
                <w:tcPr>
                  <w:tcW w:w="1733" w:type="pct"/>
                  <w:tcBorders>
                    <w:right w:val="nil"/>
                  </w:tcBorders>
                  <w:shd w:val="clear" w:color="auto" w:fill="FFFFFF"/>
                  <w:vAlign w:val="center"/>
                </w:tcPr>
                <w:p w14:paraId="08BD236F">
                  <w:pPr>
                    <w:widowControl/>
                    <w:contextualSpacing/>
                    <w:jc w:val="center"/>
                    <w:rPr>
                      <w:bCs/>
                      <w:color w:val="auto"/>
                      <w:sz w:val="18"/>
                      <w:szCs w:val="18"/>
                      <w14:ligatures w14:val="standardContextual"/>
                    </w:rPr>
                  </w:pPr>
                </w:p>
              </w:tc>
            </w:tr>
          </w:tbl>
          <w:p w14:paraId="32A1C725">
            <w:pPr>
              <w:adjustRightInd w:val="0"/>
              <w:snapToGrid w:val="0"/>
              <w:spacing w:line="500" w:lineRule="exact"/>
              <w:rPr>
                <w:b/>
                <w:color w:val="auto"/>
                <w:szCs w:val="21"/>
              </w:rPr>
            </w:pPr>
          </w:p>
        </w:tc>
      </w:tr>
    </w:tbl>
    <w:p w14:paraId="51D9491B">
      <w:pPr>
        <w:pStyle w:val="18"/>
        <w:rPr>
          <w:color w:val="auto"/>
        </w:rPr>
        <w:sectPr>
          <w:type w:val="nextColumn"/>
          <w:pgSz w:w="11906" w:h="16838"/>
          <w:pgMar w:top="1418" w:right="1418" w:bottom="1418" w:left="1418" w:header="851" w:footer="851" w:gutter="0"/>
          <w:cols w:space="720" w:num="1"/>
          <w:docGrid w:linePitch="312" w:charSpace="0"/>
        </w:sectPr>
      </w:pPr>
    </w:p>
    <w:tbl>
      <w:tblPr>
        <w:tblStyle w:val="21"/>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08"/>
        <w:gridCol w:w="8642"/>
      </w:tblGrid>
      <w:tr w14:paraId="4D046C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19" w:hRule="atLeast"/>
          <w:jc w:val="center"/>
        </w:trPr>
        <w:tc>
          <w:tcPr>
            <w:tcW w:w="436" w:type="dxa"/>
            <w:vAlign w:val="center"/>
          </w:tcPr>
          <w:p w14:paraId="1795562E">
            <w:pPr>
              <w:pStyle w:val="18"/>
              <w:rPr>
                <w:color w:val="auto"/>
              </w:rPr>
            </w:pPr>
            <w:r>
              <w:rPr>
                <w:color w:val="auto"/>
                <w:sz w:val="21"/>
                <w:szCs w:val="16"/>
              </w:rPr>
              <w:t>与项目有关的原有环境污染问题</w:t>
            </w:r>
          </w:p>
        </w:tc>
        <w:tc>
          <w:tcPr>
            <w:tcW w:w="8624" w:type="dxa"/>
          </w:tcPr>
          <w:p w14:paraId="5717CF11">
            <w:pPr>
              <w:adjustRightInd w:val="0"/>
              <w:snapToGrid w:val="0"/>
              <w:spacing w:line="500" w:lineRule="exact"/>
              <w:ind w:firstLine="422" w:firstLineChars="200"/>
              <w:rPr>
                <w:b/>
                <w:color w:val="auto"/>
                <w:szCs w:val="21"/>
              </w:rPr>
            </w:pPr>
            <w:r>
              <w:rPr>
                <w:b/>
                <w:color w:val="auto"/>
                <w:szCs w:val="21"/>
              </w:rPr>
              <w:t>5.</w:t>
            </w:r>
            <w:r>
              <w:rPr>
                <w:rFonts w:hint="eastAsia"/>
                <w:b/>
                <w:color w:val="auto"/>
                <w:szCs w:val="21"/>
              </w:rPr>
              <w:t>现有实验室情况</w:t>
            </w:r>
          </w:p>
          <w:p w14:paraId="7A016948">
            <w:pPr>
              <w:adjustRightInd w:val="0"/>
              <w:snapToGrid w:val="0"/>
              <w:spacing w:line="500" w:lineRule="exact"/>
              <w:ind w:firstLine="420" w:firstLineChars="200"/>
              <w:rPr>
                <w:color w:val="auto"/>
                <w:szCs w:val="21"/>
              </w:rPr>
            </w:pPr>
            <w:r>
              <w:rPr>
                <w:rFonts w:hint="eastAsia"/>
                <w:color w:val="auto"/>
                <w:szCs w:val="21"/>
              </w:rPr>
              <w:t>现有实验室位于中控品管楼，主要对中间过程物料及最终产品进行质量检测、样品分析。本项目建成后现有实验室将不再使用。</w:t>
            </w:r>
          </w:p>
          <w:p w14:paraId="5DFD642C">
            <w:pPr>
              <w:adjustRightInd w:val="0"/>
              <w:snapToGrid w:val="0"/>
              <w:spacing w:line="500" w:lineRule="exact"/>
              <w:ind w:firstLine="420" w:firstLineChars="200"/>
              <w:rPr>
                <w:color w:val="auto"/>
                <w:szCs w:val="21"/>
              </w:rPr>
            </w:pPr>
            <w:r>
              <w:rPr>
                <w:rFonts w:hint="eastAsia"/>
                <w:color w:val="auto"/>
                <w:szCs w:val="21"/>
              </w:rPr>
              <w:t>现有实验室配置有千级洁净区的空气净化装置，因废气产生量很小，经空气净化装置后排放量更小，直接排放，排放量忽略不计未进行核算。</w:t>
            </w:r>
          </w:p>
          <w:p w14:paraId="50F94D58">
            <w:pPr>
              <w:adjustRightInd w:val="0"/>
              <w:snapToGrid w:val="0"/>
              <w:spacing w:line="500" w:lineRule="exact"/>
              <w:ind w:firstLine="420" w:firstLineChars="200"/>
              <w:rPr>
                <w:color w:val="auto"/>
                <w:szCs w:val="21"/>
              </w:rPr>
            </w:pPr>
            <w:r>
              <w:rPr>
                <w:rFonts w:hint="eastAsia"/>
                <w:color w:val="auto"/>
                <w:szCs w:val="21"/>
              </w:rPr>
              <w:t>现有实验室废水（约1768.9t/a）经厂内污水处理站处理后，通过生产污水排口DW001接管至连云港石化基地工业废水综合治理中心（责任主体为江苏方洋水务有限公司）常规线污水处理区，处理后送至连云港石化基地工业废水综合治理中心再生水处理区（一期）污水再生水处理线处理后70%回用，剩余30%浓水进入连云港石化基地工业废水综合治理中心RO浓水处理区（一期）污水RO浓水处理线处理满足要求后，通过徐圩新区达标尾水排海工程深海排放。</w:t>
            </w:r>
          </w:p>
          <w:p w14:paraId="25FAF355">
            <w:pPr>
              <w:adjustRightInd w:val="0"/>
              <w:snapToGrid w:val="0"/>
              <w:spacing w:line="500" w:lineRule="exact"/>
              <w:ind w:firstLine="420" w:firstLineChars="200"/>
              <w:rPr>
                <w:color w:val="auto"/>
                <w:szCs w:val="21"/>
              </w:rPr>
            </w:pPr>
            <w:r>
              <w:rPr>
                <w:rFonts w:hint="eastAsia"/>
                <w:color w:val="auto"/>
                <w:szCs w:val="21"/>
              </w:rPr>
              <w:t>现有实验室固废主要为废试剂瓶（0.03t/a）依托厂区现有危废仓库暂存后，委托有资质单位进行处理。</w:t>
            </w:r>
          </w:p>
          <w:p w14:paraId="4BE1B6E4">
            <w:pPr>
              <w:adjustRightInd w:val="0"/>
              <w:snapToGrid w:val="0"/>
              <w:spacing w:line="500" w:lineRule="exact"/>
              <w:ind w:firstLine="420" w:firstLineChars="200"/>
              <w:rPr>
                <w:color w:val="auto"/>
                <w:szCs w:val="21"/>
              </w:rPr>
            </w:pPr>
            <w:r>
              <w:rPr>
                <w:rFonts w:hint="eastAsia"/>
                <w:color w:val="auto"/>
                <w:szCs w:val="21"/>
              </w:rPr>
              <w:t>现有实验室设备见表2-10。</w:t>
            </w:r>
          </w:p>
          <w:p w14:paraId="5C082DF9">
            <w:pPr>
              <w:snapToGrid w:val="0"/>
              <w:spacing w:line="500" w:lineRule="exact"/>
              <w:jc w:val="center"/>
              <w:rPr>
                <w:b/>
                <w:color w:val="auto"/>
                <w:szCs w:val="21"/>
              </w:rPr>
            </w:pPr>
            <w:r>
              <w:rPr>
                <w:rFonts w:hint="eastAsia"/>
                <w:b/>
                <w:color w:val="auto"/>
                <w:szCs w:val="21"/>
              </w:rPr>
              <w:t>表2</w:t>
            </w:r>
            <w:r>
              <w:rPr>
                <w:b/>
                <w:color w:val="auto"/>
                <w:szCs w:val="21"/>
              </w:rPr>
              <w:t>-1</w:t>
            </w:r>
            <w:r>
              <w:rPr>
                <w:rFonts w:hint="eastAsia"/>
                <w:b/>
                <w:color w:val="auto"/>
                <w:szCs w:val="21"/>
              </w:rPr>
              <w:t>0</w:t>
            </w:r>
            <w:r>
              <w:rPr>
                <w:b/>
                <w:color w:val="auto"/>
                <w:szCs w:val="21"/>
              </w:rPr>
              <w:t xml:space="preserve"> </w:t>
            </w:r>
            <w:r>
              <w:rPr>
                <w:rFonts w:hint="eastAsia"/>
                <w:b/>
                <w:color w:val="auto"/>
                <w:szCs w:val="21"/>
              </w:rPr>
              <w:t>现有实验室主要设备</w:t>
            </w:r>
          </w:p>
          <w:tbl>
            <w:tblPr>
              <w:tblStyle w:val="21"/>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65"/>
              <w:gridCol w:w="3205"/>
              <w:gridCol w:w="2664"/>
              <w:gridCol w:w="1689"/>
            </w:tblGrid>
            <w:tr w14:paraId="13E1ED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13" w:type="pct"/>
                  <w:vAlign w:val="center"/>
                </w:tcPr>
                <w:p w14:paraId="2FC6C2EC">
                  <w:pPr>
                    <w:widowControl/>
                    <w:adjustRightInd w:val="0"/>
                    <w:snapToGrid w:val="0"/>
                    <w:jc w:val="center"/>
                    <w:rPr>
                      <w:b/>
                      <w:color w:val="auto"/>
                      <w:sz w:val="18"/>
                      <w:szCs w:val="18"/>
                    </w:rPr>
                  </w:pPr>
                </w:p>
              </w:tc>
              <w:tc>
                <w:tcPr>
                  <w:tcW w:w="1902" w:type="pct"/>
                  <w:vAlign w:val="center"/>
                </w:tcPr>
                <w:p w14:paraId="0A1E4B50">
                  <w:pPr>
                    <w:widowControl/>
                    <w:adjustRightInd w:val="0"/>
                    <w:snapToGrid w:val="0"/>
                    <w:jc w:val="center"/>
                    <w:rPr>
                      <w:b/>
                      <w:color w:val="auto"/>
                      <w:sz w:val="18"/>
                      <w:szCs w:val="18"/>
                    </w:rPr>
                  </w:pPr>
                </w:p>
              </w:tc>
              <w:tc>
                <w:tcPr>
                  <w:tcW w:w="1581" w:type="pct"/>
                  <w:vAlign w:val="center"/>
                </w:tcPr>
                <w:p w14:paraId="37D5B090">
                  <w:pPr>
                    <w:widowControl/>
                    <w:adjustRightInd w:val="0"/>
                    <w:snapToGrid w:val="0"/>
                    <w:jc w:val="center"/>
                    <w:rPr>
                      <w:b/>
                      <w:color w:val="auto"/>
                      <w:sz w:val="18"/>
                      <w:szCs w:val="18"/>
                    </w:rPr>
                  </w:pPr>
                </w:p>
              </w:tc>
              <w:tc>
                <w:tcPr>
                  <w:tcW w:w="1002" w:type="pct"/>
                  <w:vAlign w:val="center"/>
                </w:tcPr>
                <w:p w14:paraId="2693506F">
                  <w:pPr>
                    <w:widowControl/>
                    <w:adjustRightInd w:val="0"/>
                    <w:snapToGrid w:val="0"/>
                    <w:jc w:val="center"/>
                    <w:rPr>
                      <w:b/>
                      <w:color w:val="auto"/>
                      <w:sz w:val="18"/>
                      <w:szCs w:val="18"/>
                    </w:rPr>
                  </w:pPr>
                </w:p>
              </w:tc>
            </w:tr>
            <w:tr w14:paraId="423DE8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90" w:hRule="atLeast"/>
              </w:trPr>
              <w:tc>
                <w:tcPr>
                  <w:tcW w:w="513" w:type="pct"/>
                  <w:vAlign w:val="center"/>
                </w:tcPr>
                <w:p w14:paraId="678C18AD">
                  <w:pPr>
                    <w:jc w:val="center"/>
                    <w:rPr>
                      <w:bCs/>
                      <w:color w:val="auto"/>
                      <w:sz w:val="18"/>
                      <w:szCs w:val="18"/>
                    </w:rPr>
                  </w:pPr>
                </w:p>
              </w:tc>
              <w:tc>
                <w:tcPr>
                  <w:tcW w:w="1902" w:type="pct"/>
                  <w:vAlign w:val="center"/>
                </w:tcPr>
                <w:p w14:paraId="7B58D926">
                  <w:pPr>
                    <w:jc w:val="center"/>
                    <w:rPr>
                      <w:bCs/>
                      <w:color w:val="auto"/>
                      <w:sz w:val="18"/>
                      <w:szCs w:val="18"/>
                    </w:rPr>
                  </w:pPr>
                </w:p>
              </w:tc>
              <w:tc>
                <w:tcPr>
                  <w:tcW w:w="1581" w:type="pct"/>
                  <w:vAlign w:val="center"/>
                </w:tcPr>
                <w:p w14:paraId="2B713DD1">
                  <w:pPr>
                    <w:jc w:val="center"/>
                    <w:rPr>
                      <w:bCs/>
                      <w:color w:val="auto"/>
                      <w:sz w:val="18"/>
                      <w:szCs w:val="18"/>
                    </w:rPr>
                  </w:pPr>
                </w:p>
              </w:tc>
              <w:tc>
                <w:tcPr>
                  <w:tcW w:w="1002" w:type="pct"/>
                  <w:vAlign w:val="center"/>
                </w:tcPr>
                <w:p w14:paraId="154A9A88">
                  <w:pPr>
                    <w:adjustRightInd w:val="0"/>
                    <w:snapToGrid w:val="0"/>
                    <w:jc w:val="center"/>
                    <w:rPr>
                      <w:color w:val="auto"/>
                      <w:sz w:val="18"/>
                      <w:szCs w:val="18"/>
                    </w:rPr>
                  </w:pPr>
                </w:p>
              </w:tc>
            </w:tr>
            <w:tr w14:paraId="3014FA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40" w:hRule="atLeast"/>
              </w:trPr>
              <w:tc>
                <w:tcPr>
                  <w:tcW w:w="513" w:type="pct"/>
                  <w:vAlign w:val="center"/>
                </w:tcPr>
                <w:p w14:paraId="11802670">
                  <w:pPr>
                    <w:jc w:val="center"/>
                    <w:rPr>
                      <w:bCs/>
                      <w:color w:val="auto"/>
                      <w:sz w:val="18"/>
                      <w:szCs w:val="18"/>
                    </w:rPr>
                  </w:pPr>
                </w:p>
              </w:tc>
              <w:tc>
                <w:tcPr>
                  <w:tcW w:w="1902" w:type="pct"/>
                  <w:shd w:val="clear" w:color="auto" w:fill="auto"/>
                  <w:vAlign w:val="center"/>
                </w:tcPr>
                <w:p w14:paraId="7EA11C1A">
                  <w:pPr>
                    <w:jc w:val="center"/>
                    <w:rPr>
                      <w:bCs/>
                      <w:color w:val="auto"/>
                      <w:sz w:val="18"/>
                      <w:szCs w:val="18"/>
                    </w:rPr>
                  </w:pPr>
                </w:p>
              </w:tc>
              <w:tc>
                <w:tcPr>
                  <w:tcW w:w="1581" w:type="pct"/>
                  <w:shd w:val="clear" w:color="auto" w:fill="auto"/>
                  <w:vAlign w:val="center"/>
                </w:tcPr>
                <w:p w14:paraId="7EE23858">
                  <w:pPr>
                    <w:jc w:val="center"/>
                    <w:rPr>
                      <w:bCs/>
                      <w:color w:val="auto"/>
                      <w:sz w:val="18"/>
                      <w:szCs w:val="18"/>
                    </w:rPr>
                  </w:pPr>
                </w:p>
              </w:tc>
              <w:tc>
                <w:tcPr>
                  <w:tcW w:w="1002" w:type="pct"/>
                  <w:shd w:val="clear" w:color="auto" w:fill="auto"/>
                  <w:vAlign w:val="center"/>
                </w:tcPr>
                <w:p w14:paraId="12656043">
                  <w:pPr>
                    <w:adjustRightInd w:val="0"/>
                    <w:snapToGrid w:val="0"/>
                    <w:jc w:val="center"/>
                    <w:rPr>
                      <w:color w:val="auto"/>
                      <w:sz w:val="18"/>
                      <w:szCs w:val="18"/>
                    </w:rPr>
                  </w:pPr>
                </w:p>
              </w:tc>
            </w:tr>
            <w:tr w14:paraId="74B4B0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66" w:type="dxa"/>
                  <w:vAlign w:val="center"/>
                </w:tcPr>
                <w:p w14:paraId="7D5A897C">
                  <w:pPr>
                    <w:jc w:val="center"/>
                    <w:rPr>
                      <w:bCs/>
                      <w:color w:val="auto"/>
                      <w:sz w:val="18"/>
                      <w:szCs w:val="18"/>
                    </w:rPr>
                  </w:pPr>
                </w:p>
              </w:tc>
              <w:tc>
                <w:tcPr>
                  <w:tcW w:w="1902" w:type="pct"/>
                  <w:shd w:val="clear" w:color="auto" w:fill="auto"/>
                  <w:vAlign w:val="center"/>
                </w:tcPr>
                <w:p w14:paraId="5EEFA760">
                  <w:pPr>
                    <w:jc w:val="center"/>
                    <w:rPr>
                      <w:bCs/>
                      <w:color w:val="auto"/>
                      <w:sz w:val="18"/>
                      <w:szCs w:val="18"/>
                    </w:rPr>
                  </w:pPr>
                </w:p>
              </w:tc>
              <w:tc>
                <w:tcPr>
                  <w:tcW w:w="1581" w:type="pct"/>
                  <w:shd w:val="clear" w:color="auto" w:fill="auto"/>
                  <w:vAlign w:val="center"/>
                </w:tcPr>
                <w:p w14:paraId="309D9E55">
                  <w:pPr>
                    <w:jc w:val="center"/>
                    <w:rPr>
                      <w:bCs/>
                      <w:color w:val="auto"/>
                      <w:sz w:val="18"/>
                      <w:szCs w:val="18"/>
                    </w:rPr>
                  </w:pPr>
                </w:p>
              </w:tc>
              <w:tc>
                <w:tcPr>
                  <w:tcW w:w="1002" w:type="pct"/>
                  <w:shd w:val="clear" w:color="auto" w:fill="auto"/>
                  <w:vAlign w:val="center"/>
                </w:tcPr>
                <w:p w14:paraId="3B2ECABF">
                  <w:pPr>
                    <w:adjustRightInd w:val="0"/>
                    <w:snapToGrid w:val="0"/>
                    <w:jc w:val="center"/>
                    <w:rPr>
                      <w:color w:val="auto"/>
                      <w:sz w:val="18"/>
                      <w:szCs w:val="18"/>
                    </w:rPr>
                  </w:pPr>
                </w:p>
              </w:tc>
            </w:tr>
            <w:tr w14:paraId="12DFE0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66" w:type="dxa"/>
                  <w:vAlign w:val="center"/>
                </w:tcPr>
                <w:p w14:paraId="59ABA7BC">
                  <w:pPr>
                    <w:jc w:val="center"/>
                    <w:rPr>
                      <w:bCs/>
                      <w:color w:val="auto"/>
                      <w:sz w:val="18"/>
                      <w:szCs w:val="18"/>
                    </w:rPr>
                  </w:pPr>
                </w:p>
              </w:tc>
              <w:tc>
                <w:tcPr>
                  <w:tcW w:w="1902" w:type="pct"/>
                  <w:shd w:val="clear" w:color="auto" w:fill="auto"/>
                  <w:vAlign w:val="center"/>
                </w:tcPr>
                <w:p w14:paraId="2D266DF4">
                  <w:pPr>
                    <w:jc w:val="center"/>
                    <w:rPr>
                      <w:bCs/>
                      <w:color w:val="auto"/>
                      <w:sz w:val="18"/>
                      <w:szCs w:val="18"/>
                    </w:rPr>
                  </w:pPr>
                </w:p>
              </w:tc>
              <w:tc>
                <w:tcPr>
                  <w:tcW w:w="1581" w:type="pct"/>
                  <w:shd w:val="clear" w:color="auto" w:fill="auto"/>
                  <w:vAlign w:val="center"/>
                </w:tcPr>
                <w:p w14:paraId="42C3F5FC">
                  <w:pPr>
                    <w:jc w:val="center"/>
                    <w:rPr>
                      <w:bCs/>
                      <w:color w:val="auto"/>
                      <w:sz w:val="18"/>
                      <w:szCs w:val="18"/>
                    </w:rPr>
                  </w:pPr>
                </w:p>
              </w:tc>
              <w:tc>
                <w:tcPr>
                  <w:tcW w:w="1002" w:type="pct"/>
                  <w:shd w:val="clear" w:color="auto" w:fill="auto"/>
                  <w:vAlign w:val="center"/>
                </w:tcPr>
                <w:p w14:paraId="0EABF6C6">
                  <w:pPr>
                    <w:adjustRightInd w:val="0"/>
                    <w:snapToGrid w:val="0"/>
                    <w:jc w:val="center"/>
                    <w:rPr>
                      <w:color w:val="auto"/>
                      <w:sz w:val="18"/>
                      <w:szCs w:val="18"/>
                    </w:rPr>
                  </w:pPr>
                </w:p>
              </w:tc>
            </w:tr>
            <w:tr w14:paraId="5289AB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66" w:type="dxa"/>
                  <w:vAlign w:val="center"/>
                </w:tcPr>
                <w:p w14:paraId="386FABB2">
                  <w:pPr>
                    <w:jc w:val="center"/>
                    <w:rPr>
                      <w:bCs/>
                      <w:color w:val="auto"/>
                      <w:sz w:val="18"/>
                      <w:szCs w:val="18"/>
                    </w:rPr>
                  </w:pPr>
                </w:p>
              </w:tc>
              <w:tc>
                <w:tcPr>
                  <w:tcW w:w="1902" w:type="pct"/>
                  <w:shd w:val="clear" w:color="auto" w:fill="auto"/>
                  <w:vAlign w:val="center"/>
                </w:tcPr>
                <w:p w14:paraId="224FC71B">
                  <w:pPr>
                    <w:jc w:val="center"/>
                    <w:rPr>
                      <w:bCs/>
                      <w:color w:val="auto"/>
                      <w:sz w:val="18"/>
                      <w:szCs w:val="18"/>
                    </w:rPr>
                  </w:pPr>
                </w:p>
              </w:tc>
              <w:tc>
                <w:tcPr>
                  <w:tcW w:w="1581" w:type="pct"/>
                  <w:shd w:val="clear" w:color="auto" w:fill="auto"/>
                  <w:vAlign w:val="center"/>
                </w:tcPr>
                <w:p w14:paraId="46EB7A4D">
                  <w:pPr>
                    <w:jc w:val="center"/>
                    <w:rPr>
                      <w:bCs/>
                      <w:color w:val="auto"/>
                      <w:sz w:val="18"/>
                      <w:szCs w:val="18"/>
                    </w:rPr>
                  </w:pPr>
                </w:p>
              </w:tc>
              <w:tc>
                <w:tcPr>
                  <w:tcW w:w="1002" w:type="pct"/>
                  <w:shd w:val="clear" w:color="auto" w:fill="auto"/>
                  <w:vAlign w:val="center"/>
                </w:tcPr>
                <w:p w14:paraId="7D410C71">
                  <w:pPr>
                    <w:adjustRightInd w:val="0"/>
                    <w:snapToGrid w:val="0"/>
                    <w:jc w:val="center"/>
                    <w:rPr>
                      <w:color w:val="auto"/>
                      <w:sz w:val="18"/>
                      <w:szCs w:val="18"/>
                    </w:rPr>
                  </w:pPr>
                </w:p>
              </w:tc>
            </w:tr>
            <w:tr w14:paraId="3B6854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66" w:type="dxa"/>
                  <w:vAlign w:val="center"/>
                </w:tcPr>
                <w:p w14:paraId="66C6999D">
                  <w:pPr>
                    <w:jc w:val="center"/>
                    <w:rPr>
                      <w:bCs/>
                      <w:color w:val="auto"/>
                      <w:sz w:val="18"/>
                      <w:szCs w:val="18"/>
                    </w:rPr>
                  </w:pPr>
                </w:p>
              </w:tc>
              <w:tc>
                <w:tcPr>
                  <w:tcW w:w="1902" w:type="pct"/>
                  <w:shd w:val="clear" w:color="auto" w:fill="auto"/>
                  <w:vAlign w:val="center"/>
                </w:tcPr>
                <w:p w14:paraId="13A60852">
                  <w:pPr>
                    <w:jc w:val="center"/>
                    <w:rPr>
                      <w:bCs/>
                      <w:color w:val="auto"/>
                      <w:sz w:val="18"/>
                      <w:szCs w:val="18"/>
                    </w:rPr>
                  </w:pPr>
                </w:p>
              </w:tc>
              <w:tc>
                <w:tcPr>
                  <w:tcW w:w="1581" w:type="pct"/>
                  <w:shd w:val="clear" w:color="auto" w:fill="auto"/>
                  <w:vAlign w:val="center"/>
                </w:tcPr>
                <w:p w14:paraId="0EBBD3FC">
                  <w:pPr>
                    <w:jc w:val="center"/>
                    <w:rPr>
                      <w:bCs/>
                      <w:color w:val="auto"/>
                      <w:sz w:val="18"/>
                      <w:szCs w:val="18"/>
                    </w:rPr>
                  </w:pPr>
                </w:p>
              </w:tc>
              <w:tc>
                <w:tcPr>
                  <w:tcW w:w="1002" w:type="pct"/>
                  <w:shd w:val="clear" w:color="auto" w:fill="auto"/>
                  <w:vAlign w:val="center"/>
                </w:tcPr>
                <w:p w14:paraId="02068E7B">
                  <w:pPr>
                    <w:adjustRightInd w:val="0"/>
                    <w:snapToGrid w:val="0"/>
                    <w:jc w:val="center"/>
                    <w:rPr>
                      <w:color w:val="auto"/>
                      <w:sz w:val="18"/>
                      <w:szCs w:val="18"/>
                    </w:rPr>
                  </w:pPr>
                </w:p>
              </w:tc>
            </w:tr>
            <w:tr w14:paraId="6E6AA8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66" w:type="dxa"/>
                  <w:vAlign w:val="center"/>
                </w:tcPr>
                <w:p w14:paraId="203B985E">
                  <w:pPr>
                    <w:jc w:val="center"/>
                    <w:rPr>
                      <w:bCs/>
                      <w:color w:val="auto"/>
                      <w:sz w:val="18"/>
                      <w:szCs w:val="18"/>
                    </w:rPr>
                  </w:pPr>
                </w:p>
              </w:tc>
              <w:tc>
                <w:tcPr>
                  <w:tcW w:w="1902" w:type="pct"/>
                  <w:shd w:val="clear" w:color="auto" w:fill="auto"/>
                  <w:vAlign w:val="center"/>
                </w:tcPr>
                <w:p w14:paraId="2D18B546">
                  <w:pPr>
                    <w:jc w:val="center"/>
                    <w:rPr>
                      <w:bCs/>
                      <w:color w:val="auto"/>
                      <w:sz w:val="18"/>
                      <w:szCs w:val="18"/>
                    </w:rPr>
                  </w:pPr>
                </w:p>
              </w:tc>
              <w:tc>
                <w:tcPr>
                  <w:tcW w:w="1581" w:type="pct"/>
                  <w:shd w:val="clear" w:color="auto" w:fill="auto"/>
                  <w:vAlign w:val="center"/>
                </w:tcPr>
                <w:p w14:paraId="51BAB72D">
                  <w:pPr>
                    <w:jc w:val="center"/>
                    <w:rPr>
                      <w:bCs/>
                      <w:color w:val="auto"/>
                      <w:sz w:val="18"/>
                      <w:szCs w:val="18"/>
                    </w:rPr>
                  </w:pPr>
                </w:p>
              </w:tc>
              <w:tc>
                <w:tcPr>
                  <w:tcW w:w="1002" w:type="pct"/>
                  <w:shd w:val="clear" w:color="auto" w:fill="auto"/>
                  <w:vAlign w:val="center"/>
                </w:tcPr>
                <w:p w14:paraId="496F98FF">
                  <w:pPr>
                    <w:adjustRightInd w:val="0"/>
                    <w:snapToGrid w:val="0"/>
                    <w:jc w:val="center"/>
                    <w:rPr>
                      <w:color w:val="auto"/>
                      <w:sz w:val="18"/>
                      <w:szCs w:val="18"/>
                    </w:rPr>
                  </w:pPr>
                </w:p>
              </w:tc>
            </w:tr>
            <w:tr w14:paraId="4B1EBC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66" w:type="dxa"/>
                  <w:vAlign w:val="center"/>
                </w:tcPr>
                <w:p w14:paraId="130DBA0C">
                  <w:pPr>
                    <w:jc w:val="center"/>
                    <w:rPr>
                      <w:bCs/>
                      <w:color w:val="auto"/>
                      <w:sz w:val="18"/>
                      <w:szCs w:val="18"/>
                    </w:rPr>
                  </w:pPr>
                </w:p>
              </w:tc>
              <w:tc>
                <w:tcPr>
                  <w:tcW w:w="1902" w:type="pct"/>
                  <w:shd w:val="clear" w:color="auto" w:fill="auto"/>
                  <w:vAlign w:val="center"/>
                </w:tcPr>
                <w:p w14:paraId="348F1672">
                  <w:pPr>
                    <w:jc w:val="center"/>
                    <w:rPr>
                      <w:bCs/>
                      <w:color w:val="auto"/>
                      <w:sz w:val="18"/>
                      <w:szCs w:val="18"/>
                    </w:rPr>
                  </w:pPr>
                </w:p>
              </w:tc>
              <w:tc>
                <w:tcPr>
                  <w:tcW w:w="1581" w:type="pct"/>
                  <w:shd w:val="clear" w:color="auto" w:fill="auto"/>
                  <w:vAlign w:val="center"/>
                </w:tcPr>
                <w:p w14:paraId="254C7F1B">
                  <w:pPr>
                    <w:jc w:val="center"/>
                    <w:rPr>
                      <w:bCs/>
                      <w:color w:val="auto"/>
                      <w:sz w:val="18"/>
                      <w:szCs w:val="18"/>
                    </w:rPr>
                  </w:pPr>
                </w:p>
              </w:tc>
              <w:tc>
                <w:tcPr>
                  <w:tcW w:w="1002" w:type="pct"/>
                  <w:shd w:val="clear" w:color="auto" w:fill="auto"/>
                  <w:vAlign w:val="center"/>
                </w:tcPr>
                <w:p w14:paraId="68D9F98F">
                  <w:pPr>
                    <w:adjustRightInd w:val="0"/>
                    <w:snapToGrid w:val="0"/>
                    <w:jc w:val="center"/>
                    <w:rPr>
                      <w:color w:val="auto"/>
                      <w:sz w:val="18"/>
                      <w:szCs w:val="18"/>
                    </w:rPr>
                  </w:pPr>
                </w:p>
              </w:tc>
            </w:tr>
            <w:tr w14:paraId="40DB75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66" w:type="dxa"/>
                  <w:vAlign w:val="center"/>
                </w:tcPr>
                <w:p w14:paraId="602A4B32">
                  <w:pPr>
                    <w:jc w:val="center"/>
                    <w:rPr>
                      <w:bCs/>
                      <w:color w:val="auto"/>
                      <w:sz w:val="18"/>
                      <w:szCs w:val="18"/>
                    </w:rPr>
                  </w:pPr>
                </w:p>
              </w:tc>
              <w:tc>
                <w:tcPr>
                  <w:tcW w:w="1902" w:type="pct"/>
                  <w:shd w:val="clear" w:color="auto" w:fill="auto"/>
                  <w:vAlign w:val="center"/>
                </w:tcPr>
                <w:p w14:paraId="5DC48EC7">
                  <w:pPr>
                    <w:jc w:val="center"/>
                    <w:rPr>
                      <w:bCs/>
                      <w:color w:val="auto"/>
                      <w:sz w:val="18"/>
                      <w:szCs w:val="18"/>
                    </w:rPr>
                  </w:pPr>
                </w:p>
              </w:tc>
              <w:tc>
                <w:tcPr>
                  <w:tcW w:w="1581" w:type="pct"/>
                  <w:shd w:val="clear" w:color="auto" w:fill="auto"/>
                  <w:vAlign w:val="center"/>
                </w:tcPr>
                <w:p w14:paraId="113D6FD0">
                  <w:pPr>
                    <w:jc w:val="center"/>
                    <w:rPr>
                      <w:bCs/>
                      <w:color w:val="auto"/>
                      <w:sz w:val="18"/>
                      <w:szCs w:val="18"/>
                    </w:rPr>
                  </w:pPr>
                </w:p>
              </w:tc>
              <w:tc>
                <w:tcPr>
                  <w:tcW w:w="1002" w:type="pct"/>
                  <w:shd w:val="clear" w:color="auto" w:fill="auto"/>
                  <w:vAlign w:val="center"/>
                </w:tcPr>
                <w:p w14:paraId="3304CAFD">
                  <w:pPr>
                    <w:adjustRightInd w:val="0"/>
                    <w:snapToGrid w:val="0"/>
                    <w:jc w:val="center"/>
                    <w:rPr>
                      <w:color w:val="auto"/>
                      <w:sz w:val="18"/>
                      <w:szCs w:val="18"/>
                    </w:rPr>
                  </w:pPr>
                </w:p>
              </w:tc>
            </w:tr>
            <w:tr w14:paraId="4D8764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40" w:hRule="atLeast"/>
              </w:trPr>
              <w:tc>
                <w:tcPr>
                  <w:tcW w:w="866" w:type="dxa"/>
                  <w:vAlign w:val="center"/>
                </w:tcPr>
                <w:p w14:paraId="42880A28">
                  <w:pPr>
                    <w:jc w:val="center"/>
                    <w:rPr>
                      <w:bCs/>
                      <w:color w:val="auto"/>
                      <w:sz w:val="18"/>
                      <w:szCs w:val="18"/>
                    </w:rPr>
                  </w:pPr>
                </w:p>
              </w:tc>
              <w:tc>
                <w:tcPr>
                  <w:tcW w:w="1902" w:type="pct"/>
                  <w:shd w:val="clear" w:color="auto" w:fill="auto"/>
                  <w:vAlign w:val="center"/>
                </w:tcPr>
                <w:p w14:paraId="644B6D30">
                  <w:pPr>
                    <w:jc w:val="center"/>
                    <w:rPr>
                      <w:bCs/>
                      <w:color w:val="auto"/>
                      <w:sz w:val="18"/>
                      <w:szCs w:val="18"/>
                    </w:rPr>
                  </w:pPr>
                </w:p>
              </w:tc>
              <w:tc>
                <w:tcPr>
                  <w:tcW w:w="1581" w:type="pct"/>
                  <w:shd w:val="clear" w:color="auto" w:fill="auto"/>
                  <w:vAlign w:val="center"/>
                </w:tcPr>
                <w:p w14:paraId="185C178E">
                  <w:pPr>
                    <w:jc w:val="center"/>
                    <w:rPr>
                      <w:bCs/>
                      <w:color w:val="auto"/>
                      <w:sz w:val="18"/>
                      <w:szCs w:val="18"/>
                    </w:rPr>
                  </w:pPr>
                </w:p>
              </w:tc>
              <w:tc>
                <w:tcPr>
                  <w:tcW w:w="1002" w:type="pct"/>
                  <w:shd w:val="clear" w:color="auto" w:fill="auto"/>
                  <w:vAlign w:val="center"/>
                </w:tcPr>
                <w:p w14:paraId="1BD9FAA4">
                  <w:pPr>
                    <w:adjustRightInd w:val="0"/>
                    <w:snapToGrid w:val="0"/>
                    <w:jc w:val="center"/>
                    <w:rPr>
                      <w:color w:val="auto"/>
                      <w:sz w:val="18"/>
                      <w:szCs w:val="18"/>
                    </w:rPr>
                  </w:pPr>
                </w:p>
              </w:tc>
            </w:tr>
            <w:tr w14:paraId="103FA3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40" w:hRule="atLeast"/>
              </w:trPr>
              <w:tc>
                <w:tcPr>
                  <w:tcW w:w="866" w:type="dxa"/>
                  <w:vAlign w:val="center"/>
                </w:tcPr>
                <w:p w14:paraId="5D2C79C8">
                  <w:pPr>
                    <w:jc w:val="center"/>
                    <w:rPr>
                      <w:bCs/>
                      <w:color w:val="auto"/>
                      <w:sz w:val="18"/>
                      <w:szCs w:val="18"/>
                    </w:rPr>
                  </w:pPr>
                </w:p>
              </w:tc>
              <w:tc>
                <w:tcPr>
                  <w:tcW w:w="1902" w:type="pct"/>
                  <w:shd w:val="clear" w:color="auto" w:fill="auto"/>
                  <w:vAlign w:val="center"/>
                </w:tcPr>
                <w:p w14:paraId="7442B8CF">
                  <w:pPr>
                    <w:jc w:val="center"/>
                    <w:rPr>
                      <w:bCs/>
                      <w:color w:val="auto"/>
                      <w:sz w:val="18"/>
                      <w:szCs w:val="18"/>
                    </w:rPr>
                  </w:pPr>
                </w:p>
              </w:tc>
              <w:tc>
                <w:tcPr>
                  <w:tcW w:w="1581" w:type="pct"/>
                  <w:shd w:val="clear" w:color="auto" w:fill="auto"/>
                  <w:vAlign w:val="center"/>
                </w:tcPr>
                <w:p w14:paraId="10E51FDE">
                  <w:pPr>
                    <w:jc w:val="center"/>
                    <w:rPr>
                      <w:bCs/>
                      <w:color w:val="auto"/>
                      <w:sz w:val="18"/>
                      <w:szCs w:val="18"/>
                    </w:rPr>
                  </w:pPr>
                </w:p>
              </w:tc>
              <w:tc>
                <w:tcPr>
                  <w:tcW w:w="1002" w:type="pct"/>
                  <w:shd w:val="clear" w:color="auto" w:fill="auto"/>
                  <w:vAlign w:val="center"/>
                </w:tcPr>
                <w:p w14:paraId="17865A9F">
                  <w:pPr>
                    <w:adjustRightInd w:val="0"/>
                    <w:snapToGrid w:val="0"/>
                    <w:jc w:val="center"/>
                    <w:rPr>
                      <w:color w:val="auto"/>
                      <w:sz w:val="18"/>
                      <w:szCs w:val="18"/>
                    </w:rPr>
                  </w:pPr>
                </w:p>
              </w:tc>
            </w:tr>
            <w:tr w14:paraId="0DA15E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66" w:type="dxa"/>
                  <w:vAlign w:val="center"/>
                </w:tcPr>
                <w:p w14:paraId="585F7CD9">
                  <w:pPr>
                    <w:jc w:val="center"/>
                    <w:rPr>
                      <w:bCs/>
                      <w:color w:val="auto"/>
                      <w:sz w:val="18"/>
                      <w:szCs w:val="18"/>
                    </w:rPr>
                  </w:pPr>
                </w:p>
              </w:tc>
              <w:tc>
                <w:tcPr>
                  <w:tcW w:w="1902" w:type="pct"/>
                  <w:shd w:val="clear" w:color="auto" w:fill="auto"/>
                  <w:vAlign w:val="center"/>
                </w:tcPr>
                <w:p w14:paraId="207C2DC6">
                  <w:pPr>
                    <w:jc w:val="center"/>
                    <w:rPr>
                      <w:bCs/>
                      <w:color w:val="auto"/>
                      <w:sz w:val="18"/>
                      <w:szCs w:val="18"/>
                    </w:rPr>
                  </w:pPr>
                </w:p>
              </w:tc>
              <w:tc>
                <w:tcPr>
                  <w:tcW w:w="1581" w:type="pct"/>
                  <w:shd w:val="clear" w:color="auto" w:fill="auto"/>
                  <w:vAlign w:val="center"/>
                </w:tcPr>
                <w:p w14:paraId="58E89FC8">
                  <w:pPr>
                    <w:jc w:val="center"/>
                    <w:rPr>
                      <w:bCs/>
                      <w:color w:val="auto"/>
                      <w:sz w:val="18"/>
                      <w:szCs w:val="18"/>
                    </w:rPr>
                  </w:pPr>
                </w:p>
              </w:tc>
              <w:tc>
                <w:tcPr>
                  <w:tcW w:w="1002" w:type="pct"/>
                  <w:shd w:val="clear" w:color="auto" w:fill="auto"/>
                  <w:vAlign w:val="center"/>
                </w:tcPr>
                <w:p w14:paraId="343B6984">
                  <w:pPr>
                    <w:adjustRightInd w:val="0"/>
                    <w:snapToGrid w:val="0"/>
                    <w:jc w:val="center"/>
                    <w:rPr>
                      <w:color w:val="auto"/>
                      <w:sz w:val="18"/>
                      <w:szCs w:val="18"/>
                    </w:rPr>
                  </w:pPr>
                </w:p>
              </w:tc>
            </w:tr>
            <w:tr w14:paraId="2A166B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66" w:type="dxa"/>
                  <w:vAlign w:val="center"/>
                </w:tcPr>
                <w:p w14:paraId="59F2B6E1">
                  <w:pPr>
                    <w:jc w:val="center"/>
                    <w:rPr>
                      <w:bCs/>
                      <w:color w:val="auto"/>
                      <w:sz w:val="18"/>
                      <w:szCs w:val="18"/>
                    </w:rPr>
                  </w:pPr>
                </w:p>
              </w:tc>
              <w:tc>
                <w:tcPr>
                  <w:tcW w:w="1902" w:type="pct"/>
                  <w:shd w:val="clear" w:color="auto" w:fill="auto"/>
                  <w:vAlign w:val="center"/>
                </w:tcPr>
                <w:p w14:paraId="18606A65">
                  <w:pPr>
                    <w:jc w:val="center"/>
                    <w:rPr>
                      <w:bCs/>
                      <w:color w:val="auto"/>
                      <w:sz w:val="18"/>
                      <w:szCs w:val="18"/>
                    </w:rPr>
                  </w:pPr>
                </w:p>
              </w:tc>
              <w:tc>
                <w:tcPr>
                  <w:tcW w:w="1581" w:type="pct"/>
                  <w:shd w:val="clear" w:color="auto" w:fill="auto"/>
                  <w:vAlign w:val="center"/>
                </w:tcPr>
                <w:p w14:paraId="64C77339">
                  <w:pPr>
                    <w:jc w:val="center"/>
                    <w:rPr>
                      <w:bCs/>
                      <w:color w:val="auto"/>
                      <w:sz w:val="18"/>
                      <w:szCs w:val="18"/>
                    </w:rPr>
                  </w:pPr>
                </w:p>
              </w:tc>
              <w:tc>
                <w:tcPr>
                  <w:tcW w:w="1002" w:type="pct"/>
                  <w:shd w:val="clear" w:color="auto" w:fill="auto"/>
                  <w:vAlign w:val="center"/>
                </w:tcPr>
                <w:p w14:paraId="35AEB5BA">
                  <w:pPr>
                    <w:adjustRightInd w:val="0"/>
                    <w:snapToGrid w:val="0"/>
                    <w:jc w:val="center"/>
                    <w:rPr>
                      <w:color w:val="auto"/>
                      <w:sz w:val="18"/>
                      <w:szCs w:val="18"/>
                    </w:rPr>
                  </w:pPr>
                </w:p>
              </w:tc>
            </w:tr>
            <w:tr w14:paraId="1D1876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40" w:hRule="atLeast"/>
              </w:trPr>
              <w:tc>
                <w:tcPr>
                  <w:tcW w:w="866" w:type="dxa"/>
                  <w:vAlign w:val="center"/>
                </w:tcPr>
                <w:p w14:paraId="5340C6B1">
                  <w:pPr>
                    <w:jc w:val="center"/>
                    <w:rPr>
                      <w:bCs/>
                      <w:color w:val="auto"/>
                      <w:sz w:val="18"/>
                      <w:szCs w:val="18"/>
                    </w:rPr>
                  </w:pPr>
                </w:p>
              </w:tc>
              <w:tc>
                <w:tcPr>
                  <w:tcW w:w="1902" w:type="pct"/>
                  <w:shd w:val="clear" w:color="auto" w:fill="auto"/>
                  <w:vAlign w:val="center"/>
                </w:tcPr>
                <w:p w14:paraId="7A6E5AE4">
                  <w:pPr>
                    <w:jc w:val="center"/>
                    <w:rPr>
                      <w:bCs/>
                      <w:color w:val="auto"/>
                      <w:sz w:val="18"/>
                      <w:szCs w:val="18"/>
                    </w:rPr>
                  </w:pPr>
                </w:p>
              </w:tc>
              <w:tc>
                <w:tcPr>
                  <w:tcW w:w="1581" w:type="pct"/>
                  <w:shd w:val="clear" w:color="auto" w:fill="auto"/>
                  <w:vAlign w:val="center"/>
                </w:tcPr>
                <w:p w14:paraId="1215B544">
                  <w:pPr>
                    <w:jc w:val="center"/>
                    <w:rPr>
                      <w:bCs/>
                      <w:color w:val="auto"/>
                      <w:sz w:val="18"/>
                      <w:szCs w:val="18"/>
                    </w:rPr>
                  </w:pPr>
                </w:p>
              </w:tc>
              <w:tc>
                <w:tcPr>
                  <w:tcW w:w="1002" w:type="pct"/>
                  <w:shd w:val="clear" w:color="auto" w:fill="auto"/>
                  <w:vAlign w:val="center"/>
                </w:tcPr>
                <w:p w14:paraId="3A1F3841">
                  <w:pPr>
                    <w:adjustRightInd w:val="0"/>
                    <w:snapToGrid w:val="0"/>
                    <w:jc w:val="center"/>
                    <w:rPr>
                      <w:color w:val="auto"/>
                      <w:sz w:val="18"/>
                      <w:szCs w:val="18"/>
                    </w:rPr>
                  </w:pPr>
                </w:p>
              </w:tc>
            </w:tr>
            <w:tr w14:paraId="2DE147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66" w:type="dxa"/>
                  <w:vAlign w:val="center"/>
                </w:tcPr>
                <w:p w14:paraId="145AA487">
                  <w:pPr>
                    <w:jc w:val="center"/>
                    <w:rPr>
                      <w:bCs/>
                      <w:color w:val="auto"/>
                      <w:sz w:val="18"/>
                      <w:szCs w:val="18"/>
                    </w:rPr>
                  </w:pPr>
                </w:p>
              </w:tc>
              <w:tc>
                <w:tcPr>
                  <w:tcW w:w="1902" w:type="pct"/>
                  <w:shd w:val="clear" w:color="auto" w:fill="auto"/>
                  <w:vAlign w:val="center"/>
                </w:tcPr>
                <w:p w14:paraId="162E56F2">
                  <w:pPr>
                    <w:jc w:val="center"/>
                    <w:rPr>
                      <w:bCs/>
                      <w:color w:val="auto"/>
                      <w:sz w:val="18"/>
                      <w:szCs w:val="18"/>
                    </w:rPr>
                  </w:pPr>
                </w:p>
              </w:tc>
              <w:tc>
                <w:tcPr>
                  <w:tcW w:w="1581" w:type="pct"/>
                  <w:shd w:val="clear" w:color="auto" w:fill="auto"/>
                  <w:vAlign w:val="center"/>
                </w:tcPr>
                <w:p w14:paraId="30EDB36C">
                  <w:pPr>
                    <w:jc w:val="center"/>
                    <w:rPr>
                      <w:bCs/>
                      <w:color w:val="auto"/>
                      <w:sz w:val="18"/>
                      <w:szCs w:val="18"/>
                    </w:rPr>
                  </w:pPr>
                </w:p>
              </w:tc>
              <w:tc>
                <w:tcPr>
                  <w:tcW w:w="1002" w:type="pct"/>
                  <w:shd w:val="clear" w:color="auto" w:fill="auto"/>
                  <w:vAlign w:val="center"/>
                </w:tcPr>
                <w:p w14:paraId="357CAC0D">
                  <w:pPr>
                    <w:adjustRightInd w:val="0"/>
                    <w:snapToGrid w:val="0"/>
                    <w:jc w:val="center"/>
                    <w:rPr>
                      <w:color w:val="auto"/>
                      <w:sz w:val="18"/>
                      <w:szCs w:val="18"/>
                    </w:rPr>
                  </w:pPr>
                </w:p>
              </w:tc>
            </w:tr>
            <w:tr w14:paraId="222AC2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40" w:hRule="atLeast"/>
              </w:trPr>
              <w:tc>
                <w:tcPr>
                  <w:tcW w:w="866" w:type="dxa"/>
                  <w:vAlign w:val="center"/>
                </w:tcPr>
                <w:p w14:paraId="0560B935">
                  <w:pPr>
                    <w:jc w:val="center"/>
                    <w:rPr>
                      <w:bCs/>
                      <w:color w:val="auto"/>
                      <w:sz w:val="18"/>
                      <w:szCs w:val="18"/>
                    </w:rPr>
                  </w:pPr>
                </w:p>
              </w:tc>
              <w:tc>
                <w:tcPr>
                  <w:tcW w:w="1902" w:type="pct"/>
                  <w:shd w:val="clear" w:color="auto" w:fill="auto"/>
                  <w:vAlign w:val="center"/>
                </w:tcPr>
                <w:p w14:paraId="319394BB">
                  <w:pPr>
                    <w:jc w:val="center"/>
                    <w:rPr>
                      <w:bCs/>
                      <w:color w:val="auto"/>
                      <w:sz w:val="18"/>
                      <w:szCs w:val="18"/>
                    </w:rPr>
                  </w:pPr>
                </w:p>
              </w:tc>
              <w:tc>
                <w:tcPr>
                  <w:tcW w:w="1581" w:type="pct"/>
                  <w:shd w:val="clear" w:color="auto" w:fill="auto"/>
                  <w:vAlign w:val="center"/>
                </w:tcPr>
                <w:p w14:paraId="403FB46F">
                  <w:pPr>
                    <w:widowControl/>
                    <w:jc w:val="center"/>
                    <w:rPr>
                      <w:bCs/>
                      <w:color w:val="auto"/>
                      <w:sz w:val="18"/>
                      <w:szCs w:val="18"/>
                    </w:rPr>
                  </w:pPr>
                </w:p>
              </w:tc>
              <w:tc>
                <w:tcPr>
                  <w:tcW w:w="1002" w:type="pct"/>
                  <w:shd w:val="clear" w:color="auto" w:fill="auto"/>
                  <w:vAlign w:val="center"/>
                </w:tcPr>
                <w:p w14:paraId="6F4D0E57">
                  <w:pPr>
                    <w:adjustRightInd w:val="0"/>
                    <w:snapToGrid w:val="0"/>
                    <w:jc w:val="center"/>
                    <w:rPr>
                      <w:color w:val="auto"/>
                      <w:sz w:val="18"/>
                      <w:szCs w:val="18"/>
                    </w:rPr>
                  </w:pPr>
                </w:p>
              </w:tc>
            </w:tr>
            <w:tr w14:paraId="21982D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40" w:hRule="atLeast"/>
              </w:trPr>
              <w:tc>
                <w:tcPr>
                  <w:tcW w:w="866" w:type="dxa"/>
                  <w:vAlign w:val="center"/>
                </w:tcPr>
                <w:p w14:paraId="5831D3F3">
                  <w:pPr>
                    <w:jc w:val="center"/>
                    <w:rPr>
                      <w:bCs/>
                      <w:color w:val="auto"/>
                      <w:sz w:val="18"/>
                      <w:szCs w:val="18"/>
                    </w:rPr>
                  </w:pPr>
                </w:p>
              </w:tc>
              <w:tc>
                <w:tcPr>
                  <w:tcW w:w="1902" w:type="pct"/>
                  <w:shd w:val="clear" w:color="auto" w:fill="auto"/>
                  <w:vAlign w:val="center"/>
                </w:tcPr>
                <w:p w14:paraId="00320E22">
                  <w:pPr>
                    <w:adjustRightInd w:val="0"/>
                    <w:snapToGrid w:val="0"/>
                    <w:jc w:val="center"/>
                    <w:rPr>
                      <w:bCs/>
                      <w:color w:val="auto"/>
                      <w:kern w:val="18"/>
                      <w:sz w:val="18"/>
                      <w:szCs w:val="18"/>
                    </w:rPr>
                  </w:pPr>
                </w:p>
              </w:tc>
              <w:tc>
                <w:tcPr>
                  <w:tcW w:w="1581" w:type="pct"/>
                  <w:shd w:val="clear" w:color="auto" w:fill="auto"/>
                  <w:vAlign w:val="center"/>
                </w:tcPr>
                <w:p w14:paraId="0F08BCD0">
                  <w:pPr>
                    <w:adjustRightInd w:val="0"/>
                    <w:snapToGrid w:val="0"/>
                    <w:ind w:firstLine="360"/>
                    <w:jc w:val="center"/>
                    <w:rPr>
                      <w:bCs/>
                      <w:color w:val="auto"/>
                      <w:kern w:val="18"/>
                      <w:sz w:val="18"/>
                      <w:szCs w:val="18"/>
                    </w:rPr>
                  </w:pPr>
                </w:p>
              </w:tc>
              <w:tc>
                <w:tcPr>
                  <w:tcW w:w="1002" w:type="pct"/>
                  <w:shd w:val="clear" w:color="auto" w:fill="auto"/>
                  <w:vAlign w:val="center"/>
                </w:tcPr>
                <w:p w14:paraId="5A9B43A8">
                  <w:pPr>
                    <w:adjustRightInd w:val="0"/>
                    <w:snapToGrid w:val="0"/>
                    <w:jc w:val="center"/>
                    <w:rPr>
                      <w:color w:val="auto"/>
                      <w:sz w:val="18"/>
                      <w:szCs w:val="18"/>
                    </w:rPr>
                  </w:pPr>
                </w:p>
              </w:tc>
            </w:tr>
            <w:tr w14:paraId="5FD9B3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866" w:type="dxa"/>
                  <w:vAlign w:val="center"/>
                </w:tcPr>
                <w:p w14:paraId="683505C8">
                  <w:pPr>
                    <w:jc w:val="center"/>
                    <w:rPr>
                      <w:bCs/>
                      <w:color w:val="auto"/>
                      <w:sz w:val="18"/>
                      <w:szCs w:val="18"/>
                    </w:rPr>
                  </w:pPr>
                </w:p>
              </w:tc>
              <w:tc>
                <w:tcPr>
                  <w:tcW w:w="1902" w:type="pct"/>
                  <w:shd w:val="clear" w:color="auto" w:fill="auto"/>
                  <w:vAlign w:val="center"/>
                </w:tcPr>
                <w:p w14:paraId="667168F4">
                  <w:pPr>
                    <w:adjustRightInd w:val="0"/>
                    <w:snapToGrid w:val="0"/>
                    <w:jc w:val="center"/>
                    <w:rPr>
                      <w:bCs/>
                      <w:color w:val="auto"/>
                      <w:kern w:val="18"/>
                      <w:sz w:val="18"/>
                      <w:szCs w:val="18"/>
                    </w:rPr>
                  </w:pPr>
                </w:p>
              </w:tc>
              <w:tc>
                <w:tcPr>
                  <w:tcW w:w="1581" w:type="pct"/>
                  <w:shd w:val="clear" w:color="auto" w:fill="auto"/>
                  <w:vAlign w:val="center"/>
                </w:tcPr>
                <w:p w14:paraId="0E3147C6">
                  <w:pPr>
                    <w:adjustRightInd w:val="0"/>
                    <w:snapToGrid w:val="0"/>
                    <w:jc w:val="center"/>
                    <w:rPr>
                      <w:bCs/>
                      <w:color w:val="auto"/>
                      <w:kern w:val="18"/>
                      <w:sz w:val="18"/>
                      <w:szCs w:val="18"/>
                    </w:rPr>
                  </w:pPr>
                </w:p>
              </w:tc>
              <w:tc>
                <w:tcPr>
                  <w:tcW w:w="1002" w:type="pct"/>
                  <w:shd w:val="clear" w:color="auto" w:fill="auto"/>
                  <w:vAlign w:val="center"/>
                </w:tcPr>
                <w:p w14:paraId="2C505CD1">
                  <w:pPr>
                    <w:adjustRightInd w:val="0"/>
                    <w:snapToGrid w:val="0"/>
                    <w:jc w:val="center"/>
                    <w:rPr>
                      <w:color w:val="auto"/>
                      <w:sz w:val="18"/>
                      <w:szCs w:val="18"/>
                    </w:rPr>
                  </w:pPr>
                </w:p>
              </w:tc>
            </w:tr>
            <w:tr w14:paraId="01F98E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66" w:type="dxa"/>
                  <w:vAlign w:val="center"/>
                </w:tcPr>
                <w:p w14:paraId="6E33726B">
                  <w:pPr>
                    <w:jc w:val="center"/>
                    <w:rPr>
                      <w:bCs/>
                      <w:color w:val="auto"/>
                      <w:sz w:val="18"/>
                      <w:szCs w:val="18"/>
                    </w:rPr>
                  </w:pPr>
                </w:p>
              </w:tc>
              <w:tc>
                <w:tcPr>
                  <w:tcW w:w="1902" w:type="pct"/>
                  <w:shd w:val="clear" w:color="auto" w:fill="auto"/>
                  <w:vAlign w:val="center"/>
                </w:tcPr>
                <w:p w14:paraId="39CE9649">
                  <w:pPr>
                    <w:jc w:val="center"/>
                    <w:rPr>
                      <w:bCs/>
                      <w:color w:val="auto"/>
                      <w:kern w:val="18"/>
                      <w:sz w:val="18"/>
                      <w:szCs w:val="18"/>
                    </w:rPr>
                  </w:pPr>
                </w:p>
              </w:tc>
              <w:tc>
                <w:tcPr>
                  <w:tcW w:w="1581" w:type="pct"/>
                  <w:shd w:val="clear" w:color="auto" w:fill="auto"/>
                  <w:vAlign w:val="center"/>
                </w:tcPr>
                <w:p w14:paraId="161710F2">
                  <w:pPr>
                    <w:adjustRightInd w:val="0"/>
                    <w:snapToGrid w:val="0"/>
                    <w:ind w:firstLine="360"/>
                    <w:jc w:val="center"/>
                    <w:rPr>
                      <w:bCs/>
                      <w:color w:val="auto"/>
                      <w:kern w:val="18"/>
                      <w:sz w:val="18"/>
                      <w:szCs w:val="18"/>
                    </w:rPr>
                  </w:pPr>
                </w:p>
              </w:tc>
              <w:tc>
                <w:tcPr>
                  <w:tcW w:w="1002" w:type="pct"/>
                  <w:shd w:val="clear" w:color="auto" w:fill="auto"/>
                  <w:vAlign w:val="center"/>
                </w:tcPr>
                <w:p w14:paraId="1971A598">
                  <w:pPr>
                    <w:adjustRightInd w:val="0"/>
                    <w:snapToGrid w:val="0"/>
                    <w:jc w:val="center"/>
                    <w:rPr>
                      <w:color w:val="auto"/>
                      <w:sz w:val="18"/>
                      <w:szCs w:val="18"/>
                    </w:rPr>
                  </w:pPr>
                </w:p>
              </w:tc>
            </w:tr>
            <w:tr w14:paraId="5A83DE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40" w:hRule="atLeast"/>
              </w:trPr>
              <w:tc>
                <w:tcPr>
                  <w:tcW w:w="866" w:type="dxa"/>
                  <w:vAlign w:val="center"/>
                </w:tcPr>
                <w:p w14:paraId="1FBAA1ED">
                  <w:pPr>
                    <w:jc w:val="center"/>
                    <w:rPr>
                      <w:bCs/>
                      <w:color w:val="auto"/>
                      <w:sz w:val="18"/>
                      <w:szCs w:val="18"/>
                    </w:rPr>
                  </w:pPr>
                </w:p>
              </w:tc>
              <w:tc>
                <w:tcPr>
                  <w:tcW w:w="1902" w:type="pct"/>
                  <w:shd w:val="clear" w:color="auto" w:fill="auto"/>
                  <w:vAlign w:val="center"/>
                </w:tcPr>
                <w:p w14:paraId="353D8AC3">
                  <w:pPr>
                    <w:jc w:val="center"/>
                    <w:rPr>
                      <w:bCs/>
                      <w:color w:val="auto"/>
                      <w:kern w:val="18"/>
                      <w:sz w:val="18"/>
                      <w:szCs w:val="18"/>
                    </w:rPr>
                  </w:pPr>
                </w:p>
              </w:tc>
              <w:tc>
                <w:tcPr>
                  <w:tcW w:w="1581" w:type="pct"/>
                  <w:shd w:val="clear" w:color="auto" w:fill="auto"/>
                  <w:vAlign w:val="center"/>
                </w:tcPr>
                <w:p w14:paraId="71579829">
                  <w:pPr>
                    <w:adjustRightInd w:val="0"/>
                    <w:snapToGrid w:val="0"/>
                    <w:ind w:firstLine="360"/>
                    <w:jc w:val="center"/>
                    <w:rPr>
                      <w:bCs/>
                      <w:color w:val="auto"/>
                      <w:kern w:val="18"/>
                      <w:sz w:val="18"/>
                      <w:szCs w:val="18"/>
                    </w:rPr>
                  </w:pPr>
                </w:p>
              </w:tc>
              <w:tc>
                <w:tcPr>
                  <w:tcW w:w="1002" w:type="pct"/>
                  <w:shd w:val="clear" w:color="auto" w:fill="auto"/>
                  <w:vAlign w:val="center"/>
                </w:tcPr>
                <w:p w14:paraId="6A0835C1">
                  <w:pPr>
                    <w:adjustRightInd w:val="0"/>
                    <w:snapToGrid w:val="0"/>
                    <w:jc w:val="center"/>
                    <w:rPr>
                      <w:color w:val="auto"/>
                      <w:sz w:val="18"/>
                      <w:szCs w:val="18"/>
                    </w:rPr>
                  </w:pPr>
                </w:p>
              </w:tc>
            </w:tr>
            <w:tr w14:paraId="1F7547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66" w:type="dxa"/>
                  <w:vAlign w:val="center"/>
                </w:tcPr>
                <w:p w14:paraId="2498780E">
                  <w:pPr>
                    <w:jc w:val="center"/>
                    <w:rPr>
                      <w:bCs/>
                      <w:color w:val="auto"/>
                      <w:sz w:val="18"/>
                      <w:szCs w:val="18"/>
                    </w:rPr>
                  </w:pPr>
                </w:p>
              </w:tc>
              <w:tc>
                <w:tcPr>
                  <w:tcW w:w="1902" w:type="pct"/>
                  <w:shd w:val="clear" w:color="auto" w:fill="auto"/>
                  <w:vAlign w:val="center"/>
                </w:tcPr>
                <w:p w14:paraId="2EE12761">
                  <w:pPr>
                    <w:adjustRightInd w:val="0"/>
                    <w:snapToGrid w:val="0"/>
                    <w:jc w:val="center"/>
                    <w:rPr>
                      <w:bCs/>
                      <w:color w:val="auto"/>
                      <w:sz w:val="18"/>
                      <w:szCs w:val="18"/>
                    </w:rPr>
                  </w:pPr>
                </w:p>
              </w:tc>
              <w:tc>
                <w:tcPr>
                  <w:tcW w:w="1581" w:type="pct"/>
                  <w:shd w:val="clear" w:color="auto" w:fill="auto"/>
                  <w:vAlign w:val="center"/>
                </w:tcPr>
                <w:p w14:paraId="1BFC4123">
                  <w:pPr>
                    <w:adjustRightInd w:val="0"/>
                    <w:snapToGrid w:val="0"/>
                    <w:jc w:val="center"/>
                    <w:rPr>
                      <w:bCs/>
                      <w:color w:val="auto"/>
                      <w:sz w:val="18"/>
                      <w:szCs w:val="18"/>
                    </w:rPr>
                  </w:pPr>
                </w:p>
              </w:tc>
              <w:tc>
                <w:tcPr>
                  <w:tcW w:w="1002" w:type="pct"/>
                  <w:shd w:val="clear" w:color="auto" w:fill="auto"/>
                  <w:vAlign w:val="center"/>
                </w:tcPr>
                <w:p w14:paraId="37E7F3C2">
                  <w:pPr>
                    <w:adjustRightInd w:val="0"/>
                    <w:snapToGrid w:val="0"/>
                    <w:jc w:val="center"/>
                    <w:rPr>
                      <w:color w:val="auto"/>
                      <w:sz w:val="18"/>
                      <w:szCs w:val="18"/>
                    </w:rPr>
                  </w:pPr>
                </w:p>
              </w:tc>
            </w:tr>
            <w:tr w14:paraId="28BA98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66" w:type="dxa"/>
                  <w:vAlign w:val="center"/>
                </w:tcPr>
                <w:p w14:paraId="1DE9AA88">
                  <w:pPr>
                    <w:jc w:val="center"/>
                    <w:rPr>
                      <w:bCs/>
                      <w:color w:val="auto"/>
                      <w:sz w:val="18"/>
                      <w:szCs w:val="18"/>
                    </w:rPr>
                  </w:pPr>
                </w:p>
              </w:tc>
              <w:tc>
                <w:tcPr>
                  <w:tcW w:w="1902" w:type="pct"/>
                  <w:shd w:val="clear" w:color="auto" w:fill="auto"/>
                  <w:vAlign w:val="center"/>
                </w:tcPr>
                <w:p w14:paraId="05B8F5BF">
                  <w:pPr>
                    <w:adjustRightInd w:val="0"/>
                    <w:snapToGrid w:val="0"/>
                    <w:jc w:val="center"/>
                    <w:rPr>
                      <w:bCs/>
                      <w:color w:val="auto"/>
                      <w:sz w:val="18"/>
                      <w:szCs w:val="18"/>
                    </w:rPr>
                  </w:pPr>
                </w:p>
              </w:tc>
              <w:tc>
                <w:tcPr>
                  <w:tcW w:w="1581" w:type="pct"/>
                  <w:shd w:val="clear" w:color="auto" w:fill="auto"/>
                  <w:vAlign w:val="center"/>
                </w:tcPr>
                <w:p w14:paraId="348D4858">
                  <w:pPr>
                    <w:adjustRightInd w:val="0"/>
                    <w:snapToGrid w:val="0"/>
                    <w:ind w:firstLine="360"/>
                    <w:jc w:val="center"/>
                    <w:rPr>
                      <w:bCs/>
                      <w:color w:val="auto"/>
                      <w:sz w:val="18"/>
                      <w:szCs w:val="18"/>
                    </w:rPr>
                  </w:pPr>
                </w:p>
              </w:tc>
              <w:tc>
                <w:tcPr>
                  <w:tcW w:w="1002" w:type="pct"/>
                  <w:shd w:val="clear" w:color="auto" w:fill="auto"/>
                  <w:vAlign w:val="center"/>
                </w:tcPr>
                <w:p w14:paraId="2F9564FE">
                  <w:pPr>
                    <w:adjustRightInd w:val="0"/>
                    <w:snapToGrid w:val="0"/>
                    <w:jc w:val="center"/>
                    <w:rPr>
                      <w:color w:val="auto"/>
                      <w:sz w:val="18"/>
                      <w:szCs w:val="18"/>
                    </w:rPr>
                  </w:pPr>
                </w:p>
              </w:tc>
            </w:tr>
            <w:tr w14:paraId="5B8045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66" w:type="dxa"/>
                  <w:vAlign w:val="center"/>
                </w:tcPr>
                <w:p w14:paraId="156B539C">
                  <w:pPr>
                    <w:jc w:val="center"/>
                    <w:rPr>
                      <w:bCs/>
                      <w:color w:val="auto"/>
                      <w:sz w:val="18"/>
                      <w:szCs w:val="18"/>
                    </w:rPr>
                  </w:pPr>
                </w:p>
              </w:tc>
              <w:tc>
                <w:tcPr>
                  <w:tcW w:w="1902" w:type="pct"/>
                  <w:shd w:val="clear" w:color="auto" w:fill="auto"/>
                  <w:vAlign w:val="center"/>
                </w:tcPr>
                <w:p w14:paraId="2C092BDB">
                  <w:pPr>
                    <w:adjustRightInd w:val="0"/>
                    <w:snapToGrid w:val="0"/>
                    <w:jc w:val="center"/>
                    <w:rPr>
                      <w:bCs/>
                      <w:color w:val="auto"/>
                      <w:sz w:val="18"/>
                      <w:szCs w:val="18"/>
                    </w:rPr>
                  </w:pPr>
                </w:p>
              </w:tc>
              <w:tc>
                <w:tcPr>
                  <w:tcW w:w="1581" w:type="pct"/>
                  <w:shd w:val="clear" w:color="auto" w:fill="auto"/>
                  <w:vAlign w:val="center"/>
                </w:tcPr>
                <w:p w14:paraId="696881B2">
                  <w:pPr>
                    <w:adjustRightInd w:val="0"/>
                    <w:snapToGrid w:val="0"/>
                    <w:ind w:firstLine="360"/>
                    <w:jc w:val="center"/>
                    <w:rPr>
                      <w:bCs/>
                      <w:color w:val="auto"/>
                      <w:sz w:val="18"/>
                      <w:szCs w:val="18"/>
                    </w:rPr>
                  </w:pPr>
                </w:p>
              </w:tc>
              <w:tc>
                <w:tcPr>
                  <w:tcW w:w="1002" w:type="pct"/>
                  <w:shd w:val="clear" w:color="auto" w:fill="auto"/>
                  <w:vAlign w:val="center"/>
                </w:tcPr>
                <w:p w14:paraId="1150A918">
                  <w:pPr>
                    <w:adjustRightInd w:val="0"/>
                    <w:snapToGrid w:val="0"/>
                    <w:jc w:val="center"/>
                    <w:rPr>
                      <w:color w:val="auto"/>
                      <w:sz w:val="18"/>
                      <w:szCs w:val="18"/>
                    </w:rPr>
                  </w:pPr>
                </w:p>
              </w:tc>
            </w:tr>
            <w:tr w14:paraId="63B793C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40" w:hRule="atLeast"/>
              </w:trPr>
              <w:tc>
                <w:tcPr>
                  <w:tcW w:w="866" w:type="dxa"/>
                  <w:vAlign w:val="center"/>
                </w:tcPr>
                <w:p w14:paraId="68B6993B">
                  <w:pPr>
                    <w:jc w:val="center"/>
                    <w:rPr>
                      <w:bCs/>
                      <w:color w:val="auto"/>
                      <w:sz w:val="18"/>
                      <w:szCs w:val="18"/>
                    </w:rPr>
                  </w:pPr>
                </w:p>
              </w:tc>
              <w:tc>
                <w:tcPr>
                  <w:tcW w:w="1902" w:type="pct"/>
                  <w:shd w:val="clear" w:color="auto" w:fill="auto"/>
                  <w:vAlign w:val="center"/>
                </w:tcPr>
                <w:p w14:paraId="18619400">
                  <w:pPr>
                    <w:jc w:val="center"/>
                    <w:rPr>
                      <w:bCs/>
                      <w:color w:val="auto"/>
                      <w:sz w:val="18"/>
                      <w:szCs w:val="18"/>
                    </w:rPr>
                  </w:pPr>
                </w:p>
              </w:tc>
              <w:tc>
                <w:tcPr>
                  <w:tcW w:w="1581" w:type="pct"/>
                  <w:shd w:val="clear" w:color="auto" w:fill="auto"/>
                  <w:vAlign w:val="center"/>
                </w:tcPr>
                <w:p w14:paraId="6F0B5CB7">
                  <w:pPr>
                    <w:jc w:val="center"/>
                    <w:rPr>
                      <w:bCs/>
                      <w:color w:val="auto"/>
                      <w:sz w:val="18"/>
                      <w:szCs w:val="18"/>
                    </w:rPr>
                  </w:pPr>
                </w:p>
              </w:tc>
              <w:tc>
                <w:tcPr>
                  <w:tcW w:w="1002" w:type="pct"/>
                  <w:shd w:val="clear" w:color="auto" w:fill="auto"/>
                  <w:vAlign w:val="center"/>
                </w:tcPr>
                <w:p w14:paraId="0EA5B26A">
                  <w:pPr>
                    <w:adjustRightInd w:val="0"/>
                    <w:snapToGrid w:val="0"/>
                    <w:jc w:val="center"/>
                    <w:rPr>
                      <w:color w:val="auto"/>
                      <w:sz w:val="18"/>
                      <w:szCs w:val="18"/>
                    </w:rPr>
                  </w:pPr>
                </w:p>
              </w:tc>
            </w:tr>
          </w:tbl>
          <w:p w14:paraId="0726CED9">
            <w:pPr>
              <w:adjustRightInd w:val="0"/>
              <w:snapToGrid w:val="0"/>
              <w:spacing w:line="500" w:lineRule="exact"/>
              <w:ind w:firstLine="422" w:firstLineChars="200"/>
              <w:rPr>
                <w:b/>
                <w:color w:val="auto"/>
                <w:szCs w:val="21"/>
              </w:rPr>
            </w:pPr>
            <w:r>
              <w:rPr>
                <w:b/>
                <w:color w:val="auto"/>
                <w:szCs w:val="21"/>
              </w:rPr>
              <w:t>6.</w:t>
            </w:r>
            <w:r>
              <w:rPr>
                <w:rFonts w:hint="eastAsia"/>
                <w:b/>
                <w:color w:val="auto"/>
                <w:szCs w:val="21"/>
              </w:rPr>
              <w:t>主要污染物排放及治理情况</w:t>
            </w:r>
          </w:p>
          <w:p w14:paraId="76DA00D1">
            <w:pPr>
              <w:adjustRightInd w:val="0"/>
              <w:snapToGrid w:val="0"/>
              <w:spacing w:line="500" w:lineRule="exact"/>
              <w:ind w:firstLine="422" w:firstLineChars="200"/>
              <w:rPr>
                <w:b/>
                <w:color w:val="auto"/>
                <w:szCs w:val="21"/>
              </w:rPr>
            </w:pPr>
            <w:r>
              <w:rPr>
                <w:b/>
                <w:color w:val="auto"/>
                <w:szCs w:val="21"/>
              </w:rPr>
              <w:t>6.1</w:t>
            </w:r>
            <w:r>
              <w:rPr>
                <w:rFonts w:hint="eastAsia"/>
                <w:b/>
                <w:color w:val="auto"/>
                <w:szCs w:val="21"/>
              </w:rPr>
              <w:t>废气</w:t>
            </w:r>
          </w:p>
          <w:p w14:paraId="245E55A7">
            <w:pPr>
              <w:adjustRightInd w:val="0"/>
              <w:snapToGrid w:val="0"/>
              <w:spacing w:line="500" w:lineRule="exact"/>
              <w:ind w:firstLine="422" w:firstLineChars="200"/>
              <w:rPr>
                <w:b/>
                <w:color w:val="auto"/>
                <w:szCs w:val="21"/>
              </w:rPr>
            </w:pPr>
            <w:r>
              <w:rPr>
                <w:rFonts w:hint="eastAsia"/>
                <w:b/>
                <w:color w:val="auto"/>
                <w:szCs w:val="21"/>
              </w:rPr>
              <w:t>（1）有组织废气</w:t>
            </w:r>
          </w:p>
          <w:p w14:paraId="6A84A9F7">
            <w:pPr>
              <w:adjustRightInd w:val="0"/>
              <w:snapToGrid w:val="0"/>
              <w:spacing w:line="500" w:lineRule="exact"/>
              <w:ind w:firstLine="420" w:firstLineChars="200"/>
              <w:rPr>
                <w:bCs/>
                <w:color w:val="auto"/>
                <w:szCs w:val="21"/>
              </w:rPr>
            </w:pPr>
            <w:r>
              <w:rPr>
                <w:rFonts w:hint="eastAsia"/>
                <w:bCs/>
                <w:color w:val="auto"/>
                <w:szCs w:val="21"/>
              </w:rPr>
              <w:t>现有项目废气治理措施见表</w:t>
            </w:r>
            <w:r>
              <w:rPr>
                <w:bCs/>
                <w:color w:val="auto"/>
                <w:szCs w:val="21"/>
              </w:rPr>
              <w:t>2-13</w:t>
            </w:r>
            <w:r>
              <w:rPr>
                <w:rFonts w:hint="eastAsia"/>
                <w:bCs/>
                <w:color w:val="auto"/>
                <w:szCs w:val="21"/>
              </w:rPr>
              <w:t>。</w:t>
            </w:r>
          </w:p>
          <w:p w14:paraId="46C44C26">
            <w:pPr>
              <w:adjustRightInd w:val="0"/>
              <w:snapToGrid w:val="0"/>
              <w:spacing w:line="500" w:lineRule="exact"/>
              <w:ind w:firstLine="420" w:firstLineChars="200"/>
              <w:rPr>
                <w:bCs/>
                <w:color w:val="auto"/>
                <w:szCs w:val="21"/>
              </w:rPr>
            </w:pPr>
            <w:r>
              <w:rPr>
                <w:rFonts w:hint="eastAsia"/>
                <w:color w:val="auto"/>
                <w:szCs w:val="21"/>
              </w:rPr>
              <w:t>现有实验室有千级洁净区的空气净化装置，因废气产生量很小，经空气净化装置后排放量更小，直接排放，排放量忽略不计未核算。</w:t>
            </w:r>
          </w:p>
          <w:p w14:paraId="31179663">
            <w:pPr>
              <w:snapToGrid w:val="0"/>
              <w:spacing w:line="500" w:lineRule="exact"/>
              <w:jc w:val="center"/>
              <w:rPr>
                <w:b/>
                <w:color w:val="auto"/>
                <w:szCs w:val="21"/>
              </w:rPr>
            </w:pPr>
            <w:r>
              <w:rPr>
                <w:rFonts w:hint="eastAsia"/>
                <w:b/>
                <w:color w:val="auto"/>
                <w:szCs w:val="21"/>
              </w:rPr>
              <w:t>表</w:t>
            </w:r>
            <w:r>
              <w:rPr>
                <w:b/>
                <w:color w:val="auto"/>
                <w:szCs w:val="21"/>
              </w:rPr>
              <w:t>2-13</w:t>
            </w:r>
            <w:r>
              <w:rPr>
                <w:rFonts w:hint="eastAsia"/>
                <w:b/>
                <w:color w:val="auto"/>
                <w:szCs w:val="21"/>
              </w:rPr>
              <w:t>（1）现有项目废气治理措施（已建已验）</w:t>
            </w:r>
          </w:p>
          <w:tbl>
            <w:tblPr>
              <w:tblStyle w:val="21"/>
              <w:tblW w:w="4998" w:type="pct"/>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150"/>
              <w:gridCol w:w="2923"/>
              <w:gridCol w:w="1697"/>
              <w:gridCol w:w="1653"/>
            </w:tblGrid>
            <w:tr w14:paraId="7D210DE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276" w:type="pct"/>
                  <w:vMerge w:val="restart"/>
                  <w:tcBorders>
                    <w:top w:val="single" w:color="000000" w:sz="12" w:space="0"/>
                    <w:left w:val="nil"/>
                    <w:tl2br w:val="nil"/>
                  </w:tcBorders>
                  <w:shd w:val="clear" w:color="auto" w:fill="FFFFFF"/>
                  <w:noWrap/>
                  <w:vAlign w:val="center"/>
                </w:tcPr>
                <w:p w14:paraId="4596058B">
                  <w:pPr>
                    <w:widowControl/>
                    <w:jc w:val="center"/>
                    <w:textAlignment w:val="center"/>
                    <w:rPr>
                      <w:b/>
                      <w:bCs/>
                      <w:color w:val="auto"/>
                      <w:sz w:val="18"/>
                      <w:szCs w:val="18"/>
                    </w:rPr>
                  </w:pPr>
                  <w:r>
                    <w:rPr>
                      <w:rFonts w:hint="eastAsia"/>
                      <w:b/>
                      <w:bCs/>
                      <w:color w:val="auto"/>
                      <w:kern w:val="0"/>
                      <w:sz w:val="18"/>
                      <w:szCs w:val="18"/>
                      <w:lang w:bidi="ar"/>
                    </w:rPr>
                    <w:t>污染源名称</w:t>
                  </w:r>
                </w:p>
              </w:tc>
              <w:tc>
                <w:tcPr>
                  <w:tcW w:w="1735" w:type="pct"/>
                  <w:vMerge w:val="restart"/>
                  <w:tcBorders>
                    <w:top w:val="single" w:color="000000" w:sz="12" w:space="0"/>
                  </w:tcBorders>
                  <w:shd w:val="clear" w:color="auto" w:fill="FFFFFF"/>
                  <w:noWrap/>
                  <w:vAlign w:val="center"/>
                </w:tcPr>
                <w:p w14:paraId="6AFD9732">
                  <w:pPr>
                    <w:widowControl/>
                    <w:jc w:val="center"/>
                    <w:textAlignment w:val="center"/>
                    <w:rPr>
                      <w:b/>
                      <w:bCs/>
                      <w:color w:val="auto"/>
                      <w:sz w:val="18"/>
                      <w:szCs w:val="18"/>
                    </w:rPr>
                  </w:pPr>
                  <w:r>
                    <w:rPr>
                      <w:rFonts w:hint="eastAsia"/>
                      <w:b/>
                      <w:bCs/>
                      <w:color w:val="auto"/>
                      <w:kern w:val="0"/>
                      <w:sz w:val="18"/>
                      <w:szCs w:val="18"/>
                      <w:lang w:bidi="ar"/>
                    </w:rPr>
                    <w:t>治理措施</w:t>
                  </w:r>
                </w:p>
              </w:tc>
              <w:tc>
                <w:tcPr>
                  <w:tcW w:w="1988" w:type="pct"/>
                  <w:gridSpan w:val="2"/>
                  <w:tcBorders>
                    <w:top w:val="single" w:color="000000" w:sz="12" w:space="0"/>
                    <w:right w:val="nil"/>
                  </w:tcBorders>
                  <w:shd w:val="clear" w:color="auto" w:fill="FFFFFF"/>
                  <w:noWrap/>
                  <w:vAlign w:val="center"/>
                </w:tcPr>
                <w:p w14:paraId="410885EA">
                  <w:pPr>
                    <w:widowControl/>
                    <w:jc w:val="center"/>
                    <w:textAlignment w:val="center"/>
                    <w:rPr>
                      <w:b/>
                      <w:bCs/>
                      <w:color w:val="auto"/>
                      <w:kern w:val="0"/>
                      <w:sz w:val="18"/>
                      <w:szCs w:val="18"/>
                      <w:lang w:bidi="ar"/>
                    </w:rPr>
                  </w:pPr>
                  <w:r>
                    <w:rPr>
                      <w:rFonts w:hint="eastAsia"/>
                      <w:b/>
                      <w:bCs/>
                      <w:color w:val="auto"/>
                      <w:kern w:val="0"/>
                      <w:sz w:val="18"/>
                      <w:szCs w:val="18"/>
                      <w:lang w:bidi="ar"/>
                    </w:rPr>
                    <w:t>排气筒参数</w:t>
                  </w:r>
                </w:p>
              </w:tc>
            </w:tr>
            <w:tr w14:paraId="5C9FB15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276" w:type="pct"/>
                  <w:vMerge w:val="continue"/>
                  <w:tcBorders>
                    <w:left w:val="nil"/>
                  </w:tcBorders>
                  <w:shd w:val="clear" w:color="auto" w:fill="FFFFFF"/>
                  <w:noWrap/>
                  <w:vAlign w:val="center"/>
                </w:tcPr>
                <w:p w14:paraId="17E8EB1F">
                  <w:pPr>
                    <w:jc w:val="center"/>
                    <w:rPr>
                      <w:b/>
                      <w:bCs/>
                      <w:color w:val="auto"/>
                      <w:sz w:val="18"/>
                      <w:szCs w:val="18"/>
                    </w:rPr>
                  </w:pPr>
                </w:p>
              </w:tc>
              <w:tc>
                <w:tcPr>
                  <w:tcW w:w="1735" w:type="pct"/>
                  <w:vMerge w:val="continue"/>
                  <w:shd w:val="clear" w:color="auto" w:fill="FFFFFF"/>
                  <w:noWrap/>
                  <w:vAlign w:val="center"/>
                </w:tcPr>
                <w:p w14:paraId="39C3D4D7">
                  <w:pPr>
                    <w:jc w:val="center"/>
                    <w:rPr>
                      <w:b/>
                      <w:bCs/>
                      <w:color w:val="auto"/>
                      <w:sz w:val="18"/>
                      <w:szCs w:val="18"/>
                    </w:rPr>
                  </w:pPr>
                </w:p>
              </w:tc>
              <w:tc>
                <w:tcPr>
                  <w:tcW w:w="1007" w:type="pct"/>
                  <w:shd w:val="clear" w:color="auto" w:fill="FFFFFF"/>
                  <w:noWrap/>
                  <w:vAlign w:val="center"/>
                </w:tcPr>
                <w:p w14:paraId="2100DEE4">
                  <w:pPr>
                    <w:widowControl/>
                    <w:jc w:val="center"/>
                    <w:textAlignment w:val="center"/>
                    <w:rPr>
                      <w:b/>
                      <w:bCs/>
                      <w:color w:val="auto"/>
                      <w:sz w:val="18"/>
                      <w:szCs w:val="18"/>
                    </w:rPr>
                  </w:pPr>
                  <w:r>
                    <w:rPr>
                      <w:rFonts w:hint="eastAsia"/>
                      <w:b/>
                      <w:bCs/>
                      <w:color w:val="auto"/>
                      <w:kern w:val="0"/>
                      <w:sz w:val="18"/>
                      <w:szCs w:val="18"/>
                      <w:lang w:bidi="ar"/>
                    </w:rPr>
                    <w:t>高度</w:t>
                  </w:r>
                  <w:r>
                    <w:rPr>
                      <w:b/>
                      <w:bCs/>
                      <w:color w:val="auto"/>
                      <w:kern w:val="0"/>
                      <w:sz w:val="18"/>
                      <w:szCs w:val="18"/>
                      <w:lang w:bidi="ar"/>
                    </w:rPr>
                    <w:t>m</w:t>
                  </w:r>
                </w:p>
              </w:tc>
              <w:tc>
                <w:tcPr>
                  <w:tcW w:w="980" w:type="pct"/>
                  <w:tcBorders>
                    <w:right w:val="nil"/>
                  </w:tcBorders>
                  <w:shd w:val="clear" w:color="auto" w:fill="FFFFFF"/>
                  <w:noWrap/>
                  <w:vAlign w:val="center"/>
                </w:tcPr>
                <w:p w14:paraId="3409F5F1">
                  <w:pPr>
                    <w:widowControl/>
                    <w:jc w:val="center"/>
                    <w:textAlignment w:val="center"/>
                    <w:rPr>
                      <w:b/>
                      <w:bCs/>
                      <w:color w:val="auto"/>
                      <w:sz w:val="18"/>
                      <w:szCs w:val="18"/>
                    </w:rPr>
                  </w:pPr>
                  <w:r>
                    <w:rPr>
                      <w:rFonts w:hint="eastAsia"/>
                      <w:b/>
                      <w:bCs/>
                      <w:color w:val="auto"/>
                      <w:kern w:val="0"/>
                      <w:sz w:val="18"/>
                      <w:szCs w:val="18"/>
                      <w:lang w:bidi="ar"/>
                    </w:rPr>
                    <w:t>编号</w:t>
                  </w:r>
                </w:p>
              </w:tc>
            </w:tr>
            <w:tr w14:paraId="6B378DB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276" w:type="pct"/>
                  <w:tcBorders>
                    <w:left w:val="nil"/>
                  </w:tcBorders>
                  <w:shd w:val="clear" w:color="auto" w:fill="FFFFFF"/>
                  <w:noWrap/>
                  <w:vAlign w:val="center"/>
                </w:tcPr>
                <w:p w14:paraId="7CAFC917">
                  <w:pPr>
                    <w:widowControl/>
                    <w:jc w:val="center"/>
                    <w:textAlignment w:val="center"/>
                    <w:rPr>
                      <w:color w:val="auto"/>
                      <w:sz w:val="18"/>
                      <w:szCs w:val="18"/>
                    </w:rPr>
                  </w:pPr>
                </w:p>
              </w:tc>
              <w:tc>
                <w:tcPr>
                  <w:tcW w:w="1735" w:type="pct"/>
                  <w:shd w:val="clear" w:color="auto" w:fill="FFFFFF"/>
                  <w:noWrap/>
                  <w:vAlign w:val="center"/>
                </w:tcPr>
                <w:p w14:paraId="07017E8C">
                  <w:pPr>
                    <w:widowControl/>
                    <w:jc w:val="center"/>
                    <w:textAlignment w:val="center"/>
                    <w:rPr>
                      <w:color w:val="auto"/>
                      <w:sz w:val="18"/>
                      <w:szCs w:val="18"/>
                    </w:rPr>
                  </w:pPr>
                </w:p>
              </w:tc>
              <w:tc>
                <w:tcPr>
                  <w:tcW w:w="1007" w:type="pct"/>
                  <w:vMerge w:val="restart"/>
                  <w:shd w:val="clear" w:color="auto" w:fill="FFFFFF"/>
                  <w:noWrap/>
                  <w:vAlign w:val="center"/>
                </w:tcPr>
                <w:p w14:paraId="66A1C149">
                  <w:pPr>
                    <w:widowControl/>
                    <w:jc w:val="center"/>
                    <w:textAlignment w:val="center"/>
                    <w:rPr>
                      <w:color w:val="auto"/>
                      <w:sz w:val="18"/>
                      <w:szCs w:val="18"/>
                    </w:rPr>
                  </w:pPr>
                </w:p>
              </w:tc>
              <w:tc>
                <w:tcPr>
                  <w:tcW w:w="980" w:type="pct"/>
                  <w:vMerge w:val="restart"/>
                  <w:tcBorders>
                    <w:right w:val="nil"/>
                  </w:tcBorders>
                  <w:shd w:val="clear" w:color="auto" w:fill="FFFFFF"/>
                  <w:noWrap/>
                  <w:vAlign w:val="center"/>
                </w:tcPr>
                <w:p w14:paraId="1D20B119">
                  <w:pPr>
                    <w:widowControl/>
                    <w:jc w:val="center"/>
                    <w:textAlignment w:val="center"/>
                    <w:rPr>
                      <w:color w:val="auto"/>
                      <w:sz w:val="18"/>
                      <w:szCs w:val="18"/>
                    </w:rPr>
                  </w:pPr>
                </w:p>
              </w:tc>
            </w:tr>
            <w:tr w14:paraId="3CDC4C2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276" w:type="pct"/>
                  <w:tcBorders>
                    <w:left w:val="nil"/>
                  </w:tcBorders>
                  <w:shd w:val="clear" w:color="auto" w:fill="FFFFFF"/>
                  <w:noWrap/>
                  <w:vAlign w:val="center"/>
                </w:tcPr>
                <w:p w14:paraId="5C7184B5">
                  <w:pPr>
                    <w:widowControl/>
                    <w:jc w:val="center"/>
                    <w:textAlignment w:val="center"/>
                    <w:rPr>
                      <w:color w:val="auto"/>
                      <w:sz w:val="18"/>
                      <w:szCs w:val="18"/>
                    </w:rPr>
                  </w:pPr>
                </w:p>
              </w:tc>
              <w:tc>
                <w:tcPr>
                  <w:tcW w:w="1735" w:type="pct"/>
                  <w:shd w:val="clear" w:color="auto" w:fill="FFFFFF"/>
                  <w:noWrap/>
                  <w:vAlign w:val="center"/>
                </w:tcPr>
                <w:p w14:paraId="67D0AE17">
                  <w:pPr>
                    <w:widowControl/>
                    <w:jc w:val="center"/>
                    <w:textAlignment w:val="center"/>
                    <w:rPr>
                      <w:color w:val="auto"/>
                      <w:sz w:val="18"/>
                      <w:szCs w:val="18"/>
                    </w:rPr>
                  </w:pPr>
                </w:p>
              </w:tc>
              <w:tc>
                <w:tcPr>
                  <w:tcW w:w="1007" w:type="pct"/>
                  <w:vMerge w:val="continue"/>
                  <w:shd w:val="clear" w:color="auto" w:fill="FFFFFF"/>
                  <w:noWrap/>
                  <w:vAlign w:val="center"/>
                </w:tcPr>
                <w:p w14:paraId="42200CD0">
                  <w:pPr>
                    <w:jc w:val="center"/>
                    <w:rPr>
                      <w:color w:val="auto"/>
                      <w:sz w:val="18"/>
                      <w:szCs w:val="18"/>
                    </w:rPr>
                  </w:pPr>
                </w:p>
              </w:tc>
              <w:tc>
                <w:tcPr>
                  <w:tcW w:w="980" w:type="pct"/>
                  <w:vMerge w:val="continue"/>
                  <w:tcBorders>
                    <w:right w:val="nil"/>
                  </w:tcBorders>
                  <w:shd w:val="clear" w:color="auto" w:fill="FFFFFF"/>
                  <w:noWrap/>
                  <w:vAlign w:val="center"/>
                </w:tcPr>
                <w:p w14:paraId="0221C3D3">
                  <w:pPr>
                    <w:jc w:val="center"/>
                    <w:rPr>
                      <w:color w:val="auto"/>
                      <w:sz w:val="18"/>
                      <w:szCs w:val="18"/>
                    </w:rPr>
                  </w:pPr>
                </w:p>
              </w:tc>
            </w:tr>
            <w:tr w14:paraId="362FDEF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276" w:type="pct"/>
                  <w:vMerge w:val="restart"/>
                  <w:tcBorders>
                    <w:left w:val="nil"/>
                  </w:tcBorders>
                  <w:shd w:val="clear" w:color="auto" w:fill="FFFFFF"/>
                  <w:vAlign w:val="center"/>
                </w:tcPr>
                <w:p w14:paraId="6835B5D1">
                  <w:pPr>
                    <w:widowControl/>
                    <w:jc w:val="center"/>
                    <w:textAlignment w:val="center"/>
                    <w:rPr>
                      <w:color w:val="auto"/>
                      <w:sz w:val="18"/>
                      <w:szCs w:val="18"/>
                    </w:rPr>
                  </w:pPr>
                </w:p>
              </w:tc>
              <w:tc>
                <w:tcPr>
                  <w:tcW w:w="1735" w:type="pct"/>
                  <w:vMerge w:val="restart"/>
                  <w:shd w:val="clear" w:color="auto" w:fill="FFFFFF"/>
                  <w:vAlign w:val="center"/>
                </w:tcPr>
                <w:p w14:paraId="2DF030F6">
                  <w:pPr>
                    <w:widowControl/>
                    <w:jc w:val="center"/>
                    <w:textAlignment w:val="center"/>
                    <w:rPr>
                      <w:color w:val="auto"/>
                      <w:sz w:val="18"/>
                      <w:szCs w:val="18"/>
                    </w:rPr>
                  </w:pPr>
                </w:p>
              </w:tc>
              <w:tc>
                <w:tcPr>
                  <w:tcW w:w="1007" w:type="pct"/>
                  <w:vMerge w:val="restart"/>
                  <w:shd w:val="clear" w:color="auto" w:fill="FFFFFF"/>
                  <w:noWrap/>
                  <w:vAlign w:val="center"/>
                </w:tcPr>
                <w:p w14:paraId="6E11C8F3">
                  <w:pPr>
                    <w:widowControl/>
                    <w:jc w:val="center"/>
                    <w:textAlignment w:val="center"/>
                    <w:rPr>
                      <w:color w:val="auto"/>
                      <w:sz w:val="18"/>
                      <w:szCs w:val="18"/>
                    </w:rPr>
                  </w:pPr>
                </w:p>
              </w:tc>
              <w:tc>
                <w:tcPr>
                  <w:tcW w:w="980" w:type="pct"/>
                  <w:vMerge w:val="restart"/>
                  <w:tcBorders>
                    <w:right w:val="nil"/>
                  </w:tcBorders>
                  <w:shd w:val="clear" w:color="auto" w:fill="FFFFFF"/>
                  <w:noWrap/>
                  <w:vAlign w:val="center"/>
                </w:tcPr>
                <w:p w14:paraId="6FFD20A6">
                  <w:pPr>
                    <w:widowControl/>
                    <w:jc w:val="center"/>
                    <w:textAlignment w:val="center"/>
                    <w:rPr>
                      <w:color w:val="auto"/>
                      <w:sz w:val="18"/>
                      <w:szCs w:val="18"/>
                    </w:rPr>
                  </w:pPr>
                </w:p>
              </w:tc>
            </w:tr>
            <w:tr w14:paraId="61667EA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276" w:type="pct"/>
                  <w:vMerge w:val="continue"/>
                  <w:tcBorders>
                    <w:left w:val="nil"/>
                  </w:tcBorders>
                  <w:shd w:val="clear" w:color="auto" w:fill="FFFFFF"/>
                  <w:vAlign w:val="center"/>
                </w:tcPr>
                <w:p w14:paraId="09DE01D8">
                  <w:pPr>
                    <w:jc w:val="center"/>
                    <w:rPr>
                      <w:color w:val="auto"/>
                      <w:sz w:val="18"/>
                      <w:szCs w:val="18"/>
                    </w:rPr>
                  </w:pPr>
                </w:p>
              </w:tc>
              <w:tc>
                <w:tcPr>
                  <w:tcW w:w="1735" w:type="pct"/>
                  <w:vMerge w:val="continue"/>
                  <w:shd w:val="clear" w:color="auto" w:fill="FFFFFF"/>
                  <w:vAlign w:val="center"/>
                </w:tcPr>
                <w:p w14:paraId="51A82467">
                  <w:pPr>
                    <w:jc w:val="center"/>
                    <w:rPr>
                      <w:color w:val="auto"/>
                      <w:sz w:val="18"/>
                      <w:szCs w:val="18"/>
                    </w:rPr>
                  </w:pPr>
                </w:p>
              </w:tc>
              <w:tc>
                <w:tcPr>
                  <w:tcW w:w="1007" w:type="pct"/>
                  <w:vMerge w:val="continue"/>
                  <w:shd w:val="clear" w:color="auto" w:fill="FFFFFF"/>
                  <w:noWrap/>
                  <w:vAlign w:val="center"/>
                </w:tcPr>
                <w:p w14:paraId="72FEB9DB">
                  <w:pPr>
                    <w:jc w:val="center"/>
                    <w:rPr>
                      <w:color w:val="auto"/>
                      <w:sz w:val="18"/>
                      <w:szCs w:val="18"/>
                    </w:rPr>
                  </w:pPr>
                </w:p>
              </w:tc>
              <w:tc>
                <w:tcPr>
                  <w:tcW w:w="980" w:type="pct"/>
                  <w:vMerge w:val="continue"/>
                  <w:tcBorders>
                    <w:right w:val="nil"/>
                  </w:tcBorders>
                  <w:shd w:val="clear" w:color="auto" w:fill="FFFFFF"/>
                  <w:noWrap/>
                  <w:vAlign w:val="center"/>
                </w:tcPr>
                <w:p w14:paraId="205ADD08">
                  <w:pPr>
                    <w:jc w:val="center"/>
                    <w:rPr>
                      <w:color w:val="auto"/>
                      <w:sz w:val="18"/>
                      <w:szCs w:val="18"/>
                    </w:rPr>
                  </w:pPr>
                </w:p>
              </w:tc>
            </w:tr>
            <w:tr w14:paraId="53ED9CD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276" w:type="pct"/>
                  <w:vMerge w:val="restart"/>
                  <w:tcBorders>
                    <w:left w:val="nil"/>
                  </w:tcBorders>
                  <w:shd w:val="clear" w:color="auto" w:fill="FFFFFF"/>
                  <w:vAlign w:val="center"/>
                </w:tcPr>
                <w:p w14:paraId="18833611">
                  <w:pPr>
                    <w:widowControl/>
                    <w:jc w:val="center"/>
                    <w:textAlignment w:val="center"/>
                    <w:rPr>
                      <w:color w:val="auto"/>
                      <w:sz w:val="18"/>
                      <w:szCs w:val="18"/>
                    </w:rPr>
                  </w:pPr>
                </w:p>
              </w:tc>
              <w:tc>
                <w:tcPr>
                  <w:tcW w:w="1735" w:type="pct"/>
                  <w:vMerge w:val="restart"/>
                  <w:shd w:val="clear" w:color="auto" w:fill="FFFFFF"/>
                  <w:vAlign w:val="center"/>
                </w:tcPr>
                <w:p w14:paraId="316367C1">
                  <w:pPr>
                    <w:widowControl/>
                    <w:jc w:val="center"/>
                    <w:textAlignment w:val="center"/>
                    <w:rPr>
                      <w:color w:val="auto"/>
                      <w:sz w:val="18"/>
                      <w:szCs w:val="18"/>
                    </w:rPr>
                  </w:pPr>
                </w:p>
              </w:tc>
              <w:tc>
                <w:tcPr>
                  <w:tcW w:w="1007" w:type="pct"/>
                  <w:vMerge w:val="continue"/>
                  <w:shd w:val="clear" w:color="auto" w:fill="FFFFFF"/>
                  <w:noWrap/>
                  <w:vAlign w:val="center"/>
                </w:tcPr>
                <w:p w14:paraId="551A4B2B">
                  <w:pPr>
                    <w:jc w:val="center"/>
                    <w:rPr>
                      <w:color w:val="auto"/>
                      <w:sz w:val="18"/>
                      <w:szCs w:val="18"/>
                    </w:rPr>
                  </w:pPr>
                </w:p>
              </w:tc>
              <w:tc>
                <w:tcPr>
                  <w:tcW w:w="980" w:type="pct"/>
                  <w:vMerge w:val="continue"/>
                  <w:tcBorders>
                    <w:right w:val="nil"/>
                  </w:tcBorders>
                  <w:shd w:val="clear" w:color="auto" w:fill="FFFFFF"/>
                  <w:noWrap/>
                  <w:vAlign w:val="center"/>
                </w:tcPr>
                <w:p w14:paraId="01E9B344">
                  <w:pPr>
                    <w:jc w:val="center"/>
                    <w:rPr>
                      <w:color w:val="auto"/>
                      <w:sz w:val="18"/>
                      <w:szCs w:val="18"/>
                    </w:rPr>
                  </w:pPr>
                </w:p>
              </w:tc>
            </w:tr>
            <w:tr w14:paraId="71E736A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276" w:type="pct"/>
                  <w:vMerge w:val="continue"/>
                  <w:tcBorders>
                    <w:left w:val="nil"/>
                  </w:tcBorders>
                  <w:shd w:val="clear" w:color="auto" w:fill="FFFFFF"/>
                  <w:vAlign w:val="center"/>
                </w:tcPr>
                <w:p w14:paraId="1B2409ED">
                  <w:pPr>
                    <w:jc w:val="center"/>
                    <w:rPr>
                      <w:color w:val="auto"/>
                      <w:sz w:val="18"/>
                      <w:szCs w:val="18"/>
                    </w:rPr>
                  </w:pPr>
                </w:p>
              </w:tc>
              <w:tc>
                <w:tcPr>
                  <w:tcW w:w="1735" w:type="pct"/>
                  <w:vMerge w:val="continue"/>
                  <w:shd w:val="clear" w:color="auto" w:fill="FFFFFF"/>
                  <w:vAlign w:val="center"/>
                </w:tcPr>
                <w:p w14:paraId="156F775C">
                  <w:pPr>
                    <w:jc w:val="center"/>
                    <w:rPr>
                      <w:color w:val="auto"/>
                      <w:sz w:val="18"/>
                      <w:szCs w:val="18"/>
                    </w:rPr>
                  </w:pPr>
                </w:p>
              </w:tc>
              <w:tc>
                <w:tcPr>
                  <w:tcW w:w="1007" w:type="pct"/>
                  <w:vMerge w:val="continue"/>
                  <w:shd w:val="clear" w:color="auto" w:fill="FFFFFF"/>
                  <w:noWrap/>
                  <w:vAlign w:val="center"/>
                </w:tcPr>
                <w:p w14:paraId="6BC5B1B2">
                  <w:pPr>
                    <w:jc w:val="center"/>
                    <w:rPr>
                      <w:color w:val="auto"/>
                      <w:sz w:val="18"/>
                      <w:szCs w:val="18"/>
                    </w:rPr>
                  </w:pPr>
                </w:p>
              </w:tc>
              <w:tc>
                <w:tcPr>
                  <w:tcW w:w="980" w:type="pct"/>
                  <w:vMerge w:val="continue"/>
                  <w:tcBorders>
                    <w:right w:val="nil"/>
                  </w:tcBorders>
                  <w:shd w:val="clear" w:color="auto" w:fill="FFFFFF"/>
                  <w:noWrap/>
                  <w:vAlign w:val="center"/>
                </w:tcPr>
                <w:p w14:paraId="0E083578">
                  <w:pPr>
                    <w:jc w:val="center"/>
                    <w:rPr>
                      <w:color w:val="auto"/>
                      <w:sz w:val="18"/>
                      <w:szCs w:val="18"/>
                    </w:rPr>
                  </w:pPr>
                </w:p>
              </w:tc>
            </w:tr>
            <w:tr w14:paraId="2C9436A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276" w:type="pct"/>
                  <w:tcBorders>
                    <w:left w:val="nil"/>
                  </w:tcBorders>
                  <w:shd w:val="clear" w:color="auto" w:fill="FFFFFF"/>
                  <w:noWrap/>
                  <w:vAlign w:val="center"/>
                </w:tcPr>
                <w:p w14:paraId="378DB661">
                  <w:pPr>
                    <w:widowControl/>
                    <w:jc w:val="center"/>
                    <w:textAlignment w:val="center"/>
                    <w:rPr>
                      <w:color w:val="auto"/>
                      <w:sz w:val="18"/>
                      <w:szCs w:val="18"/>
                    </w:rPr>
                  </w:pPr>
                </w:p>
              </w:tc>
              <w:tc>
                <w:tcPr>
                  <w:tcW w:w="1735" w:type="pct"/>
                  <w:shd w:val="clear" w:color="auto" w:fill="FFFFFF"/>
                  <w:noWrap/>
                  <w:vAlign w:val="center"/>
                </w:tcPr>
                <w:p w14:paraId="268EFB98">
                  <w:pPr>
                    <w:widowControl/>
                    <w:jc w:val="center"/>
                    <w:textAlignment w:val="center"/>
                    <w:rPr>
                      <w:color w:val="auto"/>
                      <w:sz w:val="18"/>
                      <w:szCs w:val="18"/>
                    </w:rPr>
                  </w:pPr>
                </w:p>
              </w:tc>
              <w:tc>
                <w:tcPr>
                  <w:tcW w:w="1007" w:type="pct"/>
                  <w:shd w:val="clear" w:color="auto" w:fill="FFFFFF"/>
                  <w:noWrap/>
                  <w:vAlign w:val="center"/>
                </w:tcPr>
                <w:p w14:paraId="7D2388C0">
                  <w:pPr>
                    <w:widowControl/>
                    <w:jc w:val="center"/>
                    <w:textAlignment w:val="center"/>
                    <w:rPr>
                      <w:color w:val="auto"/>
                      <w:sz w:val="18"/>
                      <w:szCs w:val="18"/>
                    </w:rPr>
                  </w:pPr>
                </w:p>
              </w:tc>
              <w:tc>
                <w:tcPr>
                  <w:tcW w:w="980" w:type="pct"/>
                  <w:tcBorders>
                    <w:right w:val="nil"/>
                  </w:tcBorders>
                  <w:shd w:val="clear" w:color="auto" w:fill="FFFFFF"/>
                  <w:noWrap/>
                  <w:vAlign w:val="center"/>
                </w:tcPr>
                <w:p w14:paraId="4895EE26">
                  <w:pPr>
                    <w:widowControl/>
                    <w:jc w:val="center"/>
                    <w:textAlignment w:val="center"/>
                    <w:rPr>
                      <w:color w:val="auto"/>
                      <w:sz w:val="18"/>
                      <w:szCs w:val="18"/>
                    </w:rPr>
                  </w:pPr>
                </w:p>
              </w:tc>
            </w:tr>
            <w:tr w14:paraId="41D1EC8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276" w:type="pct"/>
                  <w:tcBorders>
                    <w:left w:val="nil"/>
                  </w:tcBorders>
                  <w:shd w:val="clear" w:color="auto" w:fill="FFFFFF"/>
                  <w:noWrap/>
                  <w:vAlign w:val="center"/>
                </w:tcPr>
                <w:p w14:paraId="2D69CF0D">
                  <w:pPr>
                    <w:widowControl/>
                    <w:jc w:val="center"/>
                    <w:textAlignment w:val="center"/>
                    <w:rPr>
                      <w:color w:val="auto"/>
                      <w:sz w:val="18"/>
                      <w:szCs w:val="18"/>
                    </w:rPr>
                  </w:pPr>
                </w:p>
              </w:tc>
              <w:tc>
                <w:tcPr>
                  <w:tcW w:w="1735" w:type="pct"/>
                  <w:shd w:val="clear" w:color="auto" w:fill="FFFFFF"/>
                  <w:noWrap/>
                  <w:vAlign w:val="center"/>
                </w:tcPr>
                <w:p w14:paraId="433556E5">
                  <w:pPr>
                    <w:widowControl/>
                    <w:jc w:val="center"/>
                    <w:textAlignment w:val="center"/>
                    <w:rPr>
                      <w:color w:val="auto"/>
                      <w:sz w:val="18"/>
                      <w:szCs w:val="18"/>
                    </w:rPr>
                  </w:pPr>
                </w:p>
              </w:tc>
              <w:tc>
                <w:tcPr>
                  <w:tcW w:w="1007" w:type="pct"/>
                  <w:vMerge w:val="restart"/>
                  <w:shd w:val="clear" w:color="auto" w:fill="FFFFFF"/>
                  <w:noWrap/>
                  <w:vAlign w:val="center"/>
                </w:tcPr>
                <w:p w14:paraId="35493F98">
                  <w:pPr>
                    <w:widowControl/>
                    <w:jc w:val="center"/>
                    <w:textAlignment w:val="center"/>
                    <w:rPr>
                      <w:color w:val="auto"/>
                      <w:sz w:val="18"/>
                      <w:szCs w:val="18"/>
                    </w:rPr>
                  </w:pPr>
                </w:p>
              </w:tc>
              <w:tc>
                <w:tcPr>
                  <w:tcW w:w="980" w:type="pct"/>
                  <w:vMerge w:val="restart"/>
                  <w:tcBorders>
                    <w:right w:val="nil"/>
                  </w:tcBorders>
                  <w:shd w:val="clear" w:color="auto" w:fill="FFFFFF"/>
                  <w:noWrap/>
                  <w:vAlign w:val="center"/>
                </w:tcPr>
                <w:p w14:paraId="0465D618">
                  <w:pPr>
                    <w:widowControl/>
                    <w:jc w:val="center"/>
                    <w:textAlignment w:val="center"/>
                    <w:rPr>
                      <w:color w:val="auto"/>
                      <w:sz w:val="18"/>
                      <w:szCs w:val="18"/>
                    </w:rPr>
                  </w:pPr>
                </w:p>
              </w:tc>
            </w:tr>
            <w:tr w14:paraId="5CB00CA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276" w:type="pct"/>
                  <w:tcBorders>
                    <w:left w:val="nil"/>
                  </w:tcBorders>
                  <w:shd w:val="clear" w:color="auto" w:fill="FFFFFF"/>
                  <w:noWrap/>
                  <w:vAlign w:val="center"/>
                </w:tcPr>
                <w:p w14:paraId="7E7605F8">
                  <w:pPr>
                    <w:widowControl/>
                    <w:jc w:val="center"/>
                    <w:textAlignment w:val="center"/>
                    <w:rPr>
                      <w:color w:val="auto"/>
                      <w:sz w:val="18"/>
                      <w:szCs w:val="18"/>
                    </w:rPr>
                  </w:pPr>
                </w:p>
              </w:tc>
              <w:tc>
                <w:tcPr>
                  <w:tcW w:w="1735" w:type="pct"/>
                  <w:shd w:val="clear" w:color="auto" w:fill="FFFFFF"/>
                  <w:noWrap/>
                  <w:vAlign w:val="center"/>
                </w:tcPr>
                <w:p w14:paraId="50888D2E">
                  <w:pPr>
                    <w:widowControl/>
                    <w:jc w:val="center"/>
                    <w:textAlignment w:val="center"/>
                    <w:rPr>
                      <w:color w:val="auto"/>
                      <w:sz w:val="18"/>
                      <w:szCs w:val="18"/>
                    </w:rPr>
                  </w:pPr>
                </w:p>
              </w:tc>
              <w:tc>
                <w:tcPr>
                  <w:tcW w:w="1007" w:type="pct"/>
                  <w:vMerge w:val="continue"/>
                  <w:shd w:val="clear" w:color="auto" w:fill="FFFFFF"/>
                  <w:noWrap/>
                  <w:vAlign w:val="center"/>
                </w:tcPr>
                <w:p w14:paraId="13380A3B">
                  <w:pPr>
                    <w:jc w:val="center"/>
                    <w:rPr>
                      <w:color w:val="auto"/>
                      <w:sz w:val="18"/>
                      <w:szCs w:val="18"/>
                    </w:rPr>
                  </w:pPr>
                </w:p>
              </w:tc>
              <w:tc>
                <w:tcPr>
                  <w:tcW w:w="980" w:type="pct"/>
                  <w:vMerge w:val="continue"/>
                  <w:tcBorders>
                    <w:right w:val="nil"/>
                  </w:tcBorders>
                  <w:shd w:val="clear" w:color="auto" w:fill="FFFFFF"/>
                  <w:noWrap/>
                  <w:vAlign w:val="center"/>
                </w:tcPr>
                <w:p w14:paraId="2F44C534">
                  <w:pPr>
                    <w:jc w:val="center"/>
                    <w:rPr>
                      <w:color w:val="auto"/>
                      <w:sz w:val="18"/>
                      <w:szCs w:val="18"/>
                    </w:rPr>
                  </w:pPr>
                </w:p>
              </w:tc>
            </w:tr>
            <w:tr w14:paraId="2824560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276" w:type="pct"/>
                  <w:vMerge w:val="restart"/>
                  <w:tcBorders>
                    <w:left w:val="nil"/>
                  </w:tcBorders>
                  <w:shd w:val="clear" w:color="auto" w:fill="FFFFFF"/>
                  <w:vAlign w:val="center"/>
                </w:tcPr>
                <w:p w14:paraId="21CA23E7">
                  <w:pPr>
                    <w:widowControl/>
                    <w:jc w:val="center"/>
                    <w:textAlignment w:val="center"/>
                    <w:rPr>
                      <w:color w:val="auto"/>
                      <w:sz w:val="18"/>
                      <w:szCs w:val="18"/>
                    </w:rPr>
                  </w:pPr>
                </w:p>
              </w:tc>
              <w:tc>
                <w:tcPr>
                  <w:tcW w:w="1735" w:type="pct"/>
                  <w:vMerge w:val="restart"/>
                  <w:shd w:val="clear" w:color="auto" w:fill="FFFFFF"/>
                  <w:vAlign w:val="center"/>
                </w:tcPr>
                <w:p w14:paraId="4566C64D">
                  <w:pPr>
                    <w:widowControl/>
                    <w:jc w:val="center"/>
                    <w:textAlignment w:val="center"/>
                    <w:rPr>
                      <w:color w:val="auto"/>
                      <w:sz w:val="18"/>
                      <w:szCs w:val="18"/>
                    </w:rPr>
                  </w:pPr>
                </w:p>
              </w:tc>
              <w:tc>
                <w:tcPr>
                  <w:tcW w:w="1007" w:type="pct"/>
                  <w:vMerge w:val="continue"/>
                  <w:shd w:val="clear" w:color="auto" w:fill="FFFFFF"/>
                  <w:noWrap/>
                  <w:vAlign w:val="center"/>
                </w:tcPr>
                <w:p w14:paraId="50400D1A">
                  <w:pPr>
                    <w:jc w:val="center"/>
                    <w:rPr>
                      <w:color w:val="auto"/>
                      <w:sz w:val="18"/>
                      <w:szCs w:val="18"/>
                    </w:rPr>
                  </w:pPr>
                </w:p>
              </w:tc>
              <w:tc>
                <w:tcPr>
                  <w:tcW w:w="980" w:type="pct"/>
                  <w:vMerge w:val="continue"/>
                  <w:tcBorders>
                    <w:right w:val="nil"/>
                  </w:tcBorders>
                  <w:shd w:val="clear" w:color="auto" w:fill="FFFFFF"/>
                  <w:noWrap/>
                  <w:vAlign w:val="center"/>
                </w:tcPr>
                <w:p w14:paraId="23144B52">
                  <w:pPr>
                    <w:jc w:val="center"/>
                    <w:rPr>
                      <w:color w:val="auto"/>
                      <w:sz w:val="18"/>
                      <w:szCs w:val="18"/>
                    </w:rPr>
                  </w:pPr>
                </w:p>
              </w:tc>
            </w:tr>
            <w:tr w14:paraId="7E0ED3E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276" w:type="pct"/>
                  <w:vMerge w:val="continue"/>
                  <w:tcBorders>
                    <w:left w:val="nil"/>
                    <w:bottom w:val="single" w:color="000000" w:sz="12" w:space="0"/>
                  </w:tcBorders>
                  <w:shd w:val="clear" w:color="auto" w:fill="FFFFFF"/>
                  <w:vAlign w:val="center"/>
                </w:tcPr>
                <w:p w14:paraId="1AACD562">
                  <w:pPr>
                    <w:jc w:val="center"/>
                    <w:rPr>
                      <w:color w:val="auto"/>
                      <w:sz w:val="18"/>
                      <w:szCs w:val="18"/>
                    </w:rPr>
                  </w:pPr>
                </w:p>
              </w:tc>
              <w:tc>
                <w:tcPr>
                  <w:tcW w:w="1735" w:type="pct"/>
                  <w:vMerge w:val="continue"/>
                  <w:tcBorders>
                    <w:bottom w:val="single" w:color="000000" w:sz="12" w:space="0"/>
                  </w:tcBorders>
                  <w:shd w:val="clear" w:color="auto" w:fill="FFFFFF"/>
                  <w:vAlign w:val="center"/>
                </w:tcPr>
                <w:p w14:paraId="755F2824">
                  <w:pPr>
                    <w:jc w:val="center"/>
                    <w:rPr>
                      <w:color w:val="auto"/>
                      <w:sz w:val="18"/>
                      <w:szCs w:val="18"/>
                    </w:rPr>
                  </w:pPr>
                </w:p>
              </w:tc>
              <w:tc>
                <w:tcPr>
                  <w:tcW w:w="1007" w:type="pct"/>
                  <w:vMerge w:val="continue"/>
                  <w:tcBorders>
                    <w:bottom w:val="single" w:color="000000" w:sz="12" w:space="0"/>
                  </w:tcBorders>
                  <w:shd w:val="clear" w:color="auto" w:fill="FFFFFF"/>
                  <w:noWrap/>
                  <w:vAlign w:val="center"/>
                </w:tcPr>
                <w:p w14:paraId="5D45C449">
                  <w:pPr>
                    <w:jc w:val="center"/>
                    <w:rPr>
                      <w:color w:val="auto"/>
                      <w:sz w:val="18"/>
                      <w:szCs w:val="18"/>
                    </w:rPr>
                  </w:pPr>
                </w:p>
              </w:tc>
              <w:tc>
                <w:tcPr>
                  <w:tcW w:w="980" w:type="pct"/>
                  <w:vMerge w:val="continue"/>
                  <w:tcBorders>
                    <w:bottom w:val="single" w:color="000000" w:sz="12" w:space="0"/>
                    <w:right w:val="nil"/>
                  </w:tcBorders>
                  <w:shd w:val="clear" w:color="auto" w:fill="FFFFFF"/>
                  <w:noWrap/>
                  <w:vAlign w:val="center"/>
                </w:tcPr>
                <w:p w14:paraId="4365778B">
                  <w:pPr>
                    <w:jc w:val="center"/>
                    <w:rPr>
                      <w:color w:val="auto"/>
                      <w:sz w:val="18"/>
                      <w:szCs w:val="18"/>
                    </w:rPr>
                  </w:pPr>
                </w:p>
              </w:tc>
            </w:tr>
          </w:tbl>
          <w:p w14:paraId="0DC802D9">
            <w:pPr>
              <w:snapToGrid w:val="0"/>
              <w:spacing w:line="500" w:lineRule="exact"/>
              <w:jc w:val="center"/>
              <w:rPr>
                <w:b/>
                <w:color w:val="auto"/>
                <w:szCs w:val="21"/>
              </w:rPr>
            </w:pPr>
            <w:r>
              <w:rPr>
                <w:rFonts w:hint="eastAsia"/>
                <w:b/>
                <w:color w:val="auto"/>
                <w:szCs w:val="21"/>
              </w:rPr>
              <w:t>表</w:t>
            </w:r>
            <w:r>
              <w:rPr>
                <w:b/>
                <w:color w:val="auto"/>
                <w:szCs w:val="21"/>
              </w:rPr>
              <w:t>2-13</w:t>
            </w:r>
            <w:r>
              <w:rPr>
                <w:rFonts w:hint="eastAsia"/>
                <w:b/>
                <w:color w:val="auto"/>
                <w:szCs w:val="21"/>
              </w:rPr>
              <w:t>（2）现有项目废气治理措施（已批在建）</w:t>
            </w:r>
          </w:p>
          <w:tbl>
            <w:tblPr>
              <w:tblStyle w:val="21"/>
              <w:tblW w:w="4998" w:type="pct"/>
              <w:tblInd w:w="0" w:type="dxa"/>
              <w:tblBorders>
                <w:top w:val="none" w:color="auto" w:sz="0"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959"/>
              <w:gridCol w:w="2855"/>
              <w:gridCol w:w="1173"/>
              <w:gridCol w:w="1436"/>
            </w:tblGrid>
            <w:tr w14:paraId="177E1A3D">
              <w:tblPrEx>
                <w:tblBorders>
                  <w:top w:val="none" w:color="auto" w:sz="0"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756" w:type="pct"/>
                  <w:vMerge w:val="restart"/>
                  <w:tcBorders>
                    <w:top w:val="single" w:color="000000" w:sz="12" w:space="0"/>
                    <w:left w:val="nil"/>
                    <w:tl2br w:val="nil"/>
                  </w:tcBorders>
                  <w:shd w:val="clear" w:color="auto" w:fill="FFFFFF"/>
                  <w:noWrap/>
                  <w:vAlign w:val="center"/>
                </w:tcPr>
                <w:p w14:paraId="1C9AE2B7">
                  <w:pPr>
                    <w:widowControl/>
                    <w:jc w:val="center"/>
                    <w:textAlignment w:val="center"/>
                    <w:rPr>
                      <w:b/>
                      <w:bCs/>
                      <w:color w:val="auto"/>
                      <w:sz w:val="18"/>
                      <w:szCs w:val="18"/>
                    </w:rPr>
                  </w:pPr>
                  <w:r>
                    <w:rPr>
                      <w:rFonts w:hint="eastAsia"/>
                      <w:b/>
                      <w:bCs/>
                      <w:color w:val="auto"/>
                      <w:kern w:val="0"/>
                      <w:sz w:val="18"/>
                      <w:szCs w:val="18"/>
                      <w:lang w:bidi="ar"/>
                    </w:rPr>
                    <w:t>污染源名称</w:t>
                  </w:r>
                </w:p>
              </w:tc>
              <w:tc>
                <w:tcPr>
                  <w:tcW w:w="1694" w:type="pct"/>
                  <w:vMerge w:val="restart"/>
                  <w:tcBorders>
                    <w:top w:val="single" w:color="000000" w:sz="12" w:space="0"/>
                  </w:tcBorders>
                  <w:shd w:val="clear" w:color="auto" w:fill="FFFFFF"/>
                  <w:noWrap/>
                  <w:vAlign w:val="center"/>
                </w:tcPr>
                <w:p w14:paraId="068C7C63">
                  <w:pPr>
                    <w:widowControl/>
                    <w:jc w:val="center"/>
                    <w:textAlignment w:val="center"/>
                    <w:rPr>
                      <w:b/>
                      <w:bCs/>
                      <w:color w:val="auto"/>
                      <w:sz w:val="18"/>
                      <w:szCs w:val="18"/>
                    </w:rPr>
                  </w:pPr>
                  <w:r>
                    <w:rPr>
                      <w:rFonts w:hint="eastAsia"/>
                      <w:b/>
                      <w:bCs/>
                      <w:color w:val="auto"/>
                      <w:kern w:val="0"/>
                      <w:sz w:val="18"/>
                      <w:szCs w:val="18"/>
                      <w:lang w:bidi="ar"/>
                    </w:rPr>
                    <w:t>治理措施</w:t>
                  </w:r>
                </w:p>
              </w:tc>
              <w:tc>
                <w:tcPr>
                  <w:tcW w:w="1548" w:type="pct"/>
                  <w:gridSpan w:val="2"/>
                  <w:tcBorders>
                    <w:top w:val="single" w:color="000000" w:sz="12" w:space="0"/>
                    <w:right w:val="nil"/>
                  </w:tcBorders>
                  <w:shd w:val="clear" w:color="auto" w:fill="FFFFFF"/>
                  <w:noWrap/>
                  <w:vAlign w:val="center"/>
                </w:tcPr>
                <w:p w14:paraId="1B34F1CD">
                  <w:pPr>
                    <w:widowControl/>
                    <w:jc w:val="center"/>
                    <w:textAlignment w:val="center"/>
                    <w:rPr>
                      <w:b/>
                      <w:bCs/>
                      <w:color w:val="auto"/>
                      <w:kern w:val="0"/>
                      <w:sz w:val="18"/>
                      <w:szCs w:val="18"/>
                      <w:lang w:bidi="ar"/>
                    </w:rPr>
                  </w:pPr>
                  <w:r>
                    <w:rPr>
                      <w:rFonts w:hint="eastAsia"/>
                      <w:b/>
                      <w:bCs/>
                      <w:color w:val="auto"/>
                      <w:kern w:val="0"/>
                      <w:sz w:val="18"/>
                      <w:szCs w:val="18"/>
                      <w:lang w:bidi="ar"/>
                    </w:rPr>
                    <w:t>排气筒参数</w:t>
                  </w:r>
                </w:p>
              </w:tc>
            </w:tr>
            <w:tr w14:paraId="5B63A1AD">
              <w:tblPrEx>
                <w:tblBorders>
                  <w:top w:val="none" w:color="auto" w:sz="0"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756" w:type="pct"/>
                  <w:vMerge w:val="continue"/>
                  <w:tcBorders>
                    <w:left w:val="nil"/>
                  </w:tcBorders>
                  <w:shd w:val="clear" w:color="auto" w:fill="FFFFFF"/>
                  <w:noWrap/>
                  <w:vAlign w:val="center"/>
                </w:tcPr>
                <w:p w14:paraId="60BB6E24">
                  <w:pPr>
                    <w:jc w:val="center"/>
                    <w:rPr>
                      <w:b/>
                      <w:bCs/>
                      <w:color w:val="auto"/>
                      <w:sz w:val="18"/>
                      <w:szCs w:val="18"/>
                    </w:rPr>
                  </w:pPr>
                </w:p>
              </w:tc>
              <w:tc>
                <w:tcPr>
                  <w:tcW w:w="1694" w:type="pct"/>
                  <w:vMerge w:val="continue"/>
                  <w:shd w:val="clear" w:color="auto" w:fill="FFFFFF"/>
                  <w:noWrap/>
                  <w:vAlign w:val="center"/>
                </w:tcPr>
                <w:p w14:paraId="015432EB">
                  <w:pPr>
                    <w:jc w:val="center"/>
                    <w:rPr>
                      <w:b/>
                      <w:bCs/>
                      <w:color w:val="auto"/>
                      <w:sz w:val="18"/>
                      <w:szCs w:val="18"/>
                    </w:rPr>
                  </w:pPr>
                </w:p>
              </w:tc>
              <w:tc>
                <w:tcPr>
                  <w:tcW w:w="696" w:type="pct"/>
                  <w:shd w:val="clear" w:color="auto" w:fill="FFFFFF"/>
                  <w:noWrap/>
                  <w:vAlign w:val="center"/>
                </w:tcPr>
                <w:p w14:paraId="48622C4B">
                  <w:pPr>
                    <w:widowControl/>
                    <w:jc w:val="center"/>
                    <w:textAlignment w:val="center"/>
                    <w:rPr>
                      <w:b/>
                      <w:bCs/>
                      <w:color w:val="auto"/>
                      <w:sz w:val="18"/>
                      <w:szCs w:val="18"/>
                    </w:rPr>
                  </w:pPr>
                  <w:r>
                    <w:rPr>
                      <w:rFonts w:hint="eastAsia"/>
                      <w:b/>
                      <w:bCs/>
                      <w:color w:val="auto"/>
                      <w:kern w:val="0"/>
                      <w:sz w:val="18"/>
                      <w:szCs w:val="18"/>
                      <w:lang w:bidi="ar"/>
                    </w:rPr>
                    <w:t>高度</w:t>
                  </w:r>
                  <w:r>
                    <w:rPr>
                      <w:b/>
                      <w:bCs/>
                      <w:color w:val="auto"/>
                      <w:kern w:val="0"/>
                      <w:sz w:val="18"/>
                      <w:szCs w:val="18"/>
                      <w:lang w:bidi="ar"/>
                    </w:rPr>
                    <w:t>m</w:t>
                  </w:r>
                </w:p>
              </w:tc>
              <w:tc>
                <w:tcPr>
                  <w:tcW w:w="851" w:type="pct"/>
                  <w:tcBorders>
                    <w:right w:val="nil"/>
                  </w:tcBorders>
                  <w:shd w:val="clear" w:color="auto" w:fill="FFFFFF"/>
                  <w:noWrap/>
                  <w:vAlign w:val="center"/>
                </w:tcPr>
                <w:p w14:paraId="5B71B620">
                  <w:pPr>
                    <w:widowControl/>
                    <w:jc w:val="center"/>
                    <w:textAlignment w:val="center"/>
                    <w:rPr>
                      <w:b/>
                      <w:bCs/>
                      <w:color w:val="auto"/>
                      <w:sz w:val="18"/>
                      <w:szCs w:val="18"/>
                    </w:rPr>
                  </w:pPr>
                  <w:r>
                    <w:rPr>
                      <w:rFonts w:hint="eastAsia"/>
                      <w:b/>
                      <w:bCs/>
                      <w:color w:val="auto"/>
                      <w:kern w:val="0"/>
                      <w:sz w:val="18"/>
                      <w:szCs w:val="18"/>
                      <w:lang w:bidi="ar"/>
                    </w:rPr>
                    <w:t>编号</w:t>
                  </w:r>
                </w:p>
              </w:tc>
            </w:tr>
            <w:tr w14:paraId="14CF67B7">
              <w:tblPrEx>
                <w:tblBorders>
                  <w:top w:val="none" w:color="auto" w:sz="0"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1756" w:type="pct"/>
                  <w:tcBorders>
                    <w:left w:val="nil"/>
                  </w:tcBorders>
                  <w:shd w:val="clear" w:color="auto" w:fill="FFFFFF"/>
                  <w:noWrap/>
                  <w:vAlign w:val="center"/>
                </w:tcPr>
                <w:p w14:paraId="61FBB6C3">
                  <w:pPr>
                    <w:widowControl/>
                    <w:jc w:val="center"/>
                    <w:textAlignment w:val="center"/>
                    <w:rPr>
                      <w:color w:val="auto"/>
                      <w:sz w:val="18"/>
                      <w:szCs w:val="18"/>
                    </w:rPr>
                  </w:pPr>
                </w:p>
              </w:tc>
              <w:tc>
                <w:tcPr>
                  <w:tcW w:w="1694" w:type="pct"/>
                  <w:shd w:val="clear" w:color="auto" w:fill="FFFFFF"/>
                  <w:noWrap/>
                  <w:vAlign w:val="center"/>
                </w:tcPr>
                <w:p w14:paraId="2A5FCF96">
                  <w:pPr>
                    <w:widowControl/>
                    <w:jc w:val="center"/>
                    <w:textAlignment w:val="center"/>
                    <w:rPr>
                      <w:color w:val="auto"/>
                      <w:sz w:val="18"/>
                      <w:szCs w:val="18"/>
                    </w:rPr>
                  </w:pPr>
                </w:p>
              </w:tc>
              <w:tc>
                <w:tcPr>
                  <w:tcW w:w="696" w:type="pct"/>
                  <w:shd w:val="clear" w:color="auto" w:fill="FFFFFF"/>
                  <w:noWrap/>
                  <w:vAlign w:val="center"/>
                </w:tcPr>
                <w:p w14:paraId="454972C6">
                  <w:pPr>
                    <w:widowControl/>
                    <w:jc w:val="center"/>
                    <w:textAlignment w:val="center"/>
                    <w:rPr>
                      <w:color w:val="auto"/>
                      <w:sz w:val="18"/>
                      <w:szCs w:val="18"/>
                    </w:rPr>
                  </w:pPr>
                </w:p>
              </w:tc>
              <w:tc>
                <w:tcPr>
                  <w:tcW w:w="851" w:type="pct"/>
                  <w:tcBorders>
                    <w:right w:val="nil"/>
                  </w:tcBorders>
                  <w:shd w:val="clear" w:color="auto" w:fill="FFFFFF"/>
                  <w:noWrap/>
                  <w:vAlign w:val="center"/>
                </w:tcPr>
                <w:p w14:paraId="076BC676">
                  <w:pPr>
                    <w:widowControl/>
                    <w:jc w:val="center"/>
                    <w:textAlignment w:val="center"/>
                    <w:rPr>
                      <w:color w:val="auto"/>
                      <w:sz w:val="18"/>
                      <w:szCs w:val="18"/>
                    </w:rPr>
                  </w:pPr>
                </w:p>
              </w:tc>
            </w:tr>
            <w:tr w14:paraId="799E0857">
              <w:tblPrEx>
                <w:tblBorders>
                  <w:top w:val="none" w:color="auto" w:sz="0"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756" w:type="pct"/>
                  <w:tcBorders>
                    <w:left w:val="nil"/>
                  </w:tcBorders>
                  <w:shd w:val="clear" w:color="auto" w:fill="FFFFFF"/>
                  <w:noWrap/>
                  <w:vAlign w:val="center"/>
                </w:tcPr>
                <w:p w14:paraId="5BF76B26">
                  <w:pPr>
                    <w:widowControl/>
                    <w:jc w:val="center"/>
                    <w:textAlignment w:val="center"/>
                    <w:rPr>
                      <w:color w:val="auto"/>
                      <w:kern w:val="0"/>
                      <w:sz w:val="18"/>
                      <w:szCs w:val="18"/>
                      <w:lang w:bidi="ar"/>
                    </w:rPr>
                  </w:pPr>
                </w:p>
              </w:tc>
              <w:tc>
                <w:tcPr>
                  <w:tcW w:w="1694" w:type="pct"/>
                  <w:shd w:val="clear" w:color="auto" w:fill="FFFFFF"/>
                  <w:noWrap/>
                  <w:vAlign w:val="center"/>
                </w:tcPr>
                <w:p w14:paraId="211D9744">
                  <w:pPr>
                    <w:widowControl/>
                    <w:jc w:val="center"/>
                    <w:textAlignment w:val="center"/>
                    <w:rPr>
                      <w:color w:val="auto"/>
                      <w:kern w:val="0"/>
                      <w:sz w:val="18"/>
                      <w:szCs w:val="18"/>
                      <w:lang w:bidi="ar"/>
                    </w:rPr>
                  </w:pPr>
                </w:p>
              </w:tc>
              <w:tc>
                <w:tcPr>
                  <w:tcW w:w="696" w:type="pct"/>
                  <w:shd w:val="clear" w:color="auto" w:fill="FFFFFF"/>
                  <w:noWrap/>
                  <w:vAlign w:val="center"/>
                </w:tcPr>
                <w:p w14:paraId="0C2FFA00">
                  <w:pPr>
                    <w:widowControl/>
                    <w:jc w:val="center"/>
                    <w:textAlignment w:val="center"/>
                    <w:rPr>
                      <w:color w:val="auto"/>
                      <w:kern w:val="0"/>
                      <w:sz w:val="18"/>
                      <w:szCs w:val="18"/>
                      <w:lang w:bidi="ar"/>
                    </w:rPr>
                  </w:pPr>
                </w:p>
              </w:tc>
              <w:tc>
                <w:tcPr>
                  <w:tcW w:w="851" w:type="pct"/>
                  <w:tcBorders>
                    <w:right w:val="nil"/>
                  </w:tcBorders>
                  <w:shd w:val="clear" w:color="auto" w:fill="FFFFFF"/>
                  <w:noWrap/>
                  <w:vAlign w:val="center"/>
                </w:tcPr>
                <w:p w14:paraId="654060D4">
                  <w:pPr>
                    <w:widowControl/>
                    <w:jc w:val="center"/>
                    <w:textAlignment w:val="center"/>
                    <w:rPr>
                      <w:color w:val="auto"/>
                      <w:kern w:val="0"/>
                      <w:sz w:val="18"/>
                      <w:szCs w:val="18"/>
                      <w:lang w:bidi="ar"/>
                    </w:rPr>
                  </w:pPr>
                </w:p>
              </w:tc>
            </w:tr>
          </w:tbl>
          <w:p w14:paraId="31CFB917">
            <w:pPr>
              <w:adjustRightInd w:val="0"/>
              <w:snapToGrid w:val="0"/>
              <w:spacing w:line="500" w:lineRule="exact"/>
              <w:ind w:firstLine="420" w:firstLineChars="200"/>
              <w:rPr>
                <w:bCs/>
                <w:color w:val="auto"/>
                <w:szCs w:val="21"/>
              </w:rPr>
            </w:pPr>
            <w:r>
              <w:rPr>
                <w:rFonts w:hint="eastAsia"/>
                <w:bCs/>
                <w:color w:val="auto"/>
                <w:szCs w:val="21"/>
              </w:rPr>
              <w:t>现有已建已验项目各排气筒污染物排放监测数据统计见表2-14。根据表2-14监测结果，各排气筒各污染物排放浓度及速率均能满足相应排放标准要求。</w:t>
            </w:r>
          </w:p>
          <w:p w14:paraId="18D04650">
            <w:pPr>
              <w:snapToGrid w:val="0"/>
              <w:spacing w:line="500" w:lineRule="exact"/>
              <w:jc w:val="center"/>
              <w:rPr>
                <w:b/>
                <w:color w:val="auto"/>
                <w:szCs w:val="21"/>
              </w:rPr>
            </w:pPr>
            <w:r>
              <w:rPr>
                <w:b/>
                <w:color w:val="auto"/>
                <w:szCs w:val="21"/>
              </w:rPr>
              <w:t>表2-14现有</w:t>
            </w:r>
            <w:r>
              <w:rPr>
                <w:rFonts w:hint="eastAsia"/>
                <w:b/>
                <w:color w:val="auto"/>
                <w:szCs w:val="21"/>
              </w:rPr>
              <w:t>已建已验</w:t>
            </w:r>
            <w:r>
              <w:rPr>
                <w:b/>
                <w:color w:val="auto"/>
                <w:szCs w:val="21"/>
              </w:rPr>
              <w:t>项目</w:t>
            </w:r>
            <w:r>
              <w:rPr>
                <w:rFonts w:hint="eastAsia"/>
                <w:b/>
                <w:color w:val="auto"/>
                <w:szCs w:val="21"/>
              </w:rPr>
              <w:t>排气筒监测数据统计表</w:t>
            </w:r>
          </w:p>
          <w:tbl>
            <w:tblPr>
              <w:tblStyle w:val="21"/>
              <w:tblW w:w="4991" w:type="pct"/>
              <w:tblInd w:w="0" w:type="dxa"/>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12"/>
              <w:gridCol w:w="1148"/>
              <w:gridCol w:w="1052"/>
              <w:gridCol w:w="1514"/>
              <w:gridCol w:w="1769"/>
              <w:gridCol w:w="958"/>
              <w:gridCol w:w="958"/>
            </w:tblGrid>
            <w:tr w14:paraId="3D8B3002">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01" w:type="pct"/>
                  <w:shd w:val="clear" w:color="auto" w:fill="FFFFFF"/>
                  <w:noWrap/>
                  <w:vAlign w:val="center"/>
                </w:tcPr>
                <w:p w14:paraId="61270A33">
                  <w:pPr>
                    <w:widowControl/>
                    <w:jc w:val="center"/>
                    <w:textAlignment w:val="center"/>
                    <w:rPr>
                      <w:rFonts w:cs="宋体"/>
                      <w:b/>
                      <w:color w:val="auto"/>
                      <w:sz w:val="18"/>
                      <w:szCs w:val="18"/>
                    </w:rPr>
                  </w:pPr>
                  <w:r>
                    <w:rPr>
                      <w:rFonts w:hint="eastAsia" w:cs="宋体"/>
                      <w:b/>
                      <w:color w:val="auto"/>
                      <w:kern w:val="0"/>
                      <w:sz w:val="18"/>
                      <w:szCs w:val="18"/>
                      <w:lang w:bidi="ar"/>
                    </w:rPr>
                    <w:t>监测点位</w:t>
                  </w:r>
                </w:p>
              </w:tc>
              <w:tc>
                <w:tcPr>
                  <w:tcW w:w="682" w:type="pct"/>
                  <w:shd w:val="clear" w:color="auto" w:fill="FFFFFF"/>
                  <w:noWrap/>
                  <w:vAlign w:val="center"/>
                </w:tcPr>
                <w:p w14:paraId="31BF3ECA">
                  <w:pPr>
                    <w:widowControl/>
                    <w:jc w:val="center"/>
                    <w:textAlignment w:val="center"/>
                    <w:rPr>
                      <w:rFonts w:cs="宋体"/>
                      <w:b/>
                      <w:color w:val="auto"/>
                      <w:sz w:val="18"/>
                      <w:szCs w:val="18"/>
                    </w:rPr>
                  </w:pPr>
                  <w:r>
                    <w:rPr>
                      <w:rFonts w:hint="eastAsia" w:cs="宋体"/>
                      <w:b/>
                      <w:color w:val="auto"/>
                      <w:kern w:val="0"/>
                      <w:sz w:val="18"/>
                      <w:szCs w:val="18"/>
                      <w:lang w:bidi="ar"/>
                    </w:rPr>
                    <w:t>检测因子</w:t>
                  </w:r>
                </w:p>
              </w:tc>
              <w:tc>
                <w:tcPr>
                  <w:tcW w:w="625" w:type="pct"/>
                  <w:shd w:val="clear" w:color="auto" w:fill="FFFFFF"/>
                  <w:noWrap/>
                  <w:vAlign w:val="center"/>
                </w:tcPr>
                <w:p w14:paraId="10D89351">
                  <w:pPr>
                    <w:widowControl/>
                    <w:jc w:val="center"/>
                    <w:textAlignment w:val="center"/>
                    <w:rPr>
                      <w:rFonts w:cs="宋体"/>
                      <w:b/>
                      <w:color w:val="auto"/>
                      <w:sz w:val="18"/>
                      <w:szCs w:val="18"/>
                    </w:rPr>
                  </w:pPr>
                  <w:r>
                    <w:rPr>
                      <w:rFonts w:hint="eastAsia" w:cs="宋体"/>
                      <w:b/>
                      <w:color w:val="auto"/>
                      <w:kern w:val="0"/>
                      <w:sz w:val="18"/>
                      <w:szCs w:val="18"/>
                      <w:lang w:bidi="ar"/>
                    </w:rPr>
                    <w:t>采样日期</w:t>
                  </w:r>
                </w:p>
              </w:tc>
              <w:tc>
                <w:tcPr>
                  <w:tcW w:w="899" w:type="pct"/>
                  <w:shd w:val="clear" w:color="auto" w:fill="FFFFFF"/>
                  <w:noWrap/>
                  <w:vAlign w:val="center"/>
                </w:tcPr>
                <w:p w14:paraId="5F984C49">
                  <w:pPr>
                    <w:widowControl/>
                    <w:jc w:val="center"/>
                    <w:textAlignment w:val="center"/>
                    <w:rPr>
                      <w:rFonts w:cs="宋体"/>
                      <w:b/>
                      <w:color w:val="auto"/>
                      <w:sz w:val="18"/>
                      <w:szCs w:val="18"/>
                    </w:rPr>
                  </w:pPr>
                  <w:r>
                    <w:rPr>
                      <w:rFonts w:hint="eastAsia" w:cs="宋体"/>
                      <w:b/>
                      <w:color w:val="auto"/>
                      <w:kern w:val="0"/>
                      <w:sz w:val="18"/>
                      <w:szCs w:val="18"/>
                      <w:lang w:bidi="ar"/>
                    </w:rPr>
                    <w:t>检测项目</w:t>
                  </w:r>
                </w:p>
              </w:tc>
              <w:tc>
                <w:tcPr>
                  <w:tcW w:w="1051" w:type="pct"/>
                  <w:shd w:val="clear" w:color="auto" w:fill="FFFFFF"/>
                  <w:noWrap/>
                  <w:vAlign w:val="center"/>
                </w:tcPr>
                <w:p w14:paraId="70B37FC2">
                  <w:pPr>
                    <w:widowControl/>
                    <w:jc w:val="center"/>
                    <w:textAlignment w:val="center"/>
                    <w:rPr>
                      <w:rFonts w:cs="宋体"/>
                      <w:b/>
                      <w:color w:val="auto"/>
                      <w:sz w:val="18"/>
                      <w:szCs w:val="18"/>
                    </w:rPr>
                  </w:pPr>
                  <w:r>
                    <w:rPr>
                      <w:rFonts w:hint="eastAsia" w:cs="宋体"/>
                      <w:b/>
                      <w:color w:val="auto"/>
                      <w:kern w:val="0"/>
                      <w:sz w:val="18"/>
                      <w:szCs w:val="18"/>
                      <w:lang w:bidi="ar"/>
                    </w:rPr>
                    <w:t>监测结果</w:t>
                  </w:r>
                </w:p>
              </w:tc>
              <w:tc>
                <w:tcPr>
                  <w:tcW w:w="569" w:type="pct"/>
                  <w:shd w:val="clear" w:color="auto" w:fill="FFFFFF"/>
                  <w:noWrap/>
                  <w:vAlign w:val="center"/>
                </w:tcPr>
                <w:p w14:paraId="31391D41">
                  <w:pPr>
                    <w:widowControl/>
                    <w:jc w:val="center"/>
                    <w:textAlignment w:val="center"/>
                    <w:rPr>
                      <w:rFonts w:cs="宋体"/>
                      <w:b/>
                      <w:color w:val="auto"/>
                      <w:sz w:val="18"/>
                      <w:szCs w:val="18"/>
                    </w:rPr>
                  </w:pPr>
                  <w:r>
                    <w:rPr>
                      <w:rFonts w:hint="eastAsia" w:cs="宋体"/>
                      <w:b/>
                      <w:color w:val="auto"/>
                      <w:kern w:val="0"/>
                      <w:sz w:val="18"/>
                      <w:szCs w:val="18"/>
                      <w:lang w:bidi="ar"/>
                    </w:rPr>
                    <w:t>标准限值</w:t>
                  </w:r>
                </w:p>
              </w:tc>
              <w:tc>
                <w:tcPr>
                  <w:tcW w:w="569" w:type="pct"/>
                  <w:shd w:val="clear" w:color="auto" w:fill="FFFFFF"/>
                  <w:noWrap/>
                  <w:vAlign w:val="center"/>
                </w:tcPr>
                <w:p w14:paraId="7724101D">
                  <w:pPr>
                    <w:widowControl/>
                    <w:jc w:val="center"/>
                    <w:textAlignment w:val="center"/>
                    <w:rPr>
                      <w:rFonts w:cs="宋体"/>
                      <w:b/>
                      <w:color w:val="auto"/>
                      <w:sz w:val="18"/>
                      <w:szCs w:val="18"/>
                    </w:rPr>
                  </w:pPr>
                  <w:r>
                    <w:rPr>
                      <w:rFonts w:hint="eastAsia" w:cs="宋体"/>
                      <w:b/>
                      <w:color w:val="auto"/>
                      <w:kern w:val="0"/>
                      <w:sz w:val="18"/>
                      <w:szCs w:val="18"/>
                      <w:lang w:bidi="ar"/>
                    </w:rPr>
                    <w:t>达标判定</w:t>
                  </w:r>
                </w:p>
              </w:tc>
            </w:tr>
            <w:tr w14:paraId="54D6EDAD">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01" w:type="pct"/>
                  <w:vMerge w:val="restart"/>
                  <w:shd w:val="clear" w:color="auto" w:fill="FFFFFF"/>
                  <w:noWrap/>
                  <w:vAlign w:val="center"/>
                </w:tcPr>
                <w:p w14:paraId="1FBD7FCA">
                  <w:pPr>
                    <w:widowControl/>
                    <w:jc w:val="center"/>
                    <w:textAlignment w:val="center"/>
                    <w:rPr>
                      <w:color w:val="auto"/>
                      <w:sz w:val="18"/>
                      <w:szCs w:val="18"/>
                    </w:rPr>
                  </w:pPr>
                </w:p>
              </w:tc>
              <w:tc>
                <w:tcPr>
                  <w:tcW w:w="682" w:type="pct"/>
                  <w:vMerge w:val="restart"/>
                  <w:shd w:val="clear" w:color="auto" w:fill="FFFFFF"/>
                  <w:noWrap/>
                  <w:vAlign w:val="center"/>
                </w:tcPr>
                <w:p w14:paraId="43DC31AA">
                  <w:pPr>
                    <w:widowControl/>
                    <w:jc w:val="center"/>
                    <w:textAlignment w:val="center"/>
                    <w:rPr>
                      <w:rFonts w:cs="宋体"/>
                      <w:color w:val="auto"/>
                      <w:sz w:val="18"/>
                      <w:szCs w:val="18"/>
                    </w:rPr>
                  </w:pPr>
                </w:p>
              </w:tc>
              <w:tc>
                <w:tcPr>
                  <w:tcW w:w="625" w:type="pct"/>
                  <w:vMerge w:val="restart"/>
                  <w:shd w:val="clear" w:color="auto" w:fill="FFFFFF"/>
                  <w:noWrap/>
                  <w:vAlign w:val="center"/>
                </w:tcPr>
                <w:p w14:paraId="716A12F5">
                  <w:pPr>
                    <w:widowControl/>
                    <w:jc w:val="center"/>
                    <w:textAlignment w:val="center"/>
                    <w:rPr>
                      <w:color w:val="auto"/>
                      <w:sz w:val="18"/>
                      <w:szCs w:val="18"/>
                    </w:rPr>
                  </w:pPr>
                </w:p>
              </w:tc>
              <w:tc>
                <w:tcPr>
                  <w:tcW w:w="899" w:type="pct"/>
                  <w:shd w:val="clear" w:color="auto" w:fill="FFFFFF"/>
                  <w:noWrap/>
                  <w:vAlign w:val="center"/>
                </w:tcPr>
                <w:p w14:paraId="0D6636CB">
                  <w:pPr>
                    <w:widowControl/>
                    <w:jc w:val="center"/>
                    <w:textAlignment w:val="center"/>
                    <w:rPr>
                      <w:rFonts w:cs="宋体"/>
                      <w:color w:val="auto"/>
                      <w:sz w:val="18"/>
                      <w:szCs w:val="18"/>
                    </w:rPr>
                  </w:pPr>
                </w:p>
              </w:tc>
              <w:tc>
                <w:tcPr>
                  <w:tcW w:w="1051" w:type="pct"/>
                  <w:shd w:val="clear" w:color="auto" w:fill="FFFFFF"/>
                  <w:noWrap/>
                  <w:vAlign w:val="center"/>
                </w:tcPr>
                <w:p w14:paraId="2550D1E7">
                  <w:pPr>
                    <w:widowControl/>
                    <w:jc w:val="center"/>
                    <w:textAlignment w:val="center"/>
                    <w:rPr>
                      <w:color w:val="auto"/>
                      <w:sz w:val="18"/>
                      <w:szCs w:val="18"/>
                    </w:rPr>
                  </w:pPr>
                </w:p>
              </w:tc>
              <w:tc>
                <w:tcPr>
                  <w:tcW w:w="569" w:type="pct"/>
                  <w:shd w:val="clear" w:color="auto" w:fill="FFFFFF"/>
                  <w:noWrap/>
                  <w:vAlign w:val="center"/>
                </w:tcPr>
                <w:p w14:paraId="289161B0">
                  <w:pPr>
                    <w:widowControl/>
                    <w:jc w:val="center"/>
                    <w:textAlignment w:val="center"/>
                    <w:rPr>
                      <w:color w:val="auto"/>
                      <w:sz w:val="18"/>
                      <w:szCs w:val="18"/>
                    </w:rPr>
                  </w:pPr>
                </w:p>
              </w:tc>
              <w:tc>
                <w:tcPr>
                  <w:tcW w:w="569" w:type="pct"/>
                  <w:shd w:val="clear" w:color="auto" w:fill="FFFFFF"/>
                  <w:noWrap/>
                  <w:vAlign w:val="center"/>
                </w:tcPr>
                <w:p w14:paraId="6C5D5D73">
                  <w:pPr>
                    <w:widowControl/>
                    <w:jc w:val="center"/>
                    <w:textAlignment w:val="center"/>
                    <w:rPr>
                      <w:rFonts w:cs="宋体"/>
                      <w:color w:val="auto"/>
                      <w:sz w:val="18"/>
                      <w:szCs w:val="18"/>
                    </w:rPr>
                  </w:pPr>
                </w:p>
              </w:tc>
            </w:tr>
            <w:tr w14:paraId="2B29CCEB">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01" w:type="pct"/>
                  <w:vMerge w:val="continue"/>
                  <w:shd w:val="clear" w:color="auto" w:fill="FFFFFF"/>
                  <w:noWrap/>
                  <w:vAlign w:val="center"/>
                </w:tcPr>
                <w:p w14:paraId="5468EB13">
                  <w:pPr>
                    <w:jc w:val="center"/>
                    <w:rPr>
                      <w:color w:val="auto"/>
                      <w:sz w:val="18"/>
                      <w:szCs w:val="18"/>
                    </w:rPr>
                  </w:pPr>
                </w:p>
              </w:tc>
              <w:tc>
                <w:tcPr>
                  <w:tcW w:w="682" w:type="pct"/>
                  <w:vMerge w:val="continue"/>
                  <w:shd w:val="clear" w:color="auto" w:fill="FFFFFF"/>
                  <w:noWrap/>
                  <w:vAlign w:val="center"/>
                </w:tcPr>
                <w:p w14:paraId="580F20F3">
                  <w:pPr>
                    <w:jc w:val="center"/>
                    <w:rPr>
                      <w:rFonts w:cs="宋体"/>
                      <w:color w:val="auto"/>
                      <w:sz w:val="18"/>
                      <w:szCs w:val="18"/>
                    </w:rPr>
                  </w:pPr>
                </w:p>
              </w:tc>
              <w:tc>
                <w:tcPr>
                  <w:tcW w:w="625" w:type="pct"/>
                  <w:vMerge w:val="continue"/>
                  <w:shd w:val="clear" w:color="auto" w:fill="FFFFFF"/>
                  <w:noWrap/>
                  <w:vAlign w:val="center"/>
                </w:tcPr>
                <w:p w14:paraId="576FFD71">
                  <w:pPr>
                    <w:jc w:val="center"/>
                    <w:rPr>
                      <w:color w:val="auto"/>
                      <w:sz w:val="18"/>
                      <w:szCs w:val="18"/>
                    </w:rPr>
                  </w:pPr>
                </w:p>
              </w:tc>
              <w:tc>
                <w:tcPr>
                  <w:tcW w:w="899" w:type="pct"/>
                  <w:shd w:val="clear" w:color="auto" w:fill="FFFFFF"/>
                  <w:noWrap/>
                  <w:vAlign w:val="center"/>
                </w:tcPr>
                <w:p w14:paraId="7E5AB8DB">
                  <w:pPr>
                    <w:widowControl/>
                    <w:jc w:val="center"/>
                    <w:textAlignment w:val="center"/>
                    <w:rPr>
                      <w:rFonts w:cs="宋体"/>
                      <w:color w:val="auto"/>
                      <w:sz w:val="18"/>
                      <w:szCs w:val="18"/>
                    </w:rPr>
                  </w:pPr>
                </w:p>
              </w:tc>
              <w:tc>
                <w:tcPr>
                  <w:tcW w:w="1051" w:type="pct"/>
                  <w:shd w:val="clear" w:color="auto" w:fill="FFFFFF"/>
                  <w:noWrap/>
                  <w:vAlign w:val="center"/>
                </w:tcPr>
                <w:p w14:paraId="79729D78">
                  <w:pPr>
                    <w:widowControl/>
                    <w:jc w:val="center"/>
                    <w:textAlignment w:val="center"/>
                    <w:rPr>
                      <w:color w:val="auto"/>
                      <w:sz w:val="18"/>
                      <w:szCs w:val="18"/>
                    </w:rPr>
                  </w:pPr>
                </w:p>
              </w:tc>
              <w:tc>
                <w:tcPr>
                  <w:tcW w:w="569" w:type="pct"/>
                  <w:shd w:val="clear" w:color="auto" w:fill="FFFFFF"/>
                  <w:noWrap/>
                  <w:vAlign w:val="center"/>
                </w:tcPr>
                <w:p w14:paraId="3D1004CC">
                  <w:pPr>
                    <w:widowControl/>
                    <w:jc w:val="center"/>
                    <w:textAlignment w:val="center"/>
                    <w:rPr>
                      <w:color w:val="auto"/>
                      <w:sz w:val="18"/>
                      <w:szCs w:val="18"/>
                    </w:rPr>
                  </w:pPr>
                </w:p>
              </w:tc>
              <w:tc>
                <w:tcPr>
                  <w:tcW w:w="569" w:type="pct"/>
                  <w:shd w:val="clear" w:color="auto" w:fill="FFFFFF"/>
                  <w:noWrap/>
                  <w:vAlign w:val="center"/>
                </w:tcPr>
                <w:p w14:paraId="2A94D7DC">
                  <w:pPr>
                    <w:widowControl/>
                    <w:jc w:val="center"/>
                    <w:textAlignment w:val="center"/>
                    <w:rPr>
                      <w:rFonts w:cs="宋体"/>
                      <w:color w:val="auto"/>
                      <w:sz w:val="18"/>
                      <w:szCs w:val="18"/>
                    </w:rPr>
                  </w:pPr>
                </w:p>
              </w:tc>
            </w:tr>
            <w:tr w14:paraId="5C051CE0">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01" w:type="pct"/>
                  <w:vMerge w:val="continue"/>
                  <w:shd w:val="clear" w:color="auto" w:fill="FFFFFF"/>
                  <w:noWrap/>
                  <w:vAlign w:val="center"/>
                </w:tcPr>
                <w:p w14:paraId="7DA71D79">
                  <w:pPr>
                    <w:jc w:val="center"/>
                    <w:rPr>
                      <w:color w:val="auto"/>
                      <w:sz w:val="18"/>
                      <w:szCs w:val="18"/>
                    </w:rPr>
                  </w:pPr>
                </w:p>
              </w:tc>
              <w:tc>
                <w:tcPr>
                  <w:tcW w:w="682" w:type="pct"/>
                  <w:vMerge w:val="continue"/>
                  <w:shd w:val="clear" w:color="auto" w:fill="FFFFFF"/>
                  <w:noWrap/>
                  <w:vAlign w:val="center"/>
                </w:tcPr>
                <w:p w14:paraId="0F229D73">
                  <w:pPr>
                    <w:jc w:val="center"/>
                    <w:rPr>
                      <w:rFonts w:cs="宋体"/>
                      <w:color w:val="auto"/>
                      <w:sz w:val="18"/>
                      <w:szCs w:val="18"/>
                    </w:rPr>
                  </w:pPr>
                </w:p>
              </w:tc>
              <w:tc>
                <w:tcPr>
                  <w:tcW w:w="625" w:type="pct"/>
                  <w:vMerge w:val="restart"/>
                  <w:shd w:val="clear" w:color="auto" w:fill="FFFFFF"/>
                  <w:noWrap/>
                  <w:vAlign w:val="center"/>
                </w:tcPr>
                <w:p w14:paraId="3DFF0D3C">
                  <w:pPr>
                    <w:widowControl/>
                    <w:jc w:val="center"/>
                    <w:textAlignment w:val="center"/>
                    <w:rPr>
                      <w:color w:val="auto"/>
                      <w:sz w:val="18"/>
                      <w:szCs w:val="18"/>
                    </w:rPr>
                  </w:pPr>
                </w:p>
              </w:tc>
              <w:tc>
                <w:tcPr>
                  <w:tcW w:w="899" w:type="pct"/>
                  <w:shd w:val="clear" w:color="auto" w:fill="FFFFFF"/>
                  <w:noWrap/>
                  <w:vAlign w:val="center"/>
                </w:tcPr>
                <w:p w14:paraId="7CAB8312">
                  <w:pPr>
                    <w:widowControl/>
                    <w:jc w:val="center"/>
                    <w:textAlignment w:val="center"/>
                    <w:rPr>
                      <w:rFonts w:cs="宋体"/>
                      <w:color w:val="auto"/>
                      <w:sz w:val="18"/>
                      <w:szCs w:val="18"/>
                    </w:rPr>
                  </w:pPr>
                </w:p>
              </w:tc>
              <w:tc>
                <w:tcPr>
                  <w:tcW w:w="1051" w:type="pct"/>
                  <w:shd w:val="clear" w:color="auto" w:fill="FFFFFF"/>
                  <w:noWrap/>
                  <w:vAlign w:val="center"/>
                </w:tcPr>
                <w:p w14:paraId="5AD0464B">
                  <w:pPr>
                    <w:widowControl/>
                    <w:jc w:val="center"/>
                    <w:textAlignment w:val="center"/>
                    <w:rPr>
                      <w:color w:val="auto"/>
                      <w:sz w:val="18"/>
                      <w:szCs w:val="18"/>
                    </w:rPr>
                  </w:pPr>
                </w:p>
              </w:tc>
              <w:tc>
                <w:tcPr>
                  <w:tcW w:w="569" w:type="pct"/>
                  <w:shd w:val="clear" w:color="auto" w:fill="FFFFFF"/>
                  <w:noWrap/>
                  <w:vAlign w:val="center"/>
                </w:tcPr>
                <w:p w14:paraId="032595B9">
                  <w:pPr>
                    <w:widowControl/>
                    <w:jc w:val="center"/>
                    <w:textAlignment w:val="center"/>
                    <w:rPr>
                      <w:color w:val="auto"/>
                      <w:sz w:val="18"/>
                      <w:szCs w:val="18"/>
                    </w:rPr>
                  </w:pPr>
                </w:p>
              </w:tc>
              <w:tc>
                <w:tcPr>
                  <w:tcW w:w="569" w:type="pct"/>
                  <w:shd w:val="clear" w:color="auto" w:fill="FFFFFF"/>
                  <w:noWrap/>
                  <w:vAlign w:val="center"/>
                </w:tcPr>
                <w:p w14:paraId="53ED91F4">
                  <w:pPr>
                    <w:widowControl/>
                    <w:jc w:val="center"/>
                    <w:textAlignment w:val="center"/>
                    <w:rPr>
                      <w:rFonts w:cs="宋体"/>
                      <w:color w:val="auto"/>
                      <w:sz w:val="18"/>
                      <w:szCs w:val="18"/>
                    </w:rPr>
                  </w:pPr>
                </w:p>
              </w:tc>
            </w:tr>
            <w:tr w14:paraId="05BE51B2">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01" w:type="pct"/>
                  <w:vMerge w:val="continue"/>
                  <w:shd w:val="clear" w:color="auto" w:fill="FFFFFF"/>
                  <w:noWrap/>
                  <w:vAlign w:val="center"/>
                </w:tcPr>
                <w:p w14:paraId="4B31A90C">
                  <w:pPr>
                    <w:jc w:val="center"/>
                    <w:rPr>
                      <w:color w:val="auto"/>
                      <w:sz w:val="18"/>
                      <w:szCs w:val="18"/>
                    </w:rPr>
                  </w:pPr>
                </w:p>
              </w:tc>
              <w:tc>
                <w:tcPr>
                  <w:tcW w:w="682" w:type="pct"/>
                  <w:vMerge w:val="continue"/>
                  <w:shd w:val="clear" w:color="auto" w:fill="FFFFFF"/>
                  <w:noWrap/>
                  <w:vAlign w:val="center"/>
                </w:tcPr>
                <w:p w14:paraId="4B2F0BDF">
                  <w:pPr>
                    <w:jc w:val="center"/>
                    <w:rPr>
                      <w:rFonts w:cs="宋体"/>
                      <w:color w:val="auto"/>
                      <w:sz w:val="18"/>
                      <w:szCs w:val="18"/>
                    </w:rPr>
                  </w:pPr>
                </w:p>
              </w:tc>
              <w:tc>
                <w:tcPr>
                  <w:tcW w:w="625" w:type="pct"/>
                  <w:vMerge w:val="continue"/>
                  <w:shd w:val="clear" w:color="auto" w:fill="FFFFFF"/>
                  <w:noWrap/>
                  <w:vAlign w:val="center"/>
                </w:tcPr>
                <w:p w14:paraId="66E75408">
                  <w:pPr>
                    <w:jc w:val="center"/>
                    <w:rPr>
                      <w:color w:val="auto"/>
                      <w:sz w:val="18"/>
                      <w:szCs w:val="18"/>
                    </w:rPr>
                  </w:pPr>
                </w:p>
              </w:tc>
              <w:tc>
                <w:tcPr>
                  <w:tcW w:w="899" w:type="pct"/>
                  <w:shd w:val="clear" w:color="auto" w:fill="FFFFFF"/>
                  <w:noWrap/>
                  <w:vAlign w:val="center"/>
                </w:tcPr>
                <w:p w14:paraId="538FB7EF">
                  <w:pPr>
                    <w:widowControl/>
                    <w:jc w:val="center"/>
                    <w:textAlignment w:val="center"/>
                    <w:rPr>
                      <w:rFonts w:cs="宋体"/>
                      <w:color w:val="auto"/>
                      <w:sz w:val="18"/>
                      <w:szCs w:val="18"/>
                    </w:rPr>
                  </w:pPr>
                </w:p>
              </w:tc>
              <w:tc>
                <w:tcPr>
                  <w:tcW w:w="1051" w:type="pct"/>
                  <w:shd w:val="clear" w:color="auto" w:fill="FFFFFF"/>
                  <w:noWrap/>
                  <w:vAlign w:val="center"/>
                </w:tcPr>
                <w:p w14:paraId="4B901D6C">
                  <w:pPr>
                    <w:widowControl/>
                    <w:jc w:val="center"/>
                    <w:textAlignment w:val="center"/>
                    <w:rPr>
                      <w:color w:val="auto"/>
                      <w:sz w:val="18"/>
                      <w:szCs w:val="18"/>
                    </w:rPr>
                  </w:pPr>
                </w:p>
              </w:tc>
              <w:tc>
                <w:tcPr>
                  <w:tcW w:w="569" w:type="pct"/>
                  <w:shd w:val="clear" w:color="auto" w:fill="FFFFFF"/>
                  <w:noWrap/>
                  <w:vAlign w:val="center"/>
                </w:tcPr>
                <w:p w14:paraId="72C58AA7">
                  <w:pPr>
                    <w:widowControl/>
                    <w:jc w:val="center"/>
                    <w:textAlignment w:val="center"/>
                    <w:rPr>
                      <w:color w:val="auto"/>
                      <w:sz w:val="18"/>
                      <w:szCs w:val="18"/>
                    </w:rPr>
                  </w:pPr>
                </w:p>
              </w:tc>
              <w:tc>
                <w:tcPr>
                  <w:tcW w:w="569" w:type="pct"/>
                  <w:shd w:val="clear" w:color="auto" w:fill="FFFFFF"/>
                  <w:noWrap/>
                  <w:vAlign w:val="center"/>
                </w:tcPr>
                <w:p w14:paraId="1F652161">
                  <w:pPr>
                    <w:widowControl/>
                    <w:jc w:val="center"/>
                    <w:textAlignment w:val="center"/>
                    <w:rPr>
                      <w:rFonts w:cs="宋体"/>
                      <w:color w:val="auto"/>
                      <w:sz w:val="18"/>
                      <w:szCs w:val="18"/>
                    </w:rPr>
                  </w:pPr>
                </w:p>
              </w:tc>
            </w:tr>
            <w:tr w14:paraId="01840931">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01" w:type="pct"/>
                  <w:vMerge w:val="restart"/>
                  <w:shd w:val="clear" w:color="auto" w:fill="FFFFFF"/>
                  <w:noWrap/>
                  <w:vAlign w:val="center"/>
                </w:tcPr>
                <w:p w14:paraId="7150C9C4">
                  <w:pPr>
                    <w:widowControl/>
                    <w:jc w:val="center"/>
                    <w:textAlignment w:val="center"/>
                    <w:rPr>
                      <w:color w:val="auto"/>
                      <w:sz w:val="18"/>
                      <w:szCs w:val="18"/>
                    </w:rPr>
                  </w:pPr>
                </w:p>
              </w:tc>
              <w:tc>
                <w:tcPr>
                  <w:tcW w:w="682" w:type="pct"/>
                  <w:vMerge w:val="restart"/>
                  <w:shd w:val="clear" w:color="auto" w:fill="FFFFFF"/>
                  <w:noWrap/>
                  <w:vAlign w:val="center"/>
                </w:tcPr>
                <w:p w14:paraId="43595592">
                  <w:pPr>
                    <w:widowControl/>
                    <w:jc w:val="center"/>
                    <w:textAlignment w:val="center"/>
                    <w:rPr>
                      <w:rFonts w:cs="宋体"/>
                      <w:color w:val="auto"/>
                      <w:sz w:val="18"/>
                      <w:szCs w:val="18"/>
                    </w:rPr>
                  </w:pPr>
                </w:p>
              </w:tc>
              <w:tc>
                <w:tcPr>
                  <w:tcW w:w="625" w:type="pct"/>
                  <w:vMerge w:val="restart"/>
                  <w:shd w:val="clear" w:color="auto" w:fill="FFFFFF"/>
                  <w:noWrap/>
                  <w:vAlign w:val="center"/>
                </w:tcPr>
                <w:p w14:paraId="55349522">
                  <w:pPr>
                    <w:widowControl/>
                    <w:jc w:val="center"/>
                    <w:textAlignment w:val="center"/>
                    <w:rPr>
                      <w:color w:val="auto"/>
                      <w:sz w:val="18"/>
                      <w:szCs w:val="18"/>
                    </w:rPr>
                  </w:pPr>
                </w:p>
              </w:tc>
              <w:tc>
                <w:tcPr>
                  <w:tcW w:w="899" w:type="pct"/>
                  <w:shd w:val="clear" w:color="auto" w:fill="FFFFFF"/>
                  <w:noWrap/>
                  <w:vAlign w:val="center"/>
                </w:tcPr>
                <w:p w14:paraId="5D4A240C">
                  <w:pPr>
                    <w:widowControl/>
                    <w:jc w:val="center"/>
                    <w:textAlignment w:val="center"/>
                    <w:rPr>
                      <w:rFonts w:cs="宋体"/>
                      <w:color w:val="auto"/>
                      <w:sz w:val="18"/>
                      <w:szCs w:val="18"/>
                    </w:rPr>
                  </w:pPr>
                </w:p>
              </w:tc>
              <w:tc>
                <w:tcPr>
                  <w:tcW w:w="1051" w:type="pct"/>
                  <w:shd w:val="clear" w:color="auto" w:fill="FFFFFF"/>
                  <w:noWrap/>
                  <w:vAlign w:val="center"/>
                </w:tcPr>
                <w:p w14:paraId="0055D361">
                  <w:pPr>
                    <w:widowControl/>
                    <w:jc w:val="center"/>
                    <w:textAlignment w:val="center"/>
                    <w:rPr>
                      <w:color w:val="auto"/>
                      <w:sz w:val="18"/>
                      <w:szCs w:val="18"/>
                    </w:rPr>
                  </w:pPr>
                </w:p>
              </w:tc>
              <w:tc>
                <w:tcPr>
                  <w:tcW w:w="569" w:type="pct"/>
                  <w:shd w:val="clear" w:color="auto" w:fill="FFFFFF"/>
                  <w:noWrap/>
                  <w:vAlign w:val="center"/>
                </w:tcPr>
                <w:p w14:paraId="779ADCBE">
                  <w:pPr>
                    <w:widowControl/>
                    <w:jc w:val="center"/>
                    <w:textAlignment w:val="center"/>
                    <w:rPr>
                      <w:color w:val="auto"/>
                      <w:sz w:val="18"/>
                      <w:szCs w:val="18"/>
                    </w:rPr>
                  </w:pPr>
                </w:p>
              </w:tc>
              <w:tc>
                <w:tcPr>
                  <w:tcW w:w="569" w:type="pct"/>
                  <w:shd w:val="clear" w:color="auto" w:fill="FFFFFF"/>
                  <w:noWrap/>
                  <w:vAlign w:val="center"/>
                </w:tcPr>
                <w:p w14:paraId="0B13612F">
                  <w:pPr>
                    <w:widowControl/>
                    <w:jc w:val="center"/>
                    <w:textAlignment w:val="center"/>
                    <w:rPr>
                      <w:rFonts w:cs="宋体"/>
                      <w:color w:val="auto"/>
                      <w:sz w:val="18"/>
                      <w:szCs w:val="18"/>
                    </w:rPr>
                  </w:pPr>
                </w:p>
              </w:tc>
            </w:tr>
            <w:tr w14:paraId="5C794BFD">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01" w:type="pct"/>
                  <w:vMerge w:val="continue"/>
                  <w:shd w:val="clear" w:color="auto" w:fill="FFFFFF"/>
                  <w:noWrap/>
                  <w:vAlign w:val="center"/>
                </w:tcPr>
                <w:p w14:paraId="41614A5C">
                  <w:pPr>
                    <w:jc w:val="center"/>
                    <w:rPr>
                      <w:color w:val="auto"/>
                      <w:sz w:val="18"/>
                      <w:szCs w:val="18"/>
                    </w:rPr>
                  </w:pPr>
                </w:p>
              </w:tc>
              <w:tc>
                <w:tcPr>
                  <w:tcW w:w="682" w:type="pct"/>
                  <w:vMerge w:val="continue"/>
                  <w:shd w:val="clear" w:color="auto" w:fill="FFFFFF"/>
                  <w:noWrap/>
                  <w:vAlign w:val="center"/>
                </w:tcPr>
                <w:p w14:paraId="4C6E6FAF">
                  <w:pPr>
                    <w:jc w:val="center"/>
                    <w:rPr>
                      <w:rFonts w:cs="宋体"/>
                      <w:color w:val="auto"/>
                      <w:sz w:val="18"/>
                      <w:szCs w:val="18"/>
                    </w:rPr>
                  </w:pPr>
                </w:p>
              </w:tc>
              <w:tc>
                <w:tcPr>
                  <w:tcW w:w="625" w:type="pct"/>
                  <w:vMerge w:val="continue"/>
                  <w:shd w:val="clear" w:color="auto" w:fill="FFFFFF"/>
                  <w:noWrap/>
                  <w:vAlign w:val="center"/>
                </w:tcPr>
                <w:p w14:paraId="43BF5DB9">
                  <w:pPr>
                    <w:jc w:val="center"/>
                    <w:rPr>
                      <w:color w:val="auto"/>
                      <w:sz w:val="18"/>
                      <w:szCs w:val="18"/>
                    </w:rPr>
                  </w:pPr>
                </w:p>
              </w:tc>
              <w:tc>
                <w:tcPr>
                  <w:tcW w:w="899" w:type="pct"/>
                  <w:shd w:val="clear" w:color="auto" w:fill="FFFFFF"/>
                  <w:noWrap/>
                  <w:vAlign w:val="center"/>
                </w:tcPr>
                <w:p w14:paraId="1F7B512F">
                  <w:pPr>
                    <w:widowControl/>
                    <w:jc w:val="center"/>
                    <w:textAlignment w:val="center"/>
                    <w:rPr>
                      <w:rFonts w:cs="宋体"/>
                      <w:color w:val="auto"/>
                      <w:sz w:val="18"/>
                      <w:szCs w:val="18"/>
                    </w:rPr>
                  </w:pPr>
                </w:p>
              </w:tc>
              <w:tc>
                <w:tcPr>
                  <w:tcW w:w="1051" w:type="pct"/>
                  <w:shd w:val="clear" w:color="auto" w:fill="FFFFFF"/>
                  <w:noWrap/>
                  <w:vAlign w:val="center"/>
                </w:tcPr>
                <w:p w14:paraId="58E63CC8">
                  <w:pPr>
                    <w:widowControl/>
                    <w:jc w:val="center"/>
                    <w:textAlignment w:val="center"/>
                    <w:rPr>
                      <w:color w:val="auto"/>
                      <w:sz w:val="18"/>
                      <w:szCs w:val="18"/>
                    </w:rPr>
                  </w:pPr>
                </w:p>
              </w:tc>
              <w:tc>
                <w:tcPr>
                  <w:tcW w:w="569" w:type="pct"/>
                  <w:shd w:val="clear" w:color="auto" w:fill="FFFFFF"/>
                  <w:noWrap/>
                  <w:vAlign w:val="center"/>
                </w:tcPr>
                <w:p w14:paraId="13B6B427">
                  <w:pPr>
                    <w:widowControl/>
                    <w:jc w:val="center"/>
                    <w:textAlignment w:val="center"/>
                    <w:rPr>
                      <w:color w:val="auto"/>
                      <w:sz w:val="18"/>
                      <w:szCs w:val="18"/>
                    </w:rPr>
                  </w:pPr>
                </w:p>
              </w:tc>
              <w:tc>
                <w:tcPr>
                  <w:tcW w:w="569" w:type="pct"/>
                  <w:shd w:val="clear" w:color="auto" w:fill="FFFFFF"/>
                  <w:noWrap/>
                  <w:vAlign w:val="center"/>
                </w:tcPr>
                <w:p w14:paraId="6329FA6E">
                  <w:pPr>
                    <w:widowControl/>
                    <w:jc w:val="center"/>
                    <w:textAlignment w:val="center"/>
                    <w:rPr>
                      <w:rFonts w:cs="宋体"/>
                      <w:color w:val="auto"/>
                      <w:sz w:val="18"/>
                      <w:szCs w:val="18"/>
                    </w:rPr>
                  </w:pPr>
                </w:p>
              </w:tc>
            </w:tr>
            <w:tr w14:paraId="653B5EFF">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01" w:type="pct"/>
                  <w:vMerge w:val="continue"/>
                  <w:shd w:val="clear" w:color="auto" w:fill="FFFFFF"/>
                  <w:noWrap/>
                  <w:vAlign w:val="center"/>
                </w:tcPr>
                <w:p w14:paraId="346516AE">
                  <w:pPr>
                    <w:jc w:val="center"/>
                    <w:rPr>
                      <w:color w:val="auto"/>
                      <w:sz w:val="18"/>
                      <w:szCs w:val="18"/>
                    </w:rPr>
                  </w:pPr>
                </w:p>
              </w:tc>
              <w:tc>
                <w:tcPr>
                  <w:tcW w:w="682" w:type="pct"/>
                  <w:vMerge w:val="restart"/>
                  <w:shd w:val="clear" w:color="auto" w:fill="FFFFFF"/>
                  <w:noWrap/>
                  <w:vAlign w:val="center"/>
                </w:tcPr>
                <w:p w14:paraId="2523EF06">
                  <w:pPr>
                    <w:widowControl/>
                    <w:jc w:val="center"/>
                    <w:textAlignment w:val="center"/>
                    <w:rPr>
                      <w:rFonts w:cs="宋体"/>
                      <w:color w:val="auto"/>
                      <w:sz w:val="18"/>
                      <w:szCs w:val="18"/>
                    </w:rPr>
                  </w:pPr>
                </w:p>
              </w:tc>
              <w:tc>
                <w:tcPr>
                  <w:tcW w:w="625" w:type="pct"/>
                  <w:vMerge w:val="restart"/>
                  <w:shd w:val="clear" w:color="auto" w:fill="FFFFFF"/>
                  <w:noWrap/>
                  <w:vAlign w:val="center"/>
                </w:tcPr>
                <w:p w14:paraId="6E957C8A">
                  <w:pPr>
                    <w:widowControl/>
                    <w:jc w:val="center"/>
                    <w:textAlignment w:val="center"/>
                    <w:rPr>
                      <w:color w:val="auto"/>
                      <w:sz w:val="18"/>
                      <w:szCs w:val="18"/>
                    </w:rPr>
                  </w:pPr>
                </w:p>
              </w:tc>
              <w:tc>
                <w:tcPr>
                  <w:tcW w:w="899" w:type="pct"/>
                  <w:shd w:val="clear" w:color="auto" w:fill="FFFFFF"/>
                  <w:noWrap/>
                  <w:vAlign w:val="center"/>
                </w:tcPr>
                <w:p w14:paraId="77D79F48">
                  <w:pPr>
                    <w:widowControl/>
                    <w:jc w:val="center"/>
                    <w:textAlignment w:val="center"/>
                    <w:rPr>
                      <w:rFonts w:cs="宋体"/>
                      <w:color w:val="auto"/>
                      <w:sz w:val="18"/>
                      <w:szCs w:val="18"/>
                    </w:rPr>
                  </w:pPr>
                </w:p>
              </w:tc>
              <w:tc>
                <w:tcPr>
                  <w:tcW w:w="1051" w:type="pct"/>
                  <w:shd w:val="clear" w:color="auto" w:fill="FFFFFF"/>
                  <w:noWrap/>
                  <w:vAlign w:val="center"/>
                </w:tcPr>
                <w:p w14:paraId="260695C1">
                  <w:pPr>
                    <w:widowControl/>
                    <w:jc w:val="center"/>
                    <w:textAlignment w:val="center"/>
                    <w:rPr>
                      <w:color w:val="auto"/>
                      <w:sz w:val="18"/>
                      <w:szCs w:val="18"/>
                    </w:rPr>
                  </w:pPr>
                </w:p>
              </w:tc>
              <w:tc>
                <w:tcPr>
                  <w:tcW w:w="569" w:type="pct"/>
                  <w:shd w:val="clear" w:color="auto" w:fill="FFFFFF"/>
                  <w:noWrap/>
                  <w:vAlign w:val="center"/>
                </w:tcPr>
                <w:p w14:paraId="65ABC5AF">
                  <w:pPr>
                    <w:widowControl/>
                    <w:jc w:val="center"/>
                    <w:textAlignment w:val="center"/>
                    <w:rPr>
                      <w:color w:val="auto"/>
                      <w:sz w:val="18"/>
                      <w:szCs w:val="18"/>
                    </w:rPr>
                  </w:pPr>
                </w:p>
              </w:tc>
              <w:tc>
                <w:tcPr>
                  <w:tcW w:w="569" w:type="pct"/>
                  <w:shd w:val="clear" w:color="auto" w:fill="FFFFFF"/>
                  <w:noWrap/>
                  <w:vAlign w:val="center"/>
                </w:tcPr>
                <w:p w14:paraId="09CBA9BD">
                  <w:pPr>
                    <w:widowControl/>
                    <w:jc w:val="center"/>
                    <w:textAlignment w:val="center"/>
                    <w:rPr>
                      <w:rFonts w:cs="宋体"/>
                      <w:color w:val="auto"/>
                      <w:sz w:val="18"/>
                      <w:szCs w:val="18"/>
                    </w:rPr>
                  </w:pPr>
                </w:p>
              </w:tc>
            </w:tr>
            <w:tr w14:paraId="4C304256">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01" w:type="pct"/>
                  <w:vMerge w:val="continue"/>
                  <w:shd w:val="clear" w:color="auto" w:fill="FFFFFF"/>
                  <w:noWrap/>
                  <w:vAlign w:val="center"/>
                </w:tcPr>
                <w:p w14:paraId="31B84457">
                  <w:pPr>
                    <w:jc w:val="center"/>
                    <w:rPr>
                      <w:color w:val="auto"/>
                      <w:sz w:val="18"/>
                      <w:szCs w:val="18"/>
                    </w:rPr>
                  </w:pPr>
                </w:p>
              </w:tc>
              <w:tc>
                <w:tcPr>
                  <w:tcW w:w="682" w:type="pct"/>
                  <w:vMerge w:val="continue"/>
                  <w:shd w:val="clear" w:color="auto" w:fill="FFFFFF"/>
                  <w:noWrap/>
                  <w:vAlign w:val="center"/>
                </w:tcPr>
                <w:p w14:paraId="05228012">
                  <w:pPr>
                    <w:jc w:val="center"/>
                    <w:rPr>
                      <w:rFonts w:cs="宋体"/>
                      <w:color w:val="auto"/>
                      <w:sz w:val="18"/>
                      <w:szCs w:val="18"/>
                    </w:rPr>
                  </w:pPr>
                </w:p>
              </w:tc>
              <w:tc>
                <w:tcPr>
                  <w:tcW w:w="625" w:type="pct"/>
                  <w:vMerge w:val="continue"/>
                  <w:shd w:val="clear" w:color="auto" w:fill="FFFFFF"/>
                  <w:noWrap/>
                  <w:vAlign w:val="center"/>
                </w:tcPr>
                <w:p w14:paraId="1797EA70">
                  <w:pPr>
                    <w:jc w:val="center"/>
                    <w:rPr>
                      <w:color w:val="auto"/>
                      <w:sz w:val="18"/>
                      <w:szCs w:val="18"/>
                    </w:rPr>
                  </w:pPr>
                </w:p>
              </w:tc>
              <w:tc>
                <w:tcPr>
                  <w:tcW w:w="899" w:type="pct"/>
                  <w:shd w:val="clear" w:color="auto" w:fill="FFFFFF"/>
                  <w:noWrap/>
                  <w:vAlign w:val="center"/>
                </w:tcPr>
                <w:p w14:paraId="3A09917F">
                  <w:pPr>
                    <w:widowControl/>
                    <w:jc w:val="center"/>
                    <w:textAlignment w:val="center"/>
                    <w:rPr>
                      <w:rFonts w:cs="宋体"/>
                      <w:color w:val="auto"/>
                      <w:sz w:val="18"/>
                      <w:szCs w:val="18"/>
                    </w:rPr>
                  </w:pPr>
                </w:p>
              </w:tc>
              <w:tc>
                <w:tcPr>
                  <w:tcW w:w="1051" w:type="pct"/>
                  <w:shd w:val="clear" w:color="auto" w:fill="FFFFFF"/>
                  <w:noWrap/>
                  <w:vAlign w:val="center"/>
                </w:tcPr>
                <w:p w14:paraId="1C1F8191">
                  <w:pPr>
                    <w:widowControl/>
                    <w:jc w:val="center"/>
                    <w:textAlignment w:val="center"/>
                    <w:rPr>
                      <w:color w:val="auto"/>
                      <w:sz w:val="18"/>
                      <w:szCs w:val="18"/>
                    </w:rPr>
                  </w:pPr>
                </w:p>
              </w:tc>
              <w:tc>
                <w:tcPr>
                  <w:tcW w:w="569" w:type="pct"/>
                  <w:shd w:val="clear" w:color="auto" w:fill="FFFFFF"/>
                  <w:noWrap/>
                  <w:vAlign w:val="center"/>
                </w:tcPr>
                <w:p w14:paraId="7FBA55A3">
                  <w:pPr>
                    <w:widowControl/>
                    <w:jc w:val="center"/>
                    <w:textAlignment w:val="center"/>
                    <w:rPr>
                      <w:color w:val="auto"/>
                      <w:sz w:val="18"/>
                      <w:szCs w:val="18"/>
                    </w:rPr>
                  </w:pPr>
                </w:p>
              </w:tc>
              <w:tc>
                <w:tcPr>
                  <w:tcW w:w="569" w:type="pct"/>
                  <w:shd w:val="clear" w:color="auto" w:fill="FFFFFF"/>
                  <w:noWrap/>
                  <w:vAlign w:val="center"/>
                </w:tcPr>
                <w:p w14:paraId="2A7456BC">
                  <w:pPr>
                    <w:widowControl/>
                    <w:jc w:val="center"/>
                    <w:textAlignment w:val="center"/>
                    <w:rPr>
                      <w:rFonts w:cs="宋体"/>
                      <w:color w:val="auto"/>
                      <w:sz w:val="18"/>
                      <w:szCs w:val="18"/>
                    </w:rPr>
                  </w:pPr>
                </w:p>
              </w:tc>
            </w:tr>
            <w:tr w14:paraId="055FB591">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01" w:type="pct"/>
                  <w:vMerge w:val="continue"/>
                  <w:shd w:val="clear" w:color="auto" w:fill="FFFFFF"/>
                  <w:noWrap/>
                  <w:vAlign w:val="center"/>
                </w:tcPr>
                <w:p w14:paraId="726DC77D">
                  <w:pPr>
                    <w:jc w:val="center"/>
                    <w:rPr>
                      <w:color w:val="auto"/>
                      <w:sz w:val="18"/>
                      <w:szCs w:val="18"/>
                    </w:rPr>
                  </w:pPr>
                </w:p>
              </w:tc>
              <w:tc>
                <w:tcPr>
                  <w:tcW w:w="682" w:type="pct"/>
                  <w:vMerge w:val="restart"/>
                  <w:shd w:val="clear" w:color="auto" w:fill="FFFFFF"/>
                  <w:noWrap/>
                  <w:vAlign w:val="center"/>
                </w:tcPr>
                <w:p w14:paraId="788AF5FA">
                  <w:pPr>
                    <w:widowControl/>
                    <w:jc w:val="center"/>
                    <w:textAlignment w:val="center"/>
                    <w:rPr>
                      <w:rFonts w:cs="等线"/>
                      <w:color w:val="auto"/>
                      <w:sz w:val="18"/>
                      <w:szCs w:val="18"/>
                    </w:rPr>
                  </w:pPr>
                </w:p>
              </w:tc>
              <w:tc>
                <w:tcPr>
                  <w:tcW w:w="625" w:type="pct"/>
                  <w:vMerge w:val="restart"/>
                  <w:shd w:val="clear" w:color="auto" w:fill="FFFFFF"/>
                  <w:noWrap/>
                  <w:vAlign w:val="center"/>
                </w:tcPr>
                <w:p w14:paraId="060B637F">
                  <w:pPr>
                    <w:widowControl/>
                    <w:jc w:val="center"/>
                    <w:textAlignment w:val="center"/>
                    <w:rPr>
                      <w:color w:val="auto"/>
                      <w:sz w:val="18"/>
                      <w:szCs w:val="18"/>
                    </w:rPr>
                  </w:pPr>
                </w:p>
              </w:tc>
              <w:tc>
                <w:tcPr>
                  <w:tcW w:w="899" w:type="pct"/>
                  <w:shd w:val="clear" w:color="auto" w:fill="FFFFFF"/>
                  <w:noWrap/>
                  <w:vAlign w:val="center"/>
                </w:tcPr>
                <w:p w14:paraId="7DF4B35C">
                  <w:pPr>
                    <w:widowControl/>
                    <w:jc w:val="center"/>
                    <w:textAlignment w:val="center"/>
                    <w:rPr>
                      <w:rFonts w:cs="宋体"/>
                      <w:color w:val="auto"/>
                      <w:sz w:val="18"/>
                      <w:szCs w:val="18"/>
                    </w:rPr>
                  </w:pPr>
                </w:p>
              </w:tc>
              <w:tc>
                <w:tcPr>
                  <w:tcW w:w="1051" w:type="pct"/>
                  <w:shd w:val="clear" w:color="auto" w:fill="FFFFFF"/>
                  <w:noWrap/>
                  <w:vAlign w:val="center"/>
                </w:tcPr>
                <w:p w14:paraId="2F91C16A">
                  <w:pPr>
                    <w:widowControl/>
                    <w:jc w:val="center"/>
                    <w:textAlignment w:val="center"/>
                    <w:rPr>
                      <w:color w:val="auto"/>
                      <w:sz w:val="18"/>
                      <w:szCs w:val="18"/>
                    </w:rPr>
                  </w:pPr>
                </w:p>
              </w:tc>
              <w:tc>
                <w:tcPr>
                  <w:tcW w:w="569" w:type="pct"/>
                  <w:shd w:val="clear" w:color="auto" w:fill="FFFFFF"/>
                  <w:noWrap/>
                  <w:vAlign w:val="center"/>
                </w:tcPr>
                <w:p w14:paraId="05B5D60E">
                  <w:pPr>
                    <w:widowControl/>
                    <w:jc w:val="center"/>
                    <w:textAlignment w:val="center"/>
                    <w:rPr>
                      <w:color w:val="auto"/>
                      <w:sz w:val="18"/>
                      <w:szCs w:val="18"/>
                    </w:rPr>
                  </w:pPr>
                </w:p>
              </w:tc>
              <w:tc>
                <w:tcPr>
                  <w:tcW w:w="569" w:type="pct"/>
                  <w:shd w:val="clear" w:color="auto" w:fill="FFFFFF"/>
                  <w:noWrap/>
                  <w:vAlign w:val="center"/>
                </w:tcPr>
                <w:p w14:paraId="2BE182B2">
                  <w:pPr>
                    <w:widowControl/>
                    <w:jc w:val="center"/>
                    <w:textAlignment w:val="center"/>
                    <w:rPr>
                      <w:rFonts w:cs="宋体"/>
                      <w:color w:val="auto"/>
                      <w:sz w:val="18"/>
                      <w:szCs w:val="18"/>
                    </w:rPr>
                  </w:pPr>
                </w:p>
              </w:tc>
            </w:tr>
            <w:tr w14:paraId="34884C6D">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01" w:type="pct"/>
                  <w:vMerge w:val="continue"/>
                  <w:shd w:val="clear" w:color="auto" w:fill="FFFFFF"/>
                  <w:noWrap/>
                  <w:vAlign w:val="center"/>
                </w:tcPr>
                <w:p w14:paraId="43C5396B">
                  <w:pPr>
                    <w:jc w:val="center"/>
                    <w:rPr>
                      <w:color w:val="auto"/>
                      <w:sz w:val="18"/>
                      <w:szCs w:val="18"/>
                    </w:rPr>
                  </w:pPr>
                </w:p>
              </w:tc>
              <w:tc>
                <w:tcPr>
                  <w:tcW w:w="682" w:type="pct"/>
                  <w:vMerge w:val="continue"/>
                  <w:shd w:val="clear" w:color="auto" w:fill="FFFFFF"/>
                  <w:noWrap/>
                  <w:vAlign w:val="center"/>
                </w:tcPr>
                <w:p w14:paraId="00388B20">
                  <w:pPr>
                    <w:jc w:val="center"/>
                    <w:rPr>
                      <w:rFonts w:cs="等线"/>
                      <w:color w:val="auto"/>
                      <w:sz w:val="18"/>
                      <w:szCs w:val="18"/>
                    </w:rPr>
                  </w:pPr>
                </w:p>
              </w:tc>
              <w:tc>
                <w:tcPr>
                  <w:tcW w:w="625" w:type="pct"/>
                  <w:vMerge w:val="continue"/>
                  <w:shd w:val="clear" w:color="auto" w:fill="FFFFFF"/>
                  <w:noWrap/>
                  <w:vAlign w:val="center"/>
                </w:tcPr>
                <w:p w14:paraId="143E0885">
                  <w:pPr>
                    <w:jc w:val="center"/>
                    <w:rPr>
                      <w:color w:val="auto"/>
                      <w:sz w:val="18"/>
                      <w:szCs w:val="18"/>
                    </w:rPr>
                  </w:pPr>
                </w:p>
              </w:tc>
              <w:tc>
                <w:tcPr>
                  <w:tcW w:w="899" w:type="pct"/>
                  <w:shd w:val="clear" w:color="auto" w:fill="FFFFFF"/>
                  <w:noWrap/>
                  <w:vAlign w:val="center"/>
                </w:tcPr>
                <w:p w14:paraId="2AD98B25">
                  <w:pPr>
                    <w:widowControl/>
                    <w:jc w:val="center"/>
                    <w:textAlignment w:val="center"/>
                    <w:rPr>
                      <w:rFonts w:cs="宋体"/>
                      <w:color w:val="auto"/>
                      <w:sz w:val="18"/>
                      <w:szCs w:val="18"/>
                    </w:rPr>
                  </w:pPr>
                </w:p>
              </w:tc>
              <w:tc>
                <w:tcPr>
                  <w:tcW w:w="1051" w:type="pct"/>
                  <w:shd w:val="clear" w:color="auto" w:fill="FFFFFF"/>
                  <w:noWrap/>
                  <w:vAlign w:val="center"/>
                </w:tcPr>
                <w:p w14:paraId="76BBCE74">
                  <w:pPr>
                    <w:widowControl/>
                    <w:jc w:val="center"/>
                    <w:textAlignment w:val="center"/>
                    <w:rPr>
                      <w:color w:val="auto"/>
                      <w:sz w:val="18"/>
                      <w:szCs w:val="18"/>
                    </w:rPr>
                  </w:pPr>
                </w:p>
              </w:tc>
              <w:tc>
                <w:tcPr>
                  <w:tcW w:w="569" w:type="pct"/>
                  <w:shd w:val="clear" w:color="auto" w:fill="FFFFFF"/>
                  <w:noWrap/>
                  <w:vAlign w:val="center"/>
                </w:tcPr>
                <w:p w14:paraId="1DEC3D84">
                  <w:pPr>
                    <w:widowControl/>
                    <w:jc w:val="center"/>
                    <w:textAlignment w:val="center"/>
                    <w:rPr>
                      <w:color w:val="auto"/>
                      <w:sz w:val="18"/>
                      <w:szCs w:val="18"/>
                    </w:rPr>
                  </w:pPr>
                </w:p>
              </w:tc>
              <w:tc>
                <w:tcPr>
                  <w:tcW w:w="569" w:type="pct"/>
                  <w:shd w:val="clear" w:color="auto" w:fill="FFFFFF"/>
                  <w:noWrap/>
                  <w:vAlign w:val="center"/>
                </w:tcPr>
                <w:p w14:paraId="0B00B0B8">
                  <w:pPr>
                    <w:widowControl/>
                    <w:jc w:val="center"/>
                    <w:textAlignment w:val="center"/>
                    <w:rPr>
                      <w:rFonts w:cs="宋体"/>
                      <w:color w:val="auto"/>
                      <w:sz w:val="18"/>
                      <w:szCs w:val="18"/>
                    </w:rPr>
                  </w:pPr>
                </w:p>
              </w:tc>
            </w:tr>
            <w:tr w14:paraId="4918EC5B">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01" w:type="pct"/>
                  <w:vMerge w:val="restart"/>
                  <w:shd w:val="clear" w:color="auto" w:fill="FFFFFF"/>
                  <w:noWrap/>
                  <w:vAlign w:val="center"/>
                </w:tcPr>
                <w:p w14:paraId="6BE8B34F">
                  <w:pPr>
                    <w:widowControl/>
                    <w:jc w:val="center"/>
                    <w:textAlignment w:val="center"/>
                    <w:rPr>
                      <w:color w:val="auto"/>
                      <w:sz w:val="18"/>
                      <w:szCs w:val="18"/>
                    </w:rPr>
                  </w:pPr>
                </w:p>
              </w:tc>
              <w:tc>
                <w:tcPr>
                  <w:tcW w:w="682" w:type="pct"/>
                  <w:vMerge w:val="restart"/>
                  <w:shd w:val="clear" w:color="auto" w:fill="FFFFFF"/>
                  <w:noWrap/>
                  <w:vAlign w:val="center"/>
                </w:tcPr>
                <w:p w14:paraId="5933C300">
                  <w:pPr>
                    <w:widowControl/>
                    <w:jc w:val="center"/>
                    <w:textAlignment w:val="center"/>
                    <w:rPr>
                      <w:rFonts w:cs="宋体"/>
                      <w:color w:val="auto"/>
                      <w:sz w:val="18"/>
                      <w:szCs w:val="18"/>
                    </w:rPr>
                  </w:pPr>
                </w:p>
              </w:tc>
              <w:tc>
                <w:tcPr>
                  <w:tcW w:w="625" w:type="pct"/>
                  <w:vMerge w:val="restart"/>
                  <w:shd w:val="clear" w:color="auto" w:fill="FFFFFF"/>
                  <w:noWrap/>
                  <w:vAlign w:val="center"/>
                </w:tcPr>
                <w:p w14:paraId="31CCC705">
                  <w:pPr>
                    <w:widowControl/>
                    <w:jc w:val="center"/>
                    <w:textAlignment w:val="center"/>
                    <w:rPr>
                      <w:color w:val="auto"/>
                      <w:sz w:val="18"/>
                      <w:szCs w:val="18"/>
                    </w:rPr>
                  </w:pPr>
                </w:p>
              </w:tc>
              <w:tc>
                <w:tcPr>
                  <w:tcW w:w="899" w:type="pct"/>
                  <w:shd w:val="clear" w:color="auto" w:fill="FFFFFF"/>
                  <w:noWrap/>
                  <w:vAlign w:val="center"/>
                </w:tcPr>
                <w:p w14:paraId="17FBD380">
                  <w:pPr>
                    <w:widowControl/>
                    <w:jc w:val="center"/>
                    <w:textAlignment w:val="center"/>
                    <w:rPr>
                      <w:rFonts w:cs="宋体"/>
                      <w:color w:val="auto"/>
                      <w:sz w:val="18"/>
                      <w:szCs w:val="18"/>
                    </w:rPr>
                  </w:pPr>
                </w:p>
              </w:tc>
              <w:tc>
                <w:tcPr>
                  <w:tcW w:w="1051" w:type="pct"/>
                  <w:shd w:val="clear" w:color="auto" w:fill="FFFFFF"/>
                  <w:noWrap/>
                  <w:vAlign w:val="center"/>
                </w:tcPr>
                <w:p w14:paraId="32ED9052">
                  <w:pPr>
                    <w:widowControl/>
                    <w:jc w:val="center"/>
                    <w:textAlignment w:val="center"/>
                    <w:rPr>
                      <w:color w:val="auto"/>
                      <w:sz w:val="18"/>
                      <w:szCs w:val="18"/>
                    </w:rPr>
                  </w:pPr>
                </w:p>
              </w:tc>
              <w:tc>
                <w:tcPr>
                  <w:tcW w:w="569" w:type="pct"/>
                  <w:shd w:val="clear" w:color="auto" w:fill="FFFFFF"/>
                  <w:noWrap/>
                  <w:vAlign w:val="center"/>
                </w:tcPr>
                <w:p w14:paraId="5EC663D1">
                  <w:pPr>
                    <w:widowControl/>
                    <w:jc w:val="center"/>
                    <w:textAlignment w:val="center"/>
                    <w:rPr>
                      <w:color w:val="auto"/>
                      <w:sz w:val="18"/>
                      <w:szCs w:val="18"/>
                    </w:rPr>
                  </w:pPr>
                </w:p>
              </w:tc>
              <w:tc>
                <w:tcPr>
                  <w:tcW w:w="569" w:type="pct"/>
                  <w:shd w:val="clear" w:color="auto" w:fill="FFFFFF"/>
                  <w:noWrap/>
                  <w:vAlign w:val="center"/>
                </w:tcPr>
                <w:p w14:paraId="7BF03472">
                  <w:pPr>
                    <w:widowControl/>
                    <w:jc w:val="center"/>
                    <w:textAlignment w:val="center"/>
                    <w:rPr>
                      <w:rFonts w:cs="宋体"/>
                      <w:color w:val="auto"/>
                      <w:sz w:val="18"/>
                      <w:szCs w:val="18"/>
                    </w:rPr>
                  </w:pPr>
                </w:p>
              </w:tc>
            </w:tr>
            <w:tr w14:paraId="406806A4">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01" w:type="pct"/>
                  <w:vMerge w:val="continue"/>
                  <w:shd w:val="clear" w:color="auto" w:fill="FFFFFF"/>
                  <w:noWrap/>
                  <w:vAlign w:val="center"/>
                </w:tcPr>
                <w:p w14:paraId="5C302B1C">
                  <w:pPr>
                    <w:jc w:val="center"/>
                    <w:rPr>
                      <w:color w:val="auto"/>
                      <w:sz w:val="18"/>
                      <w:szCs w:val="18"/>
                    </w:rPr>
                  </w:pPr>
                </w:p>
              </w:tc>
              <w:tc>
                <w:tcPr>
                  <w:tcW w:w="682" w:type="pct"/>
                  <w:vMerge w:val="continue"/>
                  <w:shd w:val="clear" w:color="auto" w:fill="FFFFFF"/>
                  <w:noWrap/>
                  <w:vAlign w:val="center"/>
                </w:tcPr>
                <w:p w14:paraId="3EF2B906">
                  <w:pPr>
                    <w:jc w:val="center"/>
                    <w:rPr>
                      <w:rFonts w:cs="宋体"/>
                      <w:color w:val="auto"/>
                      <w:sz w:val="18"/>
                      <w:szCs w:val="18"/>
                    </w:rPr>
                  </w:pPr>
                </w:p>
              </w:tc>
              <w:tc>
                <w:tcPr>
                  <w:tcW w:w="625" w:type="pct"/>
                  <w:vMerge w:val="continue"/>
                  <w:shd w:val="clear" w:color="auto" w:fill="FFFFFF"/>
                  <w:noWrap/>
                  <w:vAlign w:val="center"/>
                </w:tcPr>
                <w:p w14:paraId="00B0EB95">
                  <w:pPr>
                    <w:jc w:val="center"/>
                    <w:rPr>
                      <w:color w:val="auto"/>
                      <w:sz w:val="18"/>
                      <w:szCs w:val="18"/>
                    </w:rPr>
                  </w:pPr>
                </w:p>
              </w:tc>
              <w:tc>
                <w:tcPr>
                  <w:tcW w:w="899" w:type="pct"/>
                  <w:shd w:val="clear" w:color="auto" w:fill="FFFFFF"/>
                  <w:noWrap/>
                  <w:vAlign w:val="center"/>
                </w:tcPr>
                <w:p w14:paraId="1E4A62C9">
                  <w:pPr>
                    <w:widowControl/>
                    <w:jc w:val="center"/>
                    <w:textAlignment w:val="center"/>
                    <w:rPr>
                      <w:rFonts w:cs="宋体"/>
                      <w:color w:val="auto"/>
                      <w:sz w:val="18"/>
                      <w:szCs w:val="18"/>
                    </w:rPr>
                  </w:pPr>
                </w:p>
              </w:tc>
              <w:tc>
                <w:tcPr>
                  <w:tcW w:w="1051" w:type="pct"/>
                  <w:shd w:val="clear" w:color="auto" w:fill="FFFFFF"/>
                  <w:noWrap/>
                  <w:vAlign w:val="center"/>
                </w:tcPr>
                <w:p w14:paraId="26BC8094">
                  <w:pPr>
                    <w:widowControl/>
                    <w:jc w:val="center"/>
                    <w:textAlignment w:val="center"/>
                    <w:rPr>
                      <w:color w:val="auto"/>
                      <w:sz w:val="18"/>
                      <w:szCs w:val="18"/>
                    </w:rPr>
                  </w:pPr>
                </w:p>
              </w:tc>
              <w:tc>
                <w:tcPr>
                  <w:tcW w:w="569" w:type="pct"/>
                  <w:shd w:val="clear" w:color="auto" w:fill="FFFFFF"/>
                  <w:noWrap/>
                  <w:vAlign w:val="center"/>
                </w:tcPr>
                <w:p w14:paraId="289D7EA7">
                  <w:pPr>
                    <w:widowControl/>
                    <w:jc w:val="center"/>
                    <w:textAlignment w:val="center"/>
                    <w:rPr>
                      <w:color w:val="auto"/>
                      <w:sz w:val="18"/>
                      <w:szCs w:val="18"/>
                    </w:rPr>
                  </w:pPr>
                </w:p>
              </w:tc>
              <w:tc>
                <w:tcPr>
                  <w:tcW w:w="569" w:type="pct"/>
                  <w:shd w:val="clear" w:color="auto" w:fill="FFFFFF"/>
                  <w:noWrap/>
                  <w:vAlign w:val="center"/>
                </w:tcPr>
                <w:p w14:paraId="3D10966F">
                  <w:pPr>
                    <w:widowControl/>
                    <w:jc w:val="center"/>
                    <w:textAlignment w:val="center"/>
                    <w:rPr>
                      <w:rFonts w:cs="宋体"/>
                      <w:color w:val="auto"/>
                      <w:sz w:val="18"/>
                      <w:szCs w:val="18"/>
                    </w:rPr>
                  </w:pPr>
                </w:p>
              </w:tc>
            </w:tr>
            <w:tr w14:paraId="74666A9E">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01" w:type="pct"/>
                  <w:vMerge w:val="continue"/>
                  <w:shd w:val="clear" w:color="auto" w:fill="FFFFFF"/>
                  <w:noWrap/>
                  <w:vAlign w:val="center"/>
                </w:tcPr>
                <w:p w14:paraId="71D3895B">
                  <w:pPr>
                    <w:jc w:val="center"/>
                    <w:rPr>
                      <w:color w:val="auto"/>
                      <w:sz w:val="18"/>
                      <w:szCs w:val="18"/>
                    </w:rPr>
                  </w:pPr>
                </w:p>
              </w:tc>
              <w:tc>
                <w:tcPr>
                  <w:tcW w:w="682" w:type="pct"/>
                  <w:vMerge w:val="restart"/>
                  <w:shd w:val="clear" w:color="auto" w:fill="FFFFFF"/>
                  <w:vAlign w:val="center"/>
                </w:tcPr>
                <w:p w14:paraId="5B4968B6">
                  <w:pPr>
                    <w:widowControl/>
                    <w:jc w:val="center"/>
                    <w:textAlignment w:val="center"/>
                    <w:rPr>
                      <w:rFonts w:cs="等线"/>
                      <w:color w:val="auto"/>
                      <w:sz w:val="18"/>
                      <w:szCs w:val="18"/>
                    </w:rPr>
                  </w:pPr>
                </w:p>
              </w:tc>
              <w:tc>
                <w:tcPr>
                  <w:tcW w:w="625" w:type="pct"/>
                  <w:vMerge w:val="restart"/>
                  <w:shd w:val="clear" w:color="auto" w:fill="FFFFFF"/>
                  <w:vAlign w:val="center"/>
                </w:tcPr>
                <w:p w14:paraId="2A42E350">
                  <w:pPr>
                    <w:widowControl/>
                    <w:jc w:val="center"/>
                    <w:textAlignment w:val="center"/>
                    <w:rPr>
                      <w:color w:val="auto"/>
                      <w:sz w:val="18"/>
                      <w:szCs w:val="18"/>
                    </w:rPr>
                  </w:pPr>
                </w:p>
              </w:tc>
              <w:tc>
                <w:tcPr>
                  <w:tcW w:w="899" w:type="pct"/>
                  <w:shd w:val="clear" w:color="auto" w:fill="FFFFFF"/>
                  <w:noWrap/>
                  <w:vAlign w:val="center"/>
                </w:tcPr>
                <w:p w14:paraId="63173BB1">
                  <w:pPr>
                    <w:widowControl/>
                    <w:jc w:val="center"/>
                    <w:textAlignment w:val="center"/>
                    <w:rPr>
                      <w:rFonts w:cs="宋体"/>
                      <w:color w:val="auto"/>
                      <w:sz w:val="18"/>
                      <w:szCs w:val="18"/>
                    </w:rPr>
                  </w:pPr>
                </w:p>
              </w:tc>
              <w:tc>
                <w:tcPr>
                  <w:tcW w:w="1051" w:type="pct"/>
                  <w:shd w:val="clear" w:color="auto" w:fill="FFFFFF"/>
                  <w:noWrap/>
                  <w:vAlign w:val="center"/>
                </w:tcPr>
                <w:p w14:paraId="0D59E805">
                  <w:pPr>
                    <w:widowControl/>
                    <w:jc w:val="center"/>
                    <w:textAlignment w:val="center"/>
                    <w:rPr>
                      <w:color w:val="auto"/>
                      <w:sz w:val="18"/>
                      <w:szCs w:val="18"/>
                    </w:rPr>
                  </w:pPr>
                </w:p>
              </w:tc>
              <w:tc>
                <w:tcPr>
                  <w:tcW w:w="569" w:type="pct"/>
                  <w:shd w:val="clear" w:color="auto" w:fill="FFFFFF"/>
                  <w:noWrap/>
                  <w:vAlign w:val="center"/>
                </w:tcPr>
                <w:p w14:paraId="4D26BED0">
                  <w:pPr>
                    <w:widowControl/>
                    <w:jc w:val="center"/>
                    <w:textAlignment w:val="center"/>
                    <w:rPr>
                      <w:color w:val="auto"/>
                      <w:sz w:val="18"/>
                      <w:szCs w:val="18"/>
                    </w:rPr>
                  </w:pPr>
                </w:p>
              </w:tc>
              <w:tc>
                <w:tcPr>
                  <w:tcW w:w="569" w:type="pct"/>
                  <w:shd w:val="clear" w:color="auto" w:fill="FFFFFF"/>
                  <w:noWrap/>
                  <w:vAlign w:val="center"/>
                </w:tcPr>
                <w:p w14:paraId="627317D6">
                  <w:pPr>
                    <w:widowControl/>
                    <w:jc w:val="center"/>
                    <w:textAlignment w:val="center"/>
                    <w:rPr>
                      <w:rFonts w:cs="宋体"/>
                      <w:color w:val="auto"/>
                      <w:sz w:val="18"/>
                      <w:szCs w:val="18"/>
                    </w:rPr>
                  </w:pPr>
                </w:p>
              </w:tc>
            </w:tr>
            <w:tr w14:paraId="3CF45411">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01" w:type="pct"/>
                  <w:vMerge w:val="continue"/>
                  <w:shd w:val="clear" w:color="auto" w:fill="FFFFFF"/>
                  <w:noWrap/>
                  <w:vAlign w:val="center"/>
                </w:tcPr>
                <w:p w14:paraId="18153599">
                  <w:pPr>
                    <w:jc w:val="center"/>
                    <w:rPr>
                      <w:color w:val="auto"/>
                      <w:sz w:val="18"/>
                      <w:szCs w:val="18"/>
                    </w:rPr>
                  </w:pPr>
                </w:p>
              </w:tc>
              <w:tc>
                <w:tcPr>
                  <w:tcW w:w="682" w:type="pct"/>
                  <w:vMerge w:val="continue"/>
                  <w:shd w:val="clear" w:color="auto" w:fill="FFFFFF"/>
                  <w:vAlign w:val="center"/>
                </w:tcPr>
                <w:p w14:paraId="00B5EE5A">
                  <w:pPr>
                    <w:jc w:val="center"/>
                    <w:rPr>
                      <w:rFonts w:cs="等线"/>
                      <w:color w:val="auto"/>
                      <w:sz w:val="18"/>
                      <w:szCs w:val="18"/>
                    </w:rPr>
                  </w:pPr>
                </w:p>
              </w:tc>
              <w:tc>
                <w:tcPr>
                  <w:tcW w:w="625" w:type="pct"/>
                  <w:vMerge w:val="continue"/>
                  <w:shd w:val="clear" w:color="auto" w:fill="FFFFFF"/>
                  <w:vAlign w:val="center"/>
                </w:tcPr>
                <w:p w14:paraId="5E8595E9">
                  <w:pPr>
                    <w:jc w:val="center"/>
                    <w:rPr>
                      <w:color w:val="auto"/>
                      <w:sz w:val="18"/>
                      <w:szCs w:val="18"/>
                    </w:rPr>
                  </w:pPr>
                </w:p>
              </w:tc>
              <w:tc>
                <w:tcPr>
                  <w:tcW w:w="899" w:type="pct"/>
                  <w:shd w:val="clear" w:color="auto" w:fill="FFFFFF"/>
                  <w:noWrap/>
                  <w:vAlign w:val="center"/>
                </w:tcPr>
                <w:p w14:paraId="45D4F3B9">
                  <w:pPr>
                    <w:widowControl/>
                    <w:jc w:val="center"/>
                    <w:textAlignment w:val="center"/>
                    <w:rPr>
                      <w:rFonts w:cs="宋体"/>
                      <w:color w:val="auto"/>
                      <w:sz w:val="18"/>
                      <w:szCs w:val="18"/>
                    </w:rPr>
                  </w:pPr>
                </w:p>
              </w:tc>
              <w:tc>
                <w:tcPr>
                  <w:tcW w:w="1051" w:type="pct"/>
                  <w:shd w:val="clear" w:color="auto" w:fill="FFFFFF"/>
                  <w:noWrap/>
                  <w:vAlign w:val="center"/>
                </w:tcPr>
                <w:p w14:paraId="1596CA9D">
                  <w:pPr>
                    <w:widowControl/>
                    <w:jc w:val="center"/>
                    <w:textAlignment w:val="center"/>
                    <w:rPr>
                      <w:color w:val="auto"/>
                      <w:sz w:val="18"/>
                      <w:szCs w:val="18"/>
                    </w:rPr>
                  </w:pPr>
                </w:p>
              </w:tc>
              <w:tc>
                <w:tcPr>
                  <w:tcW w:w="569" w:type="pct"/>
                  <w:shd w:val="clear" w:color="auto" w:fill="FFFFFF"/>
                  <w:noWrap/>
                  <w:vAlign w:val="center"/>
                </w:tcPr>
                <w:p w14:paraId="54E7AAAC">
                  <w:pPr>
                    <w:widowControl/>
                    <w:jc w:val="center"/>
                    <w:textAlignment w:val="center"/>
                    <w:rPr>
                      <w:color w:val="auto"/>
                      <w:sz w:val="18"/>
                      <w:szCs w:val="18"/>
                    </w:rPr>
                  </w:pPr>
                </w:p>
              </w:tc>
              <w:tc>
                <w:tcPr>
                  <w:tcW w:w="569" w:type="pct"/>
                  <w:shd w:val="clear" w:color="auto" w:fill="FFFFFF"/>
                  <w:noWrap/>
                  <w:vAlign w:val="center"/>
                </w:tcPr>
                <w:p w14:paraId="568B66D1">
                  <w:pPr>
                    <w:widowControl/>
                    <w:jc w:val="center"/>
                    <w:textAlignment w:val="center"/>
                    <w:rPr>
                      <w:rFonts w:cs="宋体"/>
                      <w:color w:val="auto"/>
                      <w:sz w:val="18"/>
                      <w:szCs w:val="18"/>
                    </w:rPr>
                  </w:pPr>
                </w:p>
              </w:tc>
            </w:tr>
            <w:tr w14:paraId="0CE38BBC">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01" w:type="pct"/>
                  <w:vMerge w:val="restart"/>
                  <w:shd w:val="clear" w:color="auto" w:fill="FFFFFF"/>
                  <w:vAlign w:val="center"/>
                </w:tcPr>
                <w:p w14:paraId="0449D87C">
                  <w:pPr>
                    <w:widowControl/>
                    <w:jc w:val="center"/>
                    <w:textAlignment w:val="center"/>
                    <w:rPr>
                      <w:color w:val="auto"/>
                      <w:sz w:val="18"/>
                      <w:szCs w:val="18"/>
                    </w:rPr>
                  </w:pPr>
                </w:p>
              </w:tc>
              <w:tc>
                <w:tcPr>
                  <w:tcW w:w="682" w:type="pct"/>
                  <w:vMerge w:val="restart"/>
                  <w:shd w:val="clear" w:color="auto" w:fill="FFFFFF"/>
                  <w:vAlign w:val="center"/>
                </w:tcPr>
                <w:p w14:paraId="2002CB64">
                  <w:pPr>
                    <w:widowControl/>
                    <w:jc w:val="center"/>
                    <w:textAlignment w:val="center"/>
                    <w:rPr>
                      <w:rFonts w:cs="等线"/>
                      <w:color w:val="auto"/>
                      <w:sz w:val="18"/>
                      <w:szCs w:val="18"/>
                    </w:rPr>
                  </w:pPr>
                </w:p>
              </w:tc>
              <w:tc>
                <w:tcPr>
                  <w:tcW w:w="625" w:type="pct"/>
                  <w:vMerge w:val="restart"/>
                  <w:shd w:val="clear" w:color="auto" w:fill="FFFFFF"/>
                  <w:vAlign w:val="center"/>
                </w:tcPr>
                <w:p w14:paraId="2641739A">
                  <w:pPr>
                    <w:widowControl/>
                    <w:jc w:val="center"/>
                    <w:textAlignment w:val="center"/>
                    <w:rPr>
                      <w:color w:val="auto"/>
                      <w:sz w:val="18"/>
                      <w:szCs w:val="18"/>
                    </w:rPr>
                  </w:pPr>
                </w:p>
              </w:tc>
              <w:tc>
                <w:tcPr>
                  <w:tcW w:w="899" w:type="pct"/>
                  <w:shd w:val="clear" w:color="auto" w:fill="FFFFFF"/>
                  <w:noWrap/>
                  <w:vAlign w:val="center"/>
                </w:tcPr>
                <w:p w14:paraId="37FC9E3B">
                  <w:pPr>
                    <w:widowControl/>
                    <w:jc w:val="center"/>
                    <w:textAlignment w:val="center"/>
                    <w:rPr>
                      <w:rFonts w:cs="宋体"/>
                      <w:color w:val="auto"/>
                      <w:sz w:val="18"/>
                      <w:szCs w:val="18"/>
                    </w:rPr>
                  </w:pPr>
                </w:p>
              </w:tc>
              <w:tc>
                <w:tcPr>
                  <w:tcW w:w="1051" w:type="pct"/>
                  <w:shd w:val="clear" w:color="auto" w:fill="FFFFFF"/>
                  <w:noWrap/>
                  <w:vAlign w:val="center"/>
                </w:tcPr>
                <w:p w14:paraId="714F1B9E">
                  <w:pPr>
                    <w:widowControl/>
                    <w:jc w:val="center"/>
                    <w:textAlignment w:val="center"/>
                    <w:rPr>
                      <w:rFonts w:cs="等线"/>
                      <w:color w:val="auto"/>
                      <w:sz w:val="18"/>
                      <w:szCs w:val="18"/>
                    </w:rPr>
                  </w:pPr>
                </w:p>
              </w:tc>
              <w:tc>
                <w:tcPr>
                  <w:tcW w:w="569" w:type="pct"/>
                  <w:shd w:val="clear" w:color="auto" w:fill="FFFFFF"/>
                  <w:noWrap/>
                  <w:vAlign w:val="center"/>
                </w:tcPr>
                <w:p w14:paraId="02E3629B">
                  <w:pPr>
                    <w:widowControl/>
                    <w:jc w:val="center"/>
                    <w:textAlignment w:val="center"/>
                    <w:rPr>
                      <w:rFonts w:cs="等线"/>
                      <w:color w:val="auto"/>
                      <w:sz w:val="18"/>
                      <w:szCs w:val="18"/>
                    </w:rPr>
                  </w:pPr>
                </w:p>
              </w:tc>
              <w:tc>
                <w:tcPr>
                  <w:tcW w:w="569" w:type="pct"/>
                  <w:shd w:val="clear" w:color="auto" w:fill="FFFFFF"/>
                  <w:noWrap/>
                  <w:vAlign w:val="center"/>
                </w:tcPr>
                <w:p w14:paraId="684A7E7E">
                  <w:pPr>
                    <w:widowControl/>
                    <w:jc w:val="center"/>
                    <w:textAlignment w:val="center"/>
                    <w:rPr>
                      <w:rFonts w:cs="宋体"/>
                      <w:color w:val="auto"/>
                      <w:sz w:val="18"/>
                      <w:szCs w:val="18"/>
                    </w:rPr>
                  </w:pPr>
                </w:p>
              </w:tc>
            </w:tr>
            <w:tr w14:paraId="71269E8A">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01" w:type="pct"/>
                  <w:vMerge w:val="continue"/>
                  <w:shd w:val="clear" w:color="auto" w:fill="FFFFFF"/>
                  <w:vAlign w:val="center"/>
                </w:tcPr>
                <w:p w14:paraId="10745B41">
                  <w:pPr>
                    <w:jc w:val="center"/>
                    <w:rPr>
                      <w:color w:val="auto"/>
                      <w:sz w:val="18"/>
                      <w:szCs w:val="18"/>
                    </w:rPr>
                  </w:pPr>
                </w:p>
              </w:tc>
              <w:tc>
                <w:tcPr>
                  <w:tcW w:w="682" w:type="pct"/>
                  <w:vMerge w:val="continue"/>
                  <w:shd w:val="clear" w:color="auto" w:fill="FFFFFF"/>
                  <w:vAlign w:val="center"/>
                </w:tcPr>
                <w:p w14:paraId="5ADD89AE">
                  <w:pPr>
                    <w:jc w:val="center"/>
                    <w:rPr>
                      <w:rFonts w:cs="等线"/>
                      <w:color w:val="auto"/>
                      <w:sz w:val="18"/>
                      <w:szCs w:val="18"/>
                    </w:rPr>
                  </w:pPr>
                </w:p>
              </w:tc>
              <w:tc>
                <w:tcPr>
                  <w:tcW w:w="625" w:type="pct"/>
                  <w:vMerge w:val="continue"/>
                  <w:shd w:val="clear" w:color="auto" w:fill="FFFFFF"/>
                  <w:vAlign w:val="center"/>
                </w:tcPr>
                <w:p w14:paraId="7FF7B378">
                  <w:pPr>
                    <w:jc w:val="center"/>
                    <w:rPr>
                      <w:color w:val="auto"/>
                      <w:sz w:val="18"/>
                      <w:szCs w:val="18"/>
                    </w:rPr>
                  </w:pPr>
                </w:p>
              </w:tc>
              <w:tc>
                <w:tcPr>
                  <w:tcW w:w="899" w:type="pct"/>
                  <w:shd w:val="clear" w:color="auto" w:fill="FFFFFF"/>
                  <w:noWrap/>
                  <w:vAlign w:val="center"/>
                </w:tcPr>
                <w:p w14:paraId="5CAD0BF0">
                  <w:pPr>
                    <w:widowControl/>
                    <w:jc w:val="center"/>
                    <w:textAlignment w:val="center"/>
                    <w:rPr>
                      <w:rFonts w:cs="宋体"/>
                      <w:color w:val="auto"/>
                      <w:sz w:val="18"/>
                      <w:szCs w:val="18"/>
                    </w:rPr>
                  </w:pPr>
                </w:p>
              </w:tc>
              <w:tc>
                <w:tcPr>
                  <w:tcW w:w="1051" w:type="pct"/>
                  <w:shd w:val="clear" w:color="auto" w:fill="FFFFFF"/>
                  <w:noWrap/>
                  <w:vAlign w:val="center"/>
                </w:tcPr>
                <w:p w14:paraId="75AFCE13">
                  <w:pPr>
                    <w:widowControl/>
                    <w:jc w:val="center"/>
                    <w:textAlignment w:val="center"/>
                    <w:rPr>
                      <w:rFonts w:cs="宋体"/>
                      <w:color w:val="auto"/>
                      <w:sz w:val="18"/>
                      <w:szCs w:val="18"/>
                    </w:rPr>
                  </w:pPr>
                </w:p>
              </w:tc>
              <w:tc>
                <w:tcPr>
                  <w:tcW w:w="569" w:type="pct"/>
                  <w:shd w:val="clear" w:color="auto" w:fill="FFFFFF"/>
                  <w:noWrap/>
                  <w:vAlign w:val="center"/>
                </w:tcPr>
                <w:p w14:paraId="7481B193">
                  <w:pPr>
                    <w:widowControl/>
                    <w:jc w:val="center"/>
                    <w:textAlignment w:val="center"/>
                    <w:rPr>
                      <w:rFonts w:cs="等线"/>
                      <w:color w:val="auto"/>
                      <w:sz w:val="18"/>
                      <w:szCs w:val="18"/>
                    </w:rPr>
                  </w:pPr>
                </w:p>
              </w:tc>
              <w:tc>
                <w:tcPr>
                  <w:tcW w:w="569" w:type="pct"/>
                  <w:shd w:val="clear" w:color="auto" w:fill="FFFFFF"/>
                  <w:noWrap/>
                  <w:vAlign w:val="center"/>
                </w:tcPr>
                <w:p w14:paraId="2E864C37">
                  <w:pPr>
                    <w:widowControl/>
                    <w:jc w:val="center"/>
                    <w:textAlignment w:val="center"/>
                    <w:rPr>
                      <w:rFonts w:cs="宋体"/>
                      <w:color w:val="auto"/>
                      <w:sz w:val="18"/>
                      <w:szCs w:val="18"/>
                    </w:rPr>
                  </w:pPr>
                </w:p>
              </w:tc>
            </w:tr>
            <w:tr w14:paraId="689DE033">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01" w:type="pct"/>
                  <w:vMerge w:val="continue"/>
                  <w:shd w:val="clear" w:color="auto" w:fill="FFFFFF"/>
                  <w:vAlign w:val="center"/>
                </w:tcPr>
                <w:p w14:paraId="719CF5B0">
                  <w:pPr>
                    <w:jc w:val="center"/>
                    <w:rPr>
                      <w:color w:val="auto"/>
                      <w:sz w:val="18"/>
                      <w:szCs w:val="18"/>
                    </w:rPr>
                  </w:pPr>
                </w:p>
              </w:tc>
              <w:tc>
                <w:tcPr>
                  <w:tcW w:w="682" w:type="pct"/>
                  <w:vMerge w:val="restart"/>
                  <w:shd w:val="clear" w:color="auto" w:fill="FFFFFF"/>
                  <w:vAlign w:val="center"/>
                </w:tcPr>
                <w:p w14:paraId="2D8A4DF6">
                  <w:pPr>
                    <w:widowControl/>
                    <w:jc w:val="center"/>
                    <w:textAlignment w:val="center"/>
                    <w:rPr>
                      <w:rFonts w:cs="等线"/>
                      <w:color w:val="auto"/>
                      <w:sz w:val="18"/>
                      <w:szCs w:val="18"/>
                    </w:rPr>
                  </w:pPr>
                </w:p>
              </w:tc>
              <w:tc>
                <w:tcPr>
                  <w:tcW w:w="625" w:type="pct"/>
                  <w:vMerge w:val="restart"/>
                  <w:shd w:val="clear" w:color="auto" w:fill="FFFFFF"/>
                  <w:vAlign w:val="center"/>
                </w:tcPr>
                <w:p w14:paraId="2DDD94EF">
                  <w:pPr>
                    <w:widowControl/>
                    <w:jc w:val="center"/>
                    <w:textAlignment w:val="center"/>
                    <w:rPr>
                      <w:color w:val="auto"/>
                      <w:kern w:val="0"/>
                      <w:sz w:val="18"/>
                      <w:szCs w:val="18"/>
                      <w:lang w:bidi="ar"/>
                    </w:rPr>
                  </w:pPr>
                </w:p>
              </w:tc>
              <w:tc>
                <w:tcPr>
                  <w:tcW w:w="899" w:type="pct"/>
                  <w:shd w:val="clear" w:color="auto" w:fill="FFFFFF"/>
                  <w:noWrap/>
                  <w:vAlign w:val="center"/>
                </w:tcPr>
                <w:p w14:paraId="28A76201">
                  <w:pPr>
                    <w:widowControl/>
                    <w:jc w:val="center"/>
                    <w:textAlignment w:val="center"/>
                    <w:rPr>
                      <w:rFonts w:cs="宋体"/>
                      <w:color w:val="auto"/>
                      <w:kern w:val="0"/>
                      <w:sz w:val="18"/>
                      <w:szCs w:val="18"/>
                      <w:lang w:bidi="ar"/>
                    </w:rPr>
                  </w:pPr>
                </w:p>
              </w:tc>
              <w:tc>
                <w:tcPr>
                  <w:tcW w:w="1051" w:type="pct"/>
                  <w:shd w:val="clear" w:color="auto" w:fill="FFFFFF"/>
                  <w:noWrap/>
                  <w:vAlign w:val="center"/>
                </w:tcPr>
                <w:p w14:paraId="38677749">
                  <w:pPr>
                    <w:widowControl/>
                    <w:jc w:val="center"/>
                    <w:textAlignment w:val="center"/>
                    <w:rPr>
                      <w:rFonts w:cs="宋体"/>
                      <w:color w:val="auto"/>
                      <w:sz w:val="18"/>
                      <w:szCs w:val="18"/>
                    </w:rPr>
                  </w:pPr>
                </w:p>
              </w:tc>
              <w:tc>
                <w:tcPr>
                  <w:tcW w:w="569" w:type="pct"/>
                  <w:shd w:val="clear" w:color="auto" w:fill="FFFFFF"/>
                  <w:noWrap/>
                  <w:vAlign w:val="center"/>
                </w:tcPr>
                <w:p w14:paraId="74580AD3">
                  <w:pPr>
                    <w:widowControl/>
                    <w:jc w:val="center"/>
                    <w:textAlignment w:val="center"/>
                    <w:rPr>
                      <w:rFonts w:cs="等线"/>
                      <w:color w:val="auto"/>
                      <w:kern w:val="0"/>
                      <w:sz w:val="18"/>
                      <w:szCs w:val="18"/>
                      <w:lang w:bidi="ar"/>
                    </w:rPr>
                  </w:pPr>
                </w:p>
              </w:tc>
              <w:tc>
                <w:tcPr>
                  <w:tcW w:w="569" w:type="pct"/>
                  <w:shd w:val="clear" w:color="auto" w:fill="FFFFFF"/>
                  <w:noWrap/>
                  <w:vAlign w:val="center"/>
                </w:tcPr>
                <w:p w14:paraId="70A442A6">
                  <w:pPr>
                    <w:widowControl/>
                    <w:jc w:val="center"/>
                    <w:textAlignment w:val="center"/>
                    <w:rPr>
                      <w:rFonts w:cs="宋体"/>
                      <w:color w:val="auto"/>
                      <w:kern w:val="0"/>
                      <w:sz w:val="18"/>
                      <w:szCs w:val="18"/>
                      <w:lang w:bidi="ar"/>
                    </w:rPr>
                  </w:pPr>
                </w:p>
              </w:tc>
            </w:tr>
            <w:tr w14:paraId="2584C5BE">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01" w:type="pct"/>
                  <w:vMerge w:val="continue"/>
                  <w:shd w:val="clear" w:color="auto" w:fill="FFFFFF"/>
                  <w:vAlign w:val="center"/>
                </w:tcPr>
                <w:p w14:paraId="0BAEF526">
                  <w:pPr>
                    <w:jc w:val="center"/>
                    <w:rPr>
                      <w:color w:val="auto"/>
                      <w:sz w:val="18"/>
                      <w:szCs w:val="18"/>
                    </w:rPr>
                  </w:pPr>
                </w:p>
              </w:tc>
              <w:tc>
                <w:tcPr>
                  <w:tcW w:w="682" w:type="pct"/>
                  <w:vMerge w:val="continue"/>
                  <w:shd w:val="clear" w:color="auto" w:fill="FFFFFF"/>
                  <w:vAlign w:val="center"/>
                </w:tcPr>
                <w:p w14:paraId="51FF6681">
                  <w:pPr>
                    <w:jc w:val="center"/>
                    <w:rPr>
                      <w:rFonts w:cs="等线"/>
                      <w:color w:val="auto"/>
                      <w:sz w:val="18"/>
                      <w:szCs w:val="18"/>
                    </w:rPr>
                  </w:pPr>
                </w:p>
              </w:tc>
              <w:tc>
                <w:tcPr>
                  <w:tcW w:w="625" w:type="pct"/>
                  <w:vMerge w:val="continue"/>
                  <w:shd w:val="clear" w:color="auto" w:fill="FFFFFF"/>
                  <w:vAlign w:val="center"/>
                </w:tcPr>
                <w:p w14:paraId="4E0C4971">
                  <w:pPr>
                    <w:jc w:val="center"/>
                    <w:rPr>
                      <w:color w:val="auto"/>
                      <w:sz w:val="18"/>
                      <w:szCs w:val="18"/>
                    </w:rPr>
                  </w:pPr>
                </w:p>
              </w:tc>
              <w:tc>
                <w:tcPr>
                  <w:tcW w:w="899" w:type="pct"/>
                  <w:shd w:val="clear" w:color="auto" w:fill="FFFFFF"/>
                  <w:noWrap/>
                  <w:vAlign w:val="center"/>
                </w:tcPr>
                <w:p w14:paraId="486A4114">
                  <w:pPr>
                    <w:widowControl/>
                    <w:jc w:val="center"/>
                    <w:textAlignment w:val="center"/>
                    <w:rPr>
                      <w:rFonts w:cs="宋体"/>
                      <w:color w:val="auto"/>
                      <w:kern w:val="0"/>
                      <w:sz w:val="18"/>
                      <w:szCs w:val="18"/>
                      <w:lang w:bidi="ar"/>
                    </w:rPr>
                  </w:pPr>
                </w:p>
              </w:tc>
              <w:tc>
                <w:tcPr>
                  <w:tcW w:w="1051" w:type="pct"/>
                  <w:shd w:val="clear" w:color="auto" w:fill="FFFFFF"/>
                  <w:noWrap/>
                  <w:vAlign w:val="center"/>
                </w:tcPr>
                <w:p w14:paraId="2F4F6B9E">
                  <w:pPr>
                    <w:widowControl/>
                    <w:jc w:val="center"/>
                    <w:textAlignment w:val="center"/>
                    <w:rPr>
                      <w:rFonts w:cs="宋体"/>
                      <w:color w:val="auto"/>
                      <w:sz w:val="18"/>
                      <w:szCs w:val="18"/>
                    </w:rPr>
                  </w:pPr>
                </w:p>
              </w:tc>
              <w:tc>
                <w:tcPr>
                  <w:tcW w:w="569" w:type="pct"/>
                  <w:shd w:val="clear" w:color="auto" w:fill="FFFFFF"/>
                  <w:noWrap/>
                  <w:vAlign w:val="center"/>
                </w:tcPr>
                <w:p w14:paraId="14E04D97">
                  <w:pPr>
                    <w:widowControl/>
                    <w:jc w:val="center"/>
                    <w:textAlignment w:val="center"/>
                    <w:rPr>
                      <w:rFonts w:cs="等线"/>
                      <w:color w:val="auto"/>
                      <w:kern w:val="0"/>
                      <w:sz w:val="18"/>
                      <w:szCs w:val="18"/>
                      <w:lang w:bidi="ar"/>
                    </w:rPr>
                  </w:pPr>
                </w:p>
              </w:tc>
              <w:tc>
                <w:tcPr>
                  <w:tcW w:w="569" w:type="pct"/>
                  <w:shd w:val="clear" w:color="auto" w:fill="FFFFFF"/>
                  <w:noWrap/>
                  <w:vAlign w:val="center"/>
                </w:tcPr>
                <w:p w14:paraId="7C0D4E60">
                  <w:pPr>
                    <w:widowControl/>
                    <w:jc w:val="center"/>
                    <w:textAlignment w:val="center"/>
                    <w:rPr>
                      <w:rFonts w:cs="宋体"/>
                      <w:color w:val="auto"/>
                      <w:kern w:val="0"/>
                      <w:sz w:val="18"/>
                      <w:szCs w:val="18"/>
                      <w:lang w:bidi="ar"/>
                    </w:rPr>
                  </w:pPr>
                </w:p>
              </w:tc>
            </w:tr>
            <w:tr w14:paraId="7358E40D">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01" w:type="pct"/>
                  <w:vMerge w:val="continue"/>
                  <w:shd w:val="clear" w:color="auto" w:fill="FFFFFF"/>
                  <w:vAlign w:val="center"/>
                </w:tcPr>
                <w:p w14:paraId="71A2D014">
                  <w:pPr>
                    <w:jc w:val="center"/>
                    <w:rPr>
                      <w:color w:val="auto"/>
                      <w:sz w:val="18"/>
                      <w:szCs w:val="18"/>
                    </w:rPr>
                  </w:pPr>
                </w:p>
              </w:tc>
              <w:tc>
                <w:tcPr>
                  <w:tcW w:w="682" w:type="pct"/>
                  <w:vMerge w:val="restart"/>
                  <w:shd w:val="clear" w:color="auto" w:fill="FFFFFF"/>
                  <w:vAlign w:val="center"/>
                </w:tcPr>
                <w:p w14:paraId="0E15891A">
                  <w:pPr>
                    <w:widowControl/>
                    <w:jc w:val="center"/>
                    <w:textAlignment w:val="center"/>
                    <w:rPr>
                      <w:rFonts w:cs="等线"/>
                      <w:color w:val="auto"/>
                      <w:sz w:val="18"/>
                      <w:szCs w:val="18"/>
                    </w:rPr>
                  </w:pPr>
                </w:p>
              </w:tc>
              <w:tc>
                <w:tcPr>
                  <w:tcW w:w="1861" w:type="dxa"/>
                  <w:vMerge w:val="restart"/>
                  <w:shd w:val="clear" w:color="auto" w:fill="FFFFFF"/>
                  <w:vAlign w:val="center"/>
                </w:tcPr>
                <w:p w14:paraId="6B396B68">
                  <w:pPr>
                    <w:widowControl/>
                    <w:jc w:val="center"/>
                    <w:textAlignment w:val="center"/>
                    <w:rPr>
                      <w:color w:val="auto"/>
                      <w:kern w:val="0"/>
                      <w:sz w:val="18"/>
                      <w:szCs w:val="18"/>
                      <w:lang w:bidi="ar"/>
                    </w:rPr>
                  </w:pPr>
                </w:p>
              </w:tc>
              <w:tc>
                <w:tcPr>
                  <w:tcW w:w="899" w:type="pct"/>
                  <w:shd w:val="clear" w:color="auto" w:fill="FFFFFF"/>
                  <w:noWrap/>
                  <w:vAlign w:val="center"/>
                </w:tcPr>
                <w:p w14:paraId="14DA6121">
                  <w:pPr>
                    <w:widowControl/>
                    <w:jc w:val="center"/>
                    <w:textAlignment w:val="center"/>
                    <w:rPr>
                      <w:rFonts w:cs="宋体"/>
                      <w:color w:val="auto"/>
                      <w:sz w:val="18"/>
                      <w:szCs w:val="18"/>
                    </w:rPr>
                  </w:pPr>
                </w:p>
              </w:tc>
              <w:tc>
                <w:tcPr>
                  <w:tcW w:w="1051" w:type="pct"/>
                  <w:shd w:val="clear" w:color="auto" w:fill="FFFFFF"/>
                  <w:noWrap/>
                  <w:vAlign w:val="center"/>
                </w:tcPr>
                <w:p w14:paraId="18CCFBA5">
                  <w:pPr>
                    <w:widowControl/>
                    <w:jc w:val="center"/>
                    <w:textAlignment w:val="center"/>
                    <w:rPr>
                      <w:rFonts w:cs="等线"/>
                      <w:color w:val="auto"/>
                      <w:sz w:val="18"/>
                      <w:szCs w:val="18"/>
                    </w:rPr>
                  </w:pPr>
                </w:p>
              </w:tc>
              <w:tc>
                <w:tcPr>
                  <w:tcW w:w="569" w:type="pct"/>
                  <w:shd w:val="clear" w:color="auto" w:fill="FFFFFF"/>
                  <w:noWrap/>
                  <w:vAlign w:val="center"/>
                </w:tcPr>
                <w:p w14:paraId="0ADE9574">
                  <w:pPr>
                    <w:widowControl/>
                    <w:jc w:val="center"/>
                    <w:textAlignment w:val="center"/>
                    <w:rPr>
                      <w:rFonts w:cs="等线"/>
                      <w:color w:val="auto"/>
                      <w:sz w:val="18"/>
                      <w:szCs w:val="18"/>
                    </w:rPr>
                  </w:pPr>
                </w:p>
              </w:tc>
              <w:tc>
                <w:tcPr>
                  <w:tcW w:w="569" w:type="pct"/>
                  <w:shd w:val="clear" w:color="auto" w:fill="FFFFFF"/>
                  <w:noWrap/>
                  <w:vAlign w:val="center"/>
                </w:tcPr>
                <w:p w14:paraId="18183293">
                  <w:pPr>
                    <w:widowControl/>
                    <w:jc w:val="center"/>
                    <w:textAlignment w:val="center"/>
                    <w:rPr>
                      <w:rFonts w:cs="宋体"/>
                      <w:color w:val="auto"/>
                      <w:sz w:val="18"/>
                      <w:szCs w:val="18"/>
                    </w:rPr>
                  </w:pPr>
                </w:p>
              </w:tc>
            </w:tr>
            <w:tr w14:paraId="47A21D0B">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01" w:type="pct"/>
                  <w:vMerge w:val="continue"/>
                  <w:shd w:val="clear" w:color="auto" w:fill="FFFFFF"/>
                  <w:vAlign w:val="center"/>
                </w:tcPr>
                <w:p w14:paraId="3431BED5">
                  <w:pPr>
                    <w:jc w:val="center"/>
                    <w:rPr>
                      <w:color w:val="auto"/>
                      <w:sz w:val="18"/>
                      <w:szCs w:val="18"/>
                    </w:rPr>
                  </w:pPr>
                </w:p>
              </w:tc>
              <w:tc>
                <w:tcPr>
                  <w:tcW w:w="682" w:type="pct"/>
                  <w:vMerge w:val="continue"/>
                  <w:shd w:val="clear" w:color="auto" w:fill="FFFFFF"/>
                  <w:vAlign w:val="center"/>
                </w:tcPr>
                <w:p w14:paraId="7372D1CF">
                  <w:pPr>
                    <w:jc w:val="center"/>
                    <w:rPr>
                      <w:rFonts w:cs="等线"/>
                      <w:color w:val="auto"/>
                      <w:sz w:val="18"/>
                      <w:szCs w:val="18"/>
                    </w:rPr>
                  </w:pPr>
                </w:p>
              </w:tc>
              <w:tc>
                <w:tcPr>
                  <w:tcW w:w="625" w:type="pct"/>
                  <w:vMerge w:val="continue"/>
                  <w:shd w:val="clear" w:color="auto" w:fill="FFFFFF"/>
                  <w:vAlign w:val="center"/>
                </w:tcPr>
                <w:p w14:paraId="16E7E9A3">
                  <w:pPr>
                    <w:jc w:val="center"/>
                    <w:rPr>
                      <w:color w:val="auto"/>
                      <w:sz w:val="18"/>
                      <w:szCs w:val="18"/>
                    </w:rPr>
                  </w:pPr>
                </w:p>
              </w:tc>
              <w:tc>
                <w:tcPr>
                  <w:tcW w:w="899" w:type="pct"/>
                  <w:shd w:val="clear" w:color="auto" w:fill="FFFFFF"/>
                  <w:noWrap/>
                  <w:vAlign w:val="center"/>
                </w:tcPr>
                <w:p w14:paraId="59FADA5F">
                  <w:pPr>
                    <w:widowControl/>
                    <w:jc w:val="center"/>
                    <w:textAlignment w:val="center"/>
                    <w:rPr>
                      <w:rFonts w:cs="宋体"/>
                      <w:color w:val="auto"/>
                      <w:sz w:val="18"/>
                      <w:szCs w:val="18"/>
                    </w:rPr>
                  </w:pPr>
                </w:p>
              </w:tc>
              <w:tc>
                <w:tcPr>
                  <w:tcW w:w="1051" w:type="pct"/>
                  <w:shd w:val="clear" w:color="auto" w:fill="FFFFFF"/>
                  <w:noWrap/>
                  <w:vAlign w:val="center"/>
                </w:tcPr>
                <w:p w14:paraId="07984548">
                  <w:pPr>
                    <w:widowControl/>
                    <w:jc w:val="center"/>
                    <w:textAlignment w:val="center"/>
                    <w:rPr>
                      <w:rFonts w:cs="等线"/>
                      <w:color w:val="auto"/>
                      <w:sz w:val="18"/>
                      <w:szCs w:val="18"/>
                    </w:rPr>
                  </w:pPr>
                </w:p>
              </w:tc>
              <w:tc>
                <w:tcPr>
                  <w:tcW w:w="569" w:type="pct"/>
                  <w:shd w:val="clear" w:color="auto" w:fill="FFFFFF"/>
                  <w:noWrap/>
                  <w:vAlign w:val="center"/>
                </w:tcPr>
                <w:p w14:paraId="77A69BAB">
                  <w:pPr>
                    <w:widowControl/>
                    <w:jc w:val="center"/>
                    <w:textAlignment w:val="center"/>
                    <w:rPr>
                      <w:rFonts w:cs="等线"/>
                      <w:color w:val="auto"/>
                      <w:sz w:val="18"/>
                      <w:szCs w:val="18"/>
                    </w:rPr>
                  </w:pPr>
                </w:p>
              </w:tc>
              <w:tc>
                <w:tcPr>
                  <w:tcW w:w="569" w:type="pct"/>
                  <w:shd w:val="clear" w:color="auto" w:fill="FFFFFF"/>
                  <w:noWrap/>
                  <w:vAlign w:val="center"/>
                </w:tcPr>
                <w:p w14:paraId="4DAED805">
                  <w:pPr>
                    <w:widowControl/>
                    <w:jc w:val="center"/>
                    <w:textAlignment w:val="center"/>
                    <w:rPr>
                      <w:rFonts w:cs="宋体"/>
                      <w:color w:val="auto"/>
                      <w:sz w:val="18"/>
                      <w:szCs w:val="18"/>
                    </w:rPr>
                  </w:pPr>
                </w:p>
              </w:tc>
            </w:tr>
            <w:tr w14:paraId="2C6E105A">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01" w:type="pct"/>
                  <w:vMerge w:val="continue"/>
                  <w:shd w:val="clear" w:color="auto" w:fill="FFFFFF"/>
                  <w:vAlign w:val="center"/>
                </w:tcPr>
                <w:p w14:paraId="3141180C">
                  <w:pPr>
                    <w:jc w:val="center"/>
                    <w:rPr>
                      <w:color w:val="auto"/>
                      <w:sz w:val="18"/>
                      <w:szCs w:val="18"/>
                    </w:rPr>
                  </w:pPr>
                </w:p>
              </w:tc>
              <w:tc>
                <w:tcPr>
                  <w:tcW w:w="682" w:type="pct"/>
                  <w:vMerge w:val="restart"/>
                  <w:shd w:val="clear" w:color="auto" w:fill="FFFFFF"/>
                  <w:vAlign w:val="center"/>
                </w:tcPr>
                <w:p w14:paraId="2944512A">
                  <w:pPr>
                    <w:widowControl/>
                    <w:jc w:val="center"/>
                    <w:textAlignment w:val="center"/>
                    <w:rPr>
                      <w:rFonts w:cs="等线"/>
                      <w:color w:val="auto"/>
                      <w:sz w:val="18"/>
                      <w:szCs w:val="18"/>
                    </w:rPr>
                  </w:pPr>
                </w:p>
              </w:tc>
              <w:tc>
                <w:tcPr>
                  <w:tcW w:w="1861" w:type="dxa"/>
                  <w:vMerge w:val="restart"/>
                  <w:shd w:val="clear" w:color="auto" w:fill="FFFFFF"/>
                  <w:vAlign w:val="center"/>
                </w:tcPr>
                <w:p w14:paraId="3CEA72B4">
                  <w:pPr>
                    <w:widowControl/>
                    <w:jc w:val="center"/>
                    <w:textAlignment w:val="center"/>
                    <w:rPr>
                      <w:color w:val="auto"/>
                      <w:kern w:val="0"/>
                      <w:sz w:val="18"/>
                      <w:szCs w:val="18"/>
                      <w:lang w:bidi="ar"/>
                    </w:rPr>
                  </w:pPr>
                </w:p>
              </w:tc>
              <w:tc>
                <w:tcPr>
                  <w:tcW w:w="899" w:type="pct"/>
                  <w:shd w:val="clear" w:color="auto" w:fill="FFFFFF"/>
                  <w:noWrap/>
                  <w:vAlign w:val="center"/>
                </w:tcPr>
                <w:p w14:paraId="093F30F2">
                  <w:pPr>
                    <w:widowControl/>
                    <w:jc w:val="center"/>
                    <w:textAlignment w:val="center"/>
                    <w:rPr>
                      <w:rFonts w:cs="宋体"/>
                      <w:color w:val="auto"/>
                      <w:sz w:val="18"/>
                      <w:szCs w:val="18"/>
                    </w:rPr>
                  </w:pPr>
                </w:p>
              </w:tc>
              <w:tc>
                <w:tcPr>
                  <w:tcW w:w="1051" w:type="pct"/>
                  <w:shd w:val="clear" w:color="auto" w:fill="FFFFFF"/>
                  <w:noWrap/>
                  <w:vAlign w:val="center"/>
                </w:tcPr>
                <w:p w14:paraId="58456750">
                  <w:pPr>
                    <w:widowControl/>
                    <w:jc w:val="center"/>
                    <w:textAlignment w:val="center"/>
                    <w:rPr>
                      <w:rFonts w:cs="等线"/>
                      <w:color w:val="auto"/>
                      <w:sz w:val="18"/>
                      <w:szCs w:val="18"/>
                    </w:rPr>
                  </w:pPr>
                </w:p>
              </w:tc>
              <w:tc>
                <w:tcPr>
                  <w:tcW w:w="569" w:type="pct"/>
                  <w:shd w:val="clear" w:color="auto" w:fill="FFFFFF"/>
                  <w:noWrap/>
                  <w:vAlign w:val="center"/>
                </w:tcPr>
                <w:p w14:paraId="79995920">
                  <w:pPr>
                    <w:widowControl/>
                    <w:jc w:val="center"/>
                    <w:textAlignment w:val="center"/>
                    <w:rPr>
                      <w:rFonts w:cs="等线"/>
                      <w:color w:val="auto"/>
                      <w:sz w:val="18"/>
                      <w:szCs w:val="18"/>
                    </w:rPr>
                  </w:pPr>
                </w:p>
              </w:tc>
              <w:tc>
                <w:tcPr>
                  <w:tcW w:w="569" w:type="pct"/>
                  <w:shd w:val="clear" w:color="auto" w:fill="FFFFFF"/>
                  <w:noWrap/>
                  <w:vAlign w:val="center"/>
                </w:tcPr>
                <w:p w14:paraId="0AFD2481">
                  <w:pPr>
                    <w:widowControl/>
                    <w:jc w:val="center"/>
                    <w:textAlignment w:val="center"/>
                    <w:rPr>
                      <w:rFonts w:cs="宋体"/>
                      <w:color w:val="auto"/>
                      <w:sz w:val="18"/>
                      <w:szCs w:val="18"/>
                    </w:rPr>
                  </w:pPr>
                </w:p>
              </w:tc>
            </w:tr>
            <w:tr w14:paraId="4CF31323">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2" w:hRule="atLeast"/>
              </w:trPr>
              <w:tc>
                <w:tcPr>
                  <w:tcW w:w="601" w:type="pct"/>
                  <w:vMerge w:val="continue"/>
                  <w:shd w:val="clear" w:color="auto" w:fill="FFFFFF"/>
                  <w:vAlign w:val="center"/>
                </w:tcPr>
                <w:p w14:paraId="15761BF9">
                  <w:pPr>
                    <w:jc w:val="center"/>
                    <w:rPr>
                      <w:color w:val="auto"/>
                      <w:sz w:val="18"/>
                      <w:szCs w:val="18"/>
                    </w:rPr>
                  </w:pPr>
                </w:p>
              </w:tc>
              <w:tc>
                <w:tcPr>
                  <w:tcW w:w="682" w:type="pct"/>
                  <w:vMerge w:val="continue"/>
                  <w:shd w:val="clear" w:color="auto" w:fill="FFFFFF"/>
                  <w:vAlign w:val="center"/>
                </w:tcPr>
                <w:p w14:paraId="6F1BD9AC">
                  <w:pPr>
                    <w:jc w:val="center"/>
                    <w:rPr>
                      <w:rFonts w:cs="等线"/>
                      <w:color w:val="auto"/>
                      <w:sz w:val="18"/>
                      <w:szCs w:val="18"/>
                    </w:rPr>
                  </w:pPr>
                </w:p>
              </w:tc>
              <w:tc>
                <w:tcPr>
                  <w:tcW w:w="625" w:type="pct"/>
                  <w:vMerge w:val="continue"/>
                  <w:shd w:val="clear" w:color="auto" w:fill="FFFFFF"/>
                  <w:vAlign w:val="center"/>
                </w:tcPr>
                <w:p w14:paraId="1A7AA0DC">
                  <w:pPr>
                    <w:jc w:val="center"/>
                    <w:rPr>
                      <w:color w:val="auto"/>
                      <w:sz w:val="18"/>
                      <w:szCs w:val="18"/>
                    </w:rPr>
                  </w:pPr>
                </w:p>
              </w:tc>
              <w:tc>
                <w:tcPr>
                  <w:tcW w:w="899" w:type="pct"/>
                  <w:shd w:val="clear" w:color="auto" w:fill="FFFFFF"/>
                  <w:noWrap/>
                  <w:vAlign w:val="center"/>
                </w:tcPr>
                <w:p w14:paraId="6D79D7AF">
                  <w:pPr>
                    <w:widowControl/>
                    <w:jc w:val="center"/>
                    <w:textAlignment w:val="center"/>
                    <w:rPr>
                      <w:rFonts w:cs="宋体"/>
                      <w:color w:val="auto"/>
                      <w:sz w:val="18"/>
                      <w:szCs w:val="18"/>
                    </w:rPr>
                  </w:pPr>
                </w:p>
              </w:tc>
              <w:tc>
                <w:tcPr>
                  <w:tcW w:w="1051" w:type="pct"/>
                  <w:shd w:val="clear" w:color="auto" w:fill="FFFFFF"/>
                  <w:noWrap/>
                  <w:vAlign w:val="center"/>
                </w:tcPr>
                <w:p w14:paraId="76544484">
                  <w:pPr>
                    <w:widowControl/>
                    <w:jc w:val="center"/>
                    <w:textAlignment w:val="center"/>
                    <w:rPr>
                      <w:rFonts w:cs="等线"/>
                      <w:color w:val="auto"/>
                      <w:sz w:val="18"/>
                      <w:szCs w:val="18"/>
                    </w:rPr>
                  </w:pPr>
                </w:p>
              </w:tc>
              <w:tc>
                <w:tcPr>
                  <w:tcW w:w="569" w:type="pct"/>
                  <w:shd w:val="clear" w:color="auto" w:fill="FFFFFF"/>
                  <w:noWrap/>
                  <w:vAlign w:val="center"/>
                </w:tcPr>
                <w:p w14:paraId="19D5642E">
                  <w:pPr>
                    <w:widowControl/>
                    <w:jc w:val="center"/>
                    <w:textAlignment w:val="center"/>
                    <w:rPr>
                      <w:rFonts w:cs="等线"/>
                      <w:color w:val="auto"/>
                      <w:sz w:val="18"/>
                      <w:szCs w:val="18"/>
                    </w:rPr>
                  </w:pPr>
                </w:p>
              </w:tc>
              <w:tc>
                <w:tcPr>
                  <w:tcW w:w="569" w:type="pct"/>
                  <w:shd w:val="clear" w:color="auto" w:fill="FFFFFF"/>
                  <w:noWrap/>
                  <w:vAlign w:val="center"/>
                </w:tcPr>
                <w:p w14:paraId="2A7105AA">
                  <w:pPr>
                    <w:widowControl/>
                    <w:jc w:val="center"/>
                    <w:textAlignment w:val="center"/>
                    <w:rPr>
                      <w:rFonts w:cs="宋体"/>
                      <w:color w:val="auto"/>
                      <w:sz w:val="18"/>
                      <w:szCs w:val="18"/>
                    </w:rPr>
                  </w:pPr>
                </w:p>
              </w:tc>
            </w:tr>
            <w:tr w14:paraId="7BC30383">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01" w:type="pct"/>
                  <w:vMerge w:val="continue"/>
                  <w:shd w:val="clear" w:color="auto" w:fill="FFFFFF"/>
                  <w:vAlign w:val="center"/>
                </w:tcPr>
                <w:p w14:paraId="24321164">
                  <w:pPr>
                    <w:jc w:val="center"/>
                    <w:rPr>
                      <w:color w:val="auto"/>
                      <w:sz w:val="18"/>
                      <w:szCs w:val="18"/>
                    </w:rPr>
                  </w:pPr>
                </w:p>
              </w:tc>
              <w:tc>
                <w:tcPr>
                  <w:tcW w:w="682" w:type="pct"/>
                  <w:vMerge w:val="restart"/>
                  <w:shd w:val="clear" w:color="auto" w:fill="FFFFFF"/>
                  <w:vAlign w:val="center"/>
                </w:tcPr>
                <w:p w14:paraId="2FD1DD7B">
                  <w:pPr>
                    <w:widowControl/>
                    <w:jc w:val="center"/>
                    <w:textAlignment w:val="center"/>
                    <w:rPr>
                      <w:rFonts w:cs="等线"/>
                      <w:color w:val="auto"/>
                      <w:sz w:val="18"/>
                      <w:szCs w:val="18"/>
                    </w:rPr>
                  </w:pPr>
                </w:p>
              </w:tc>
              <w:tc>
                <w:tcPr>
                  <w:tcW w:w="1861" w:type="dxa"/>
                  <w:vMerge w:val="restart"/>
                  <w:shd w:val="clear" w:color="auto" w:fill="FFFFFF"/>
                  <w:vAlign w:val="center"/>
                </w:tcPr>
                <w:p w14:paraId="212A7B59">
                  <w:pPr>
                    <w:widowControl/>
                    <w:jc w:val="center"/>
                    <w:textAlignment w:val="center"/>
                    <w:rPr>
                      <w:color w:val="auto"/>
                      <w:kern w:val="0"/>
                      <w:sz w:val="18"/>
                      <w:szCs w:val="18"/>
                      <w:lang w:bidi="ar"/>
                    </w:rPr>
                  </w:pPr>
                </w:p>
              </w:tc>
              <w:tc>
                <w:tcPr>
                  <w:tcW w:w="899" w:type="pct"/>
                  <w:shd w:val="clear" w:color="auto" w:fill="FFFFFF"/>
                  <w:noWrap/>
                  <w:vAlign w:val="center"/>
                </w:tcPr>
                <w:p w14:paraId="75CAB9A1">
                  <w:pPr>
                    <w:widowControl/>
                    <w:jc w:val="center"/>
                    <w:textAlignment w:val="center"/>
                    <w:rPr>
                      <w:rFonts w:cs="宋体"/>
                      <w:color w:val="auto"/>
                      <w:sz w:val="18"/>
                      <w:szCs w:val="18"/>
                    </w:rPr>
                  </w:pPr>
                </w:p>
              </w:tc>
              <w:tc>
                <w:tcPr>
                  <w:tcW w:w="1051" w:type="pct"/>
                  <w:shd w:val="clear" w:color="auto" w:fill="FFFFFF"/>
                  <w:noWrap/>
                  <w:vAlign w:val="center"/>
                </w:tcPr>
                <w:p w14:paraId="7D404D72">
                  <w:pPr>
                    <w:widowControl/>
                    <w:jc w:val="center"/>
                    <w:textAlignment w:val="center"/>
                    <w:rPr>
                      <w:rFonts w:cs="等线"/>
                      <w:color w:val="auto"/>
                      <w:sz w:val="18"/>
                      <w:szCs w:val="18"/>
                    </w:rPr>
                  </w:pPr>
                </w:p>
              </w:tc>
              <w:tc>
                <w:tcPr>
                  <w:tcW w:w="569" w:type="pct"/>
                  <w:shd w:val="clear" w:color="auto" w:fill="FFFFFF"/>
                  <w:noWrap/>
                  <w:vAlign w:val="center"/>
                </w:tcPr>
                <w:p w14:paraId="26E80746">
                  <w:pPr>
                    <w:widowControl/>
                    <w:jc w:val="center"/>
                    <w:textAlignment w:val="center"/>
                    <w:rPr>
                      <w:rFonts w:cs="等线"/>
                      <w:color w:val="auto"/>
                      <w:sz w:val="18"/>
                      <w:szCs w:val="18"/>
                    </w:rPr>
                  </w:pPr>
                </w:p>
              </w:tc>
              <w:tc>
                <w:tcPr>
                  <w:tcW w:w="569" w:type="pct"/>
                  <w:shd w:val="clear" w:color="auto" w:fill="FFFFFF"/>
                  <w:noWrap/>
                  <w:vAlign w:val="center"/>
                </w:tcPr>
                <w:p w14:paraId="2E6BE1D2">
                  <w:pPr>
                    <w:widowControl/>
                    <w:jc w:val="center"/>
                    <w:textAlignment w:val="center"/>
                    <w:rPr>
                      <w:rFonts w:cs="宋体"/>
                      <w:color w:val="auto"/>
                      <w:sz w:val="18"/>
                      <w:szCs w:val="18"/>
                    </w:rPr>
                  </w:pPr>
                </w:p>
              </w:tc>
            </w:tr>
            <w:tr w14:paraId="54C9BDAB">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01" w:type="pct"/>
                  <w:vMerge w:val="continue"/>
                  <w:shd w:val="clear" w:color="auto" w:fill="FFFFFF"/>
                  <w:vAlign w:val="center"/>
                </w:tcPr>
                <w:p w14:paraId="036AAAB6">
                  <w:pPr>
                    <w:jc w:val="center"/>
                    <w:rPr>
                      <w:color w:val="auto"/>
                      <w:sz w:val="18"/>
                      <w:szCs w:val="18"/>
                    </w:rPr>
                  </w:pPr>
                </w:p>
              </w:tc>
              <w:tc>
                <w:tcPr>
                  <w:tcW w:w="682" w:type="pct"/>
                  <w:vMerge w:val="continue"/>
                  <w:shd w:val="clear" w:color="auto" w:fill="FFFFFF"/>
                  <w:vAlign w:val="center"/>
                </w:tcPr>
                <w:p w14:paraId="2E23ADCF">
                  <w:pPr>
                    <w:jc w:val="center"/>
                    <w:rPr>
                      <w:rFonts w:cs="等线"/>
                      <w:color w:val="auto"/>
                      <w:sz w:val="18"/>
                      <w:szCs w:val="18"/>
                    </w:rPr>
                  </w:pPr>
                </w:p>
              </w:tc>
              <w:tc>
                <w:tcPr>
                  <w:tcW w:w="625" w:type="pct"/>
                  <w:vMerge w:val="continue"/>
                  <w:shd w:val="clear" w:color="auto" w:fill="FFFFFF"/>
                  <w:vAlign w:val="center"/>
                </w:tcPr>
                <w:p w14:paraId="29CF9FB0">
                  <w:pPr>
                    <w:jc w:val="center"/>
                    <w:rPr>
                      <w:color w:val="auto"/>
                      <w:sz w:val="18"/>
                      <w:szCs w:val="18"/>
                    </w:rPr>
                  </w:pPr>
                </w:p>
              </w:tc>
              <w:tc>
                <w:tcPr>
                  <w:tcW w:w="899" w:type="pct"/>
                  <w:shd w:val="clear" w:color="auto" w:fill="FFFFFF"/>
                  <w:noWrap/>
                  <w:vAlign w:val="center"/>
                </w:tcPr>
                <w:p w14:paraId="1D2DF357">
                  <w:pPr>
                    <w:widowControl/>
                    <w:jc w:val="center"/>
                    <w:textAlignment w:val="center"/>
                    <w:rPr>
                      <w:rFonts w:cs="宋体"/>
                      <w:color w:val="auto"/>
                      <w:sz w:val="18"/>
                      <w:szCs w:val="18"/>
                    </w:rPr>
                  </w:pPr>
                </w:p>
              </w:tc>
              <w:tc>
                <w:tcPr>
                  <w:tcW w:w="1051" w:type="pct"/>
                  <w:shd w:val="clear" w:color="auto" w:fill="FFFFFF"/>
                  <w:noWrap/>
                  <w:vAlign w:val="center"/>
                </w:tcPr>
                <w:p w14:paraId="06DD0044">
                  <w:pPr>
                    <w:widowControl/>
                    <w:jc w:val="center"/>
                    <w:textAlignment w:val="center"/>
                    <w:rPr>
                      <w:rFonts w:cs="等线"/>
                      <w:color w:val="auto"/>
                      <w:sz w:val="18"/>
                      <w:szCs w:val="18"/>
                    </w:rPr>
                  </w:pPr>
                </w:p>
              </w:tc>
              <w:tc>
                <w:tcPr>
                  <w:tcW w:w="569" w:type="pct"/>
                  <w:shd w:val="clear" w:color="auto" w:fill="FFFFFF"/>
                  <w:noWrap/>
                  <w:vAlign w:val="center"/>
                </w:tcPr>
                <w:p w14:paraId="675FD1E5">
                  <w:pPr>
                    <w:widowControl/>
                    <w:jc w:val="center"/>
                    <w:textAlignment w:val="center"/>
                    <w:rPr>
                      <w:rFonts w:cs="等线"/>
                      <w:color w:val="auto"/>
                      <w:sz w:val="18"/>
                      <w:szCs w:val="18"/>
                    </w:rPr>
                  </w:pPr>
                </w:p>
              </w:tc>
              <w:tc>
                <w:tcPr>
                  <w:tcW w:w="569" w:type="pct"/>
                  <w:shd w:val="clear" w:color="auto" w:fill="FFFFFF"/>
                  <w:noWrap/>
                  <w:vAlign w:val="center"/>
                </w:tcPr>
                <w:p w14:paraId="620429F0">
                  <w:pPr>
                    <w:widowControl/>
                    <w:jc w:val="center"/>
                    <w:textAlignment w:val="center"/>
                    <w:rPr>
                      <w:rFonts w:cs="宋体"/>
                      <w:color w:val="auto"/>
                      <w:sz w:val="18"/>
                      <w:szCs w:val="18"/>
                    </w:rPr>
                  </w:pPr>
                </w:p>
              </w:tc>
            </w:tr>
            <w:tr w14:paraId="48EEB634">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01" w:type="pct"/>
                  <w:vMerge w:val="continue"/>
                  <w:shd w:val="clear" w:color="auto" w:fill="FFFFFF"/>
                  <w:vAlign w:val="center"/>
                </w:tcPr>
                <w:p w14:paraId="5A7E2F06">
                  <w:pPr>
                    <w:jc w:val="center"/>
                    <w:rPr>
                      <w:color w:val="auto"/>
                      <w:sz w:val="18"/>
                      <w:szCs w:val="18"/>
                    </w:rPr>
                  </w:pPr>
                </w:p>
              </w:tc>
              <w:tc>
                <w:tcPr>
                  <w:tcW w:w="682" w:type="pct"/>
                  <w:vMerge w:val="restart"/>
                  <w:shd w:val="clear" w:color="auto" w:fill="FFFFFF"/>
                  <w:vAlign w:val="center"/>
                </w:tcPr>
                <w:p w14:paraId="35DED438">
                  <w:pPr>
                    <w:widowControl/>
                    <w:jc w:val="center"/>
                    <w:textAlignment w:val="center"/>
                    <w:rPr>
                      <w:rFonts w:cs="等线"/>
                      <w:color w:val="auto"/>
                      <w:sz w:val="18"/>
                      <w:szCs w:val="18"/>
                    </w:rPr>
                  </w:pPr>
                </w:p>
              </w:tc>
              <w:tc>
                <w:tcPr>
                  <w:tcW w:w="1861" w:type="dxa"/>
                  <w:vMerge w:val="restart"/>
                  <w:shd w:val="clear" w:color="auto" w:fill="FFFFFF"/>
                  <w:vAlign w:val="center"/>
                </w:tcPr>
                <w:p w14:paraId="4080366B">
                  <w:pPr>
                    <w:widowControl/>
                    <w:jc w:val="center"/>
                    <w:textAlignment w:val="center"/>
                    <w:rPr>
                      <w:color w:val="auto"/>
                      <w:kern w:val="0"/>
                      <w:sz w:val="18"/>
                      <w:szCs w:val="18"/>
                      <w:lang w:bidi="ar"/>
                    </w:rPr>
                  </w:pPr>
                </w:p>
              </w:tc>
              <w:tc>
                <w:tcPr>
                  <w:tcW w:w="899" w:type="pct"/>
                  <w:shd w:val="clear" w:color="auto" w:fill="FFFFFF"/>
                  <w:noWrap/>
                  <w:vAlign w:val="center"/>
                </w:tcPr>
                <w:p w14:paraId="11B48B0E">
                  <w:pPr>
                    <w:widowControl/>
                    <w:jc w:val="center"/>
                    <w:textAlignment w:val="center"/>
                    <w:rPr>
                      <w:rFonts w:cs="宋体"/>
                      <w:color w:val="auto"/>
                      <w:sz w:val="18"/>
                      <w:szCs w:val="18"/>
                    </w:rPr>
                  </w:pPr>
                </w:p>
              </w:tc>
              <w:tc>
                <w:tcPr>
                  <w:tcW w:w="1051" w:type="pct"/>
                  <w:shd w:val="clear" w:color="auto" w:fill="FFFFFF"/>
                  <w:noWrap/>
                  <w:vAlign w:val="center"/>
                </w:tcPr>
                <w:p w14:paraId="564745F1">
                  <w:pPr>
                    <w:widowControl/>
                    <w:jc w:val="center"/>
                    <w:textAlignment w:val="center"/>
                    <w:rPr>
                      <w:rFonts w:cs="等线"/>
                      <w:color w:val="auto"/>
                      <w:sz w:val="18"/>
                      <w:szCs w:val="18"/>
                    </w:rPr>
                  </w:pPr>
                </w:p>
              </w:tc>
              <w:tc>
                <w:tcPr>
                  <w:tcW w:w="569" w:type="pct"/>
                  <w:shd w:val="clear" w:color="auto" w:fill="FFFFFF"/>
                  <w:noWrap/>
                  <w:vAlign w:val="center"/>
                </w:tcPr>
                <w:p w14:paraId="07530EB0">
                  <w:pPr>
                    <w:widowControl/>
                    <w:jc w:val="center"/>
                    <w:textAlignment w:val="center"/>
                    <w:rPr>
                      <w:rFonts w:cs="等线"/>
                      <w:color w:val="auto"/>
                      <w:sz w:val="18"/>
                      <w:szCs w:val="18"/>
                    </w:rPr>
                  </w:pPr>
                </w:p>
              </w:tc>
              <w:tc>
                <w:tcPr>
                  <w:tcW w:w="569" w:type="pct"/>
                  <w:shd w:val="clear" w:color="auto" w:fill="FFFFFF"/>
                  <w:noWrap/>
                  <w:vAlign w:val="center"/>
                </w:tcPr>
                <w:p w14:paraId="18672B24">
                  <w:pPr>
                    <w:widowControl/>
                    <w:jc w:val="center"/>
                    <w:textAlignment w:val="center"/>
                    <w:rPr>
                      <w:rFonts w:cs="宋体"/>
                      <w:color w:val="auto"/>
                      <w:sz w:val="18"/>
                      <w:szCs w:val="18"/>
                    </w:rPr>
                  </w:pPr>
                </w:p>
              </w:tc>
            </w:tr>
            <w:tr w14:paraId="062E2C93">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01" w:type="pct"/>
                  <w:vMerge w:val="continue"/>
                  <w:shd w:val="clear" w:color="auto" w:fill="FFFFFF"/>
                  <w:vAlign w:val="center"/>
                </w:tcPr>
                <w:p w14:paraId="08D0D697">
                  <w:pPr>
                    <w:jc w:val="center"/>
                    <w:rPr>
                      <w:color w:val="auto"/>
                      <w:sz w:val="18"/>
                      <w:szCs w:val="18"/>
                    </w:rPr>
                  </w:pPr>
                </w:p>
              </w:tc>
              <w:tc>
                <w:tcPr>
                  <w:tcW w:w="682" w:type="pct"/>
                  <w:vMerge w:val="continue"/>
                  <w:shd w:val="clear" w:color="auto" w:fill="FFFFFF"/>
                  <w:vAlign w:val="center"/>
                </w:tcPr>
                <w:p w14:paraId="4EC50F55">
                  <w:pPr>
                    <w:jc w:val="center"/>
                    <w:rPr>
                      <w:rFonts w:cs="等线"/>
                      <w:color w:val="auto"/>
                      <w:sz w:val="18"/>
                      <w:szCs w:val="18"/>
                    </w:rPr>
                  </w:pPr>
                </w:p>
              </w:tc>
              <w:tc>
                <w:tcPr>
                  <w:tcW w:w="625" w:type="pct"/>
                  <w:vMerge w:val="continue"/>
                  <w:shd w:val="clear" w:color="auto" w:fill="FFFFFF"/>
                  <w:vAlign w:val="center"/>
                </w:tcPr>
                <w:p w14:paraId="78EA1DB8">
                  <w:pPr>
                    <w:jc w:val="center"/>
                    <w:rPr>
                      <w:color w:val="auto"/>
                      <w:sz w:val="18"/>
                      <w:szCs w:val="18"/>
                    </w:rPr>
                  </w:pPr>
                </w:p>
              </w:tc>
              <w:tc>
                <w:tcPr>
                  <w:tcW w:w="899" w:type="pct"/>
                  <w:shd w:val="clear" w:color="auto" w:fill="FFFFFF"/>
                  <w:noWrap/>
                  <w:vAlign w:val="center"/>
                </w:tcPr>
                <w:p w14:paraId="488326FC">
                  <w:pPr>
                    <w:widowControl/>
                    <w:jc w:val="center"/>
                    <w:textAlignment w:val="center"/>
                    <w:rPr>
                      <w:rFonts w:cs="宋体"/>
                      <w:color w:val="auto"/>
                      <w:sz w:val="18"/>
                      <w:szCs w:val="18"/>
                    </w:rPr>
                  </w:pPr>
                </w:p>
              </w:tc>
              <w:tc>
                <w:tcPr>
                  <w:tcW w:w="1051" w:type="pct"/>
                  <w:shd w:val="clear" w:color="auto" w:fill="FFFFFF"/>
                  <w:noWrap/>
                  <w:vAlign w:val="center"/>
                </w:tcPr>
                <w:p w14:paraId="6A7B7739">
                  <w:pPr>
                    <w:widowControl/>
                    <w:jc w:val="center"/>
                    <w:textAlignment w:val="center"/>
                    <w:rPr>
                      <w:rFonts w:cs="等线"/>
                      <w:color w:val="auto"/>
                      <w:sz w:val="18"/>
                      <w:szCs w:val="18"/>
                    </w:rPr>
                  </w:pPr>
                </w:p>
              </w:tc>
              <w:tc>
                <w:tcPr>
                  <w:tcW w:w="569" w:type="pct"/>
                  <w:shd w:val="clear" w:color="auto" w:fill="FFFFFF"/>
                  <w:noWrap/>
                  <w:vAlign w:val="center"/>
                </w:tcPr>
                <w:p w14:paraId="1D99B235">
                  <w:pPr>
                    <w:widowControl/>
                    <w:jc w:val="center"/>
                    <w:textAlignment w:val="center"/>
                    <w:rPr>
                      <w:rFonts w:cs="等线"/>
                      <w:color w:val="auto"/>
                      <w:sz w:val="18"/>
                      <w:szCs w:val="18"/>
                    </w:rPr>
                  </w:pPr>
                </w:p>
              </w:tc>
              <w:tc>
                <w:tcPr>
                  <w:tcW w:w="569" w:type="pct"/>
                  <w:shd w:val="clear" w:color="auto" w:fill="FFFFFF"/>
                  <w:noWrap/>
                  <w:vAlign w:val="center"/>
                </w:tcPr>
                <w:p w14:paraId="2C564F55">
                  <w:pPr>
                    <w:widowControl/>
                    <w:jc w:val="center"/>
                    <w:textAlignment w:val="center"/>
                    <w:rPr>
                      <w:rFonts w:cs="宋体"/>
                      <w:color w:val="auto"/>
                      <w:sz w:val="18"/>
                      <w:szCs w:val="18"/>
                    </w:rPr>
                  </w:pPr>
                </w:p>
              </w:tc>
            </w:tr>
            <w:tr w14:paraId="49C1D231">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01" w:type="pct"/>
                  <w:vMerge w:val="continue"/>
                  <w:shd w:val="clear" w:color="auto" w:fill="FFFFFF"/>
                  <w:vAlign w:val="center"/>
                </w:tcPr>
                <w:p w14:paraId="3470BBD3">
                  <w:pPr>
                    <w:jc w:val="center"/>
                    <w:rPr>
                      <w:color w:val="auto"/>
                      <w:sz w:val="18"/>
                      <w:szCs w:val="18"/>
                    </w:rPr>
                  </w:pPr>
                </w:p>
              </w:tc>
              <w:tc>
                <w:tcPr>
                  <w:tcW w:w="682" w:type="pct"/>
                  <w:vMerge w:val="restart"/>
                  <w:shd w:val="clear" w:color="auto" w:fill="FFFFFF"/>
                  <w:vAlign w:val="center"/>
                </w:tcPr>
                <w:p w14:paraId="63E25EDF">
                  <w:pPr>
                    <w:widowControl/>
                    <w:jc w:val="center"/>
                    <w:textAlignment w:val="center"/>
                    <w:rPr>
                      <w:rFonts w:cs="等线"/>
                      <w:color w:val="auto"/>
                      <w:sz w:val="18"/>
                      <w:szCs w:val="18"/>
                    </w:rPr>
                  </w:pPr>
                </w:p>
              </w:tc>
              <w:tc>
                <w:tcPr>
                  <w:tcW w:w="1861" w:type="dxa"/>
                  <w:vMerge w:val="restart"/>
                  <w:shd w:val="clear" w:color="auto" w:fill="FFFFFF"/>
                  <w:vAlign w:val="center"/>
                </w:tcPr>
                <w:p w14:paraId="7E5E8D50">
                  <w:pPr>
                    <w:widowControl/>
                    <w:jc w:val="center"/>
                    <w:textAlignment w:val="center"/>
                    <w:rPr>
                      <w:color w:val="auto"/>
                      <w:kern w:val="0"/>
                      <w:sz w:val="18"/>
                      <w:szCs w:val="18"/>
                      <w:lang w:bidi="ar"/>
                    </w:rPr>
                  </w:pPr>
                </w:p>
              </w:tc>
              <w:tc>
                <w:tcPr>
                  <w:tcW w:w="899" w:type="pct"/>
                  <w:shd w:val="clear" w:color="auto" w:fill="FFFFFF"/>
                  <w:noWrap/>
                  <w:vAlign w:val="center"/>
                </w:tcPr>
                <w:p w14:paraId="0C604361">
                  <w:pPr>
                    <w:widowControl/>
                    <w:jc w:val="center"/>
                    <w:textAlignment w:val="center"/>
                    <w:rPr>
                      <w:rFonts w:cs="宋体"/>
                      <w:color w:val="auto"/>
                      <w:sz w:val="18"/>
                      <w:szCs w:val="18"/>
                    </w:rPr>
                  </w:pPr>
                </w:p>
              </w:tc>
              <w:tc>
                <w:tcPr>
                  <w:tcW w:w="1051" w:type="pct"/>
                  <w:shd w:val="clear" w:color="auto" w:fill="FFFFFF"/>
                  <w:noWrap/>
                  <w:vAlign w:val="center"/>
                </w:tcPr>
                <w:p w14:paraId="6405A9E4">
                  <w:pPr>
                    <w:widowControl/>
                    <w:jc w:val="center"/>
                    <w:textAlignment w:val="center"/>
                    <w:rPr>
                      <w:rFonts w:cs="等线"/>
                      <w:color w:val="auto"/>
                      <w:sz w:val="18"/>
                      <w:szCs w:val="18"/>
                    </w:rPr>
                  </w:pPr>
                </w:p>
              </w:tc>
              <w:tc>
                <w:tcPr>
                  <w:tcW w:w="569" w:type="pct"/>
                  <w:shd w:val="clear" w:color="auto" w:fill="FFFFFF"/>
                  <w:noWrap/>
                  <w:vAlign w:val="center"/>
                </w:tcPr>
                <w:p w14:paraId="48537EDF">
                  <w:pPr>
                    <w:widowControl/>
                    <w:jc w:val="center"/>
                    <w:textAlignment w:val="center"/>
                    <w:rPr>
                      <w:rFonts w:cs="等线"/>
                      <w:color w:val="auto"/>
                      <w:sz w:val="18"/>
                      <w:szCs w:val="18"/>
                    </w:rPr>
                  </w:pPr>
                </w:p>
              </w:tc>
              <w:tc>
                <w:tcPr>
                  <w:tcW w:w="569" w:type="pct"/>
                  <w:shd w:val="clear" w:color="auto" w:fill="FFFFFF"/>
                  <w:noWrap/>
                  <w:vAlign w:val="center"/>
                </w:tcPr>
                <w:p w14:paraId="46371232">
                  <w:pPr>
                    <w:widowControl/>
                    <w:jc w:val="center"/>
                    <w:textAlignment w:val="center"/>
                    <w:rPr>
                      <w:rFonts w:cs="宋体"/>
                      <w:color w:val="auto"/>
                      <w:sz w:val="18"/>
                      <w:szCs w:val="18"/>
                    </w:rPr>
                  </w:pPr>
                </w:p>
              </w:tc>
            </w:tr>
            <w:tr w14:paraId="047257B7">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01" w:type="pct"/>
                  <w:vMerge w:val="continue"/>
                  <w:shd w:val="clear" w:color="auto" w:fill="FFFFFF"/>
                  <w:vAlign w:val="center"/>
                </w:tcPr>
                <w:p w14:paraId="2BA98D53">
                  <w:pPr>
                    <w:jc w:val="center"/>
                    <w:rPr>
                      <w:color w:val="auto"/>
                      <w:sz w:val="18"/>
                      <w:szCs w:val="18"/>
                    </w:rPr>
                  </w:pPr>
                </w:p>
              </w:tc>
              <w:tc>
                <w:tcPr>
                  <w:tcW w:w="682" w:type="pct"/>
                  <w:vMerge w:val="continue"/>
                  <w:shd w:val="clear" w:color="auto" w:fill="FFFFFF"/>
                  <w:vAlign w:val="center"/>
                </w:tcPr>
                <w:p w14:paraId="229F75BB">
                  <w:pPr>
                    <w:jc w:val="center"/>
                    <w:rPr>
                      <w:rFonts w:cs="等线"/>
                      <w:color w:val="auto"/>
                      <w:sz w:val="18"/>
                      <w:szCs w:val="18"/>
                    </w:rPr>
                  </w:pPr>
                </w:p>
              </w:tc>
              <w:tc>
                <w:tcPr>
                  <w:tcW w:w="625" w:type="pct"/>
                  <w:vMerge w:val="continue"/>
                  <w:shd w:val="clear" w:color="auto" w:fill="FFFFFF"/>
                  <w:vAlign w:val="center"/>
                </w:tcPr>
                <w:p w14:paraId="5A7452D6">
                  <w:pPr>
                    <w:jc w:val="center"/>
                    <w:rPr>
                      <w:color w:val="auto"/>
                      <w:sz w:val="18"/>
                      <w:szCs w:val="18"/>
                    </w:rPr>
                  </w:pPr>
                </w:p>
              </w:tc>
              <w:tc>
                <w:tcPr>
                  <w:tcW w:w="899" w:type="pct"/>
                  <w:shd w:val="clear" w:color="auto" w:fill="FFFFFF"/>
                  <w:noWrap/>
                  <w:vAlign w:val="center"/>
                </w:tcPr>
                <w:p w14:paraId="3B9AB5A8">
                  <w:pPr>
                    <w:widowControl/>
                    <w:jc w:val="center"/>
                    <w:textAlignment w:val="center"/>
                    <w:rPr>
                      <w:rFonts w:cs="宋体"/>
                      <w:color w:val="auto"/>
                      <w:sz w:val="18"/>
                      <w:szCs w:val="18"/>
                    </w:rPr>
                  </w:pPr>
                </w:p>
              </w:tc>
              <w:tc>
                <w:tcPr>
                  <w:tcW w:w="1051" w:type="pct"/>
                  <w:shd w:val="clear" w:color="auto" w:fill="FFFFFF"/>
                  <w:noWrap/>
                  <w:vAlign w:val="center"/>
                </w:tcPr>
                <w:p w14:paraId="3937C6AC">
                  <w:pPr>
                    <w:widowControl/>
                    <w:jc w:val="center"/>
                    <w:textAlignment w:val="center"/>
                    <w:rPr>
                      <w:rFonts w:cs="等线"/>
                      <w:color w:val="auto"/>
                      <w:sz w:val="18"/>
                      <w:szCs w:val="18"/>
                    </w:rPr>
                  </w:pPr>
                </w:p>
              </w:tc>
              <w:tc>
                <w:tcPr>
                  <w:tcW w:w="569" w:type="pct"/>
                  <w:shd w:val="clear" w:color="auto" w:fill="FFFFFF"/>
                  <w:noWrap/>
                  <w:vAlign w:val="center"/>
                </w:tcPr>
                <w:p w14:paraId="2BCD89C1">
                  <w:pPr>
                    <w:widowControl/>
                    <w:jc w:val="center"/>
                    <w:textAlignment w:val="center"/>
                    <w:rPr>
                      <w:rFonts w:cs="等线"/>
                      <w:color w:val="auto"/>
                      <w:sz w:val="18"/>
                      <w:szCs w:val="18"/>
                    </w:rPr>
                  </w:pPr>
                </w:p>
              </w:tc>
              <w:tc>
                <w:tcPr>
                  <w:tcW w:w="569" w:type="pct"/>
                  <w:shd w:val="clear" w:color="auto" w:fill="FFFFFF"/>
                  <w:noWrap/>
                  <w:vAlign w:val="center"/>
                </w:tcPr>
                <w:p w14:paraId="072A7FB8">
                  <w:pPr>
                    <w:widowControl/>
                    <w:jc w:val="center"/>
                    <w:textAlignment w:val="center"/>
                    <w:rPr>
                      <w:rFonts w:cs="宋体"/>
                      <w:color w:val="auto"/>
                      <w:sz w:val="18"/>
                      <w:szCs w:val="18"/>
                    </w:rPr>
                  </w:pPr>
                </w:p>
              </w:tc>
            </w:tr>
            <w:tr w14:paraId="711CFE3E">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01" w:type="pct"/>
                  <w:vMerge w:val="continue"/>
                  <w:shd w:val="clear" w:color="auto" w:fill="FFFFFF"/>
                  <w:vAlign w:val="center"/>
                </w:tcPr>
                <w:p w14:paraId="319BBEDB">
                  <w:pPr>
                    <w:jc w:val="center"/>
                    <w:rPr>
                      <w:color w:val="auto"/>
                      <w:sz w:val="18"/>
                      <w:szCs w:val="18"/>
                    </w:rPr>
                  </w:pPr>
                </w:p>
              </w:tc>
              <w:tc>
                <w:tcPr>
                  <w:tcW w:w="682" w:type="pct"/>
                  <w:vMerge w:val="restart"/>
                  <w:shd w:val="clear" w:color="auto" w:fill="FFFFFF"/>
                  <w:vAlign w:val="center"/>
                </w:tcPr>
                <w:p w14:paraId="3EF593F4">
                  <w:pPr>
                    <w:widowControl/>
                    <w:jc w:val="center"/>
                    <w:textAlignment w:val="center"/>
                    <w:rPr>
                      <w:rFonts w:cs="等线"/>
                      <w:color w:val="auto"/>
                      <w:sz w:val="18"/>
                      <w:szCs w:val="18"/>
                    </w:rPr>
                  </w:pPr>
                </w:p>
              </w:tc>
              <w:tc>
                <w:tcPr>
                  <w:tcW w:w="1861" w:type="dxa"/>
                  <w:vMerge w:val="restart"/>
                  <w:shd w:val="clear" w:color="auto" w:fill="FFFFFF"/>
                  <w:vAlign w:val="center"/>
                </w:tcPr>
                <w:p w14:paraId="6E39BA8D">
                  <w:pPr>
                    <w:widowControl/>
                    <w:jc w:val="center"/>
                    <w:textAlignment w:val="center"/>
                    <w:rPr>
                      <w:color w:val="auto"/>
                      <w:kern w:val="0"/>
                      <w:sz w:val="18"/>
                      <w:szCs w:val="18"/>
                      <w:lang w:bidi="ar"/>
                    </w:rPr>
                  </w:pPr>
                </w:p>
              </w:tc>
              <w:tc>
                <w:tcPr>
                  <w:tcW w:w="899" w:type="pct"/>
                  <w:shd w:val="clear" w:color="auto" w:fill="FFFFFF"/>
                  <w:noWrap/>
                  <w:vAlign w:val="center"/>
                </w:tcPr>
                <w:p w14:paraId="37B694EE">
                  <w:pPr>
                    <w:widowControl/>
                    <w:jc w:val="center"/>
                    <w:textAlignment w:val="center"/>
                    <w:rPr>
                      <w:rFonts w:cs="宋体"/>
                      <w:color w:val="auto"/>
                      <w:sz w:val="18"/>
                      <w:szCs w:val="18"/>
                    </w:rPr>
                  </w:pPr>
                </w:p>
              </w:tc>
              <w:tc>
                <w:tcPr>
                  <w:tcW w:w="1051" w:type="pct"/>
                  <w:shd w:val="clear" w:color="auto" w:fill="FFFFFF"/>
                  <w:noWrap/>
                  <w:vAlign w:val="center"/>
                </w:tcPr>
                <w:p w14:paraId="727C42E7">
                  <w:pPr>
                    <w:widowControl/>
                    <w:jc w:val="center"/>
                    <w:textAlignment w:val="center"/>
                    <w:rPr>
                      <w:rFonts w:cs="等线"/>
                      <w:color w:val="auto"/>
                      <w:sz w:val="18"/>
                      <w:szCs w:val="18"/>
                    </w:rPr>
                  </w:pPr>
                </w:p>
              </w:tc>
              <w:tc>
                <w:tcPr>
                  <w:tcW w:w="569" w:type="pct"/>
                  <w:shd w:val="clear" w:color="auto" w:fill="FFFFFF"/>
                  <w:noWrap/>
                  <w:vAlign w:val="center"/>
                </w:tcPr>
                <w:p w14:paraId="241F8CF5">
                  <w:pPr>
                    <w:widowControl/>
                    <w:jc w:val="center"/>
                    <w:textAlignment w:val="center"/>
                    <w:rPr>
                      <w:rFonts w:cs="等线"/>
                      <w:color w:val="auto"/>
                      <w:sz w:val="18"/>
                      <w:szCs w:val="18"/>
                    </w:rPr>
                  </w:pPr>
                </w:p>
              </w:tc>
              <w:tc>
                <w:tcPr>
                  <w:tcW w:w="569" w:type="pct"/>
                  <w:shd w:val="clear" w:color="auto" w:fill="FFFFFF"/>
                  <w:noWrap/>
                  <w:vAlign w:val="center"/>
                </w:tcPr>
                <w:p w14:paraId="696F625A">
                  <w:pPr>
                    <w:widowControl/>
                    <w:jc w:val="center"/>
                    <w:textAlignment w:val="center"/>
                    <w:rPr>
                      <w:rFonts w:cs="宋体"/>
                      <w:color w:val="auto"/>
                      <w:sz w:val="18"/>
                      <w:szCs w:val="18"/>
                    </w:rPr>
                  </w:pPr>
                </w:p>
              </w:tc>
            </w:tr>
            <w:tr w14:paraId="6D7E025E">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01" w:type="pct"/>
                  <w:vMerge w:val="continue"/>
                  <w:shd w:val="clear" w:color="auto" w:fill="FFFFFF"/>
                  <w:vAlign w:val="center"/>
                </w:tcPr>
                <w:p w14:paraId="005291C7">
                  <w:pPr>
                    <w:jc w:val="center"/>
                    <w:rPr>
                      <w:color w:val="auto"/>
                      <w:sz w:val="18"/>
                      <w:szCs w:val="18"/>
                    </w:rPr>
                  </w:pPr>
                </w:p>
              </w:tc>
              <w:tc>
                <w:tcPr>
                  <w:tcW w:w="682" w:type="pct"/>
                  <w:vMerge w:val="continue"/>
                  <w:shd w:val="clear" w:color="auto" w:fill="FFFFFF"/>
                  <w:vAlign w:val="center"/>
                </w:tcPr>
                <w:p w14:paraId="7AAF3F81">
                  <w:pPr>
                    <w:jc w:val="center"/>
                    <w:rPr>
                      <w:rFonts w:cs="等线"/>
                      <w:color w:val="auto"/>
                      <w:sz w:val="18"/>
                      <w:szCs w:val="18"/>
                    </w:rPr>
                  </w:pPr>
                </w:p>
              </w:tc>
              <w:tc>
                <w:tcPr>
                  <w:tcW w:w="625" w:type="pct"/>
                  <w:vMerge w:val="continue"/>
                  <w:shd w:val="clear" w:color="auto" w:fill="FFFFFF"/>
                  <w:vAlign w:val="center"/>
                </w:tcPr>
                <w:p w14:paraId="30242B41">
                  <w:pPr>
                    <w:jc w:val="center"/>
                    <w:rPr>
                      <w:color w:val="auto"/>
                      <w:sz w:val="18"/>
                      <w:szCs w:val="18"/>
                    </w:rPr>
                  </w:pPr>
                </w:p>
              </w:tc>
              <w:tc>
                <w:tcPr>
                  <w:tcW w:w="899" w:type="pct"/>
                  <w:shd w:val="clear" w:color="auto" w:fill="FFFFFF"/>
                  <w:noWrap/>
                  <w:vAlign w:val="center"/>
                </w:tcPr>
                <w:p w14:paraId="769C3A58">
                  <w:pPr>
                    <w:widowControl/>
                    <w:jc w:val="center"/>
                    <w:textAlignment w:val="center"/>
                    <w:rPr>
                      <w:rFonts w:cs="宋体"/>
                      <w:color w:val="auto"/>
                      <w:sz w:val="18"/>
                      <w:szCs w:val="18"/>
                    </w:rPr>
                  </w:pPr>
                </w:p>
              </w:tc>
              <w:tc>
                <w:tcPr>
                  <w:tcW w:w="1051" w:type="pct"/>
                  <w:shd w:val="clear" w:color="auto" w:fill="FFFFFF"/>
                  <w:noWrap/>
                  <w:vAlign w:val="center"/>
                </w:tcPr>
                <w:p w14:paraId="62774B16">
                  <w:pPr>
                    <w:widowControl/>
                    <w:jc w:val="center"/>
                    <w:textAlignment w:val="center"/>
                    <w:rPr>
                      <w:rFonts w:cs="等线"/>
                      <w:color w:val="auto"/>
                      <w:sz w:val="18"/>
                      <w:szCs w:val="18"/>
                    </w:rPr>
                  </w:pPr>
                </w:p>
              </w:tc>
              <w:tc>
                <w:tcPr>
                  <w:tcW w:w="569" w:type="pct"/>
                  <w:shd w:val="clear" w:color="auto" w:fill="FFFFFF"/>
                  <w:noWrap/>
                  <w:vAlign w:val="center"/>
                </w:tcPr>
                <w:p w14:paraId="1588746B">
                  <w:pPr>
                    <w:widowControl/>
                    <w:jc w:val="center"/>
                    <w:textAlignment w:val="center"/>
                    <w:rPr>
                      <w:rFonts w:cs="等线"/>
                      <w:color w:val="auto"/>
                      <w:sz w:val="18"/>
                      <w:szCs w:val="18"/>
                    </w:rPr>
                  </w:pPr>
                </w:p>
              </w:tc>
              <w:tc>
                <w:tcPr>
                  <w:tcW w:w="569" w:type="pct"/>
                  <w:shd w:val="clear" w:color="auto" w:fill="FFFFFF"/>
                  <w:noWrap/>
                  <w:vAlign w:val="center"/>
                </w:tcPr>
                <w:p w14:paraId="2EE6F627">
                  <w:pPr>
                    <w:widowControl/>
                    <w:jc w:val="center"/>
                    <w:textAlignment w:val="center"/>
                    <w:rPr>
                      <w:rFonts w:cs="宋体"/>
                      <w:color w:val="auto"/>
                      <w:sz w:val="18"/>
                      <w:szCs w:val="18"/>
                    </w:rPr>
                  </w:pPr>
                </w:p>
              </w:tc>
            </w:tr>
          </w:tbl>
          <w:p w14:paraId="5A9F42A8">
            <w:pPr>
              <w:adjustRightInd w:val="0"/>
              <w:snapToGrid w:val="0"/>
              <w:rPr>
                <w:b/>
                <w:color w:val="auto"/>
                <w:sz w:val="20"/>
                <w:szCs w:val="20"/>
              </w:rPr>
            </w:pPr>
            <w:r>
              <w:rPr>
                <w:rFonts w:hint="eastAsia"/>
                <w:b/>
                <w:color w:val="auto"/>
                <w:sz w:val="20"/>
                <w:szCs w:val="20"/>
              </w:rPr>
              <w:t>注：ND表示未检出；DA001排气筒在2024年基本处于停产阶段，例行监测期间未生产，故未做监测。</w:t>
            </w:r>
          </w:p>
          <w:p w14:paraId="3C8BD3EE">
            <w:pPr>
              <w:adjustRightInd w:val="0"/>
              <w:snapToGrid w:val="0"/>
              <w:spacing w:line="500" w:lineRule="exact"/>
              <w:ind w:firstLine="422" w:firstLineChars="200"/>
              <w:rPr>
                <w:b/>
                <w:color w:val="auto"/>
                <w:szCs w:val="21"/>
              </w:rPr>
            </w:pPr>
            <w:r>
              <w:rPr>
                <w:rFonts w:hint="eastAsia"/>
                <w:b/>
                <w:color w:val="auto"/>
                <w:szCs w:val="21"/>
              </w:rPr>
              <w:t>（</w:t>
            </w:r>
            <w:r>
              <w:rPr>
                <w:b/>
                <w:color w:val="auto"/>
                <w:szCs w:val="21"/>
              </w:rPr>
              <w:t>2</w:t>
            </w:r>
            <w:r>
              <w:rPr>
                <w:rFonts w:hint="eastAsia"/>
                <w:b/>
                <w:color w:val="auto"/>
                <w:szCs w:val="21"/>
              </w:rPr>
              <w:t>）无组织废气</w:t>
            </w:r>
          </w:p>
          <w:p w14:paraId="5B4E35F0">
            <w:pPr>
              <w:adjustRightInd w:val="0"/>
              <w:snapToGrid w:val="0"/>
              <w:spacing w:line="500" w:lineRule="exact"/>
              <w:ind w:firstLine="420" w:firstLineChars="200"/>
              <w:rPr>
                <w:color w:val="auto"/>
                <w:szCs w:val="21"/>
              </w:rPr>
            </w:pPr>
            <w:r>
              <w:rPr>
                <w:rFonts w:hint="eastAsia"/>
                <w:color w:val="auto"/>
                <w:szCs w:val="21"/>
              </w:rPr>
              <w:t>企业厂界厂内无组织废气排放浓度监测数据统计见表</w:t>
            </w:r>
            <w:r>
              <w:rPr>
                <w:color w:val="auto"/>
                <w:szCs w:val="21"/>
              </w:rPr>
              <w:t>2</w:t>
            </w:r>
            <w:r>
              <w:rPr>
                <w:rFonts w:hint="eastAsia"/>
                <w:color w:val="auto"/>
                <w:szCs w:val="21"/>
              </w:rPr>
              <w:t>-</w:t>
            </w:r>
            <w:r>
              <w:rPr>
                <w:color w:val="auto"/>
                <w:szCs w:val="21"/>
              </w:rPr>
              <w:t>15</w:t>
            </w:r>
            <w:r>
              <w:rPr>
                <w:rFonts w:hint="eastAsia"/>
                <w:color w:val="auto"/>
                <w:szCs w:val="21"/>
              </w:rPr>
              <w:t>。根据监测结果，现有已建已验项目厂界厂内各污染物无组织排放均能满足相应标准值要求。</w:t>
            </w:r>
          </w:p>
          <w:p w14:paraId="62782847">
            <w:pPr>
              <w:snapToGrid w:val="0"/>
              <w:spacing w:line="500" w:lineRule="exact"/>
              <w:jc w:val="center"/>
              <w:rPr>
                <w:b/>
                <w:color w:val="auto"/>
                <w:szCs w:val="21"/>
              </w:rPr>
            </w:pPr>
            <w:r>
              <w:rPr>
                <w:rFonts w:hint="eastAsia"/>
                <w:b/>
                <w:color w:val="auto"/>
                <w:szCs w:val="21"/>
              </w:rPr>
              <w:t>表</w:t>
            </w:r>
            <w:r>
              <w:rPr>
                <w:b/>
                <w:color w:val="auto"/>
                <w:szCs w:val="21"/>
              </w:rPr>
              <w:t>2-15</w:t>
            </w:r>
            <w:r>
              <w:rPr>
                <w:rFonts w:hint="eastAsia"/>
                <w:b/>
                <w:color w:val="auto"/>
                <w:szCs w:val="21"/>
              </w:rPr>
              <w:t>现有已建已验项目无组织监测数据（单位：mg/m</w:t>
            </w:r>
            <w:r>
              <w:rPr>
                <w:rFonts w:hint="eastAsia"/>
                <w:b/>
                <w:color w:val="auto"/>
                <w:szCs w:val="21"/>
                <w:vertAlign w:val="superscript"/>
              </w:rPr>
              <w:t>3</w:t>
            </w:r>
            <w:r>
              <w:rPr>
                <w:rFonts w:hint="eastAsia"/>
                <w:b/>
                <w:color w:val="auto"/>
                <w:szCs w:val="21"/>
              </w:rPr>
              <w:t>）</w:t>
            </w:r>
          </w:p>
          <w:tbl>
            <w:tblPr>
              <w:tblStyle w:val="21"/>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4"/>
              <w:gridCol w:w="1238"/>
              <w:gridCol w:w="1061"/>
              <w:gridCol w:w="2016"/>
              <w:gridCol w:w="945"/>
              <w:gridCol w:w="945"/>
              <w:gridCol w:w="945"/>
            </w:tblGrid>
            <w:tr w14:paraId="4AE13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751" w:type="pct"/>
                  <w:tcBorders>
                    <w:top w:val="single" w:color="000000" w:sz="12" w:space="0"/>
                    <w:left w:val="nil"/>
                    <w:tl2br w:val="nil"/>
                  </w:tcBorders>
                  <w:shd w:val="clear" w:color="auto" w:fill="FFFFFF"/>
                  <w:noWrap/>
                  <w:vAlign w:val="center"/>
                </w:tcPr>
                <w:p w14:paraId="37971153">
                  <w:pPr>
                    <w:jc w:val="center"/>
                    <w:rPr>
                      <w:b/>
                      <w:color w:val="auto"/>
                      <w:sz w:val="18"/>
                      <w:szCs w:val="18"/>
                      <w:lang w:val="zh-CN"/>
                    </w:rPr>
                  </w:pPr>
                  <w:r>
                    <w:rPr>
                      <w:rFonts w:hint="eastAsia"/>
                      <w:b/>
                      <w:color w:val="auto"/>
                      <w:sz w:val="18"/>
                      <w:szCs w:val="18"/>
                    </w:rPr>
                    <w:t>监测点位</w:t>
                  </w:r>
                </w:p>
              </w:tc>
              <w:tc>
                <w:tcPr>
                  <w:tcW w:w="736" w:type="pct"/>
                  <w:tcBorders>
                    <w:top w:val="single" w:color="000000" w:sz="12" w:space="0"/>
                  </w:tcBorders>
                  <w:shd w:val="clear" w:color="auto" w:fill="FFFFFF"/>
                  <w:noWrap/>
                  <w:vAlign w:val="center"/>
                </w:tcPr>
                <w:p w14:paraId="39806DA0">
                  <w:pPr>
                    <w:jc w:val="center"/>
                    <w:rPr>
                      <w:b/>
                      <w:color w:val="auto"/>
                      <w:sz w:val="18"/>
                      <w:szCs w:val="18"/>
                      <w:lang w:val="zh-CN"/>
                    </w:rPr>
                  </w:pPr>
                  <w:r>
                    <w:rPr>
                      <w:rFonts w:hint="eastAsia"/>
                      <w:b/>
                      <w:color w:val="auto"/>
                      <w:sz w:val="18"/>
                      <w:szCs w:val="18"/>
                    </w:rPr>
                    <w:t>检测因子</w:t>
                  </w:r>
                </w:p>
              </w:tc>
              <w:tc>
                <w:tcPr>
                  <w:tcW w:w="630" w:type="pct"/>
                  <w:tcBorders>
                    <w:top w:val="single" w:color="000000" w:sz="12" w:space="0"/>
                  </w:tcBorders>
                  <w:shd w:val="clear" w:color="auto" w:fill="FFFFFF"/>
                  <w:noWrap/>
                  <w:vAlign w:val="center"/>
                </w:tcPr>
                <w:p w14:paraId="0EFA701D">
                  <w:pPr>
                    <w:jc w:val="center"/>
                    <w:rPr>
                      <w:b/>
                      <w:color w:val="auto"/>
                      <w:sz w:val="18"/>
                      <w:szCs w:val="18"/>
                      <w:lang w:val="zh-CN"/>
                    </w:rPr>
                  </w:pPr>
                  <w:r>
                    <w:rPr>
                      <w:rFonts w:hint="eastAsia"/>
                      <w:b/>
                      <w:color w:val="auto"/>
                      <w:sz w:val="18"/>
                      <w:szCs w:val="18"/>
                    </w:rPr>
                    <w:t>检测项目</w:t>
                  </w:r>
                </w:p>
              </w:tc>
              <w:tc>
                <w:tcPr>
                  <w:tcW w:w="1197" w:type="pct"/>
                  <w:tcBorders>
                    <w:top w:val="single" w:color="000000" w:sz="12" w:space="0"/>
                  </w:tcBorders>
                  <w:shd w:val="clear" w:color="auto" w:fill="FFFFFF"/>
                  <w:noWrap/>
                  <w:vAlign w:val="center"/>
                </w:tcPr>
                <w:p w14:paraId="38ABCBF9">
                  <w:pPr>
                    <w:jc w:val="center"/>
                    <w:rPr>
                      <w:b/>
                      <w:color w:val="auto"/>
                      <w:sz w:val="18"/>
                      <w:szCs w:val="18"/>
                      <w:lang w:val="zh-CN"/>
                    </w:rPr>
                  </w:pPr>
                  <w:r>
                    <w:rPr>
                      <w:b/>
                      <w:color w:val="auto"/>
                      <w:sz w:val="18"/>
                      <w:szCs w:val="18"/>
                    </w:rPr>
                    <w:t>2024.12.19</w:t>
                  </w:r>
                </w:p>
              </w:tc>
              <w:tc>
                <w:tcPr>
                  <w:tcW w:w="561" w:type="pct"/>
                  <w:tcBorders>
                    <w:top w:val="single" w:color="000000" w:sz="12" w:space="0"/>
                  </w:tcBorders>
                  <w:shd w:val="clear" w:color="auto" w:fill="FFFFFF"/>
                  <w:noWrap/>
                  <w:vAlign w:val="center"/>
                </w:tcPr>
                <w:p w14:paraId="31BCD537">
                  <w:pPr>
                    <w:jc w:val="center"/>
                    <w:rPr>
                      <w:b/>
                      <w:color w:val="auto"/>
                      <w:sz w:val="18"/>
                      <w:szCs w:val="18"/>
                    </w:rPr>
                  </w:pPr>
                  <w:r>
                    <w:rPr>
                      <w:rFonts w:hint="eastAsia"/>
                      <w:b/>
                      <w:color w:val="auto"/>
                      <w:sz w:val="18"/>
                      <w:szCs w:val="18"/>
                    </w:rPr>
                    <w:t>2026.6.27</w:t>
                  </w:r>
                </w:p>
              </w:tc>
              <w:tc>
                <w:tcPr>
                  <w:tcW w:w="561" w:type="pct"/>
                  <w:tcBorders>
                    <w:top w:val="single" w:color="000000" w:sz="12" w:space="0"/>
                  </w:tcBorders>
                  <w:shd w:val="clear" w:color="auto" w:fill="FFFFFF"/>
                  <w:noWrap/>
                  <w:vAlign w:val="center"/>
                </w:tcPr>
                <w:p w14:paraId="344C7CF1">
                  <w:pPr>
                    <w:jc w:val="center"/>
                    <w:rPr>
                      <w:b/>
                      <w:color w:val="auto"/>
                      <w:sz w:val="18"/>
                      <w:szCs w:val="18"/>
                      <w:lang w:val="zh-CN"/>
                    </w:rPr>
                  </w:pPr>
                  <w:r>
                    <w:rPr>
                      <w:rFonts w:hint="eastAsia"/>
                      <w:b/>
                      <w:color w:val="auto"/>
                      <w:sz w:val="18"/>
                      <w:szCs w:val="18"/>
                    </w:rPr>
                    <w:t>标准限值</w:t>
                  </w:r>
                </w:p>
              </w:tc>
              <w:tc>
                <w:tcPr>
                  <w:tcW w:w="561" w:type="pct"/>
                  <w:tcBorders>
                    <w:top w:val="single" w:color="000000" w:sz="12" w:space="0"/>
                    <w:right w:val="nil"/>
                  </w:tcBorders>
                  <w:shd w:val="clear" w:color="auto" w:fill="FFFFFF"/>
                  <w:noWrap/>
                  <w:vAlign w:val="center"/>
                </w:tcPr>
                <w:p w14:paraId="7561FAD8">
                  <w:pPr>
                    <w:jc w:val="center"/>
                    <w:rPr>
                      <w:b/>
                      <w:color w:val="auto"/>
                      <w:sz w:val="18"/>
                      <w:szCs w:val="18"/>
                      <w:lang w:val="zh-CN"/>
                    </w:rPr>
                  </w:pPr>
                  <w:r>
                    <w:rPr>
                      <w:rFonts w:hint="eastAsia"/>
                      <w:b/>
                      <w:color w:val="auto"/>
                      <w:sz w:val="18"/>
                      <w:szCs w:val="18"/>
                    </w:rPr>
                    <w:t>达标判定</w:t>
                  </w:r>
                </w:p>
              </w:tc>
            </w:tr>
            <w:tr w14:paraId="1BAEB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751" w:type="pct"/>
                  <w:vMerge w:val="restart"/>
                  <w:tcBorders>
                    <w:left w:val="nil"/>
                  </w:tcBorders>
                  <w:shd w:val="clear" w:color="auto" w:fill="FFFFFF"/>
                  <w:vAlign w:val="center"/>
                </w:tcPr>
                <w:p w14:paraId="3C8AE2DB">
                  <w:pPr>
                    <w:jc w:val="center"/>
                    <w:rPr>
                      <w:bCs/>
                      <w:color w:val="auto"/>
                      <w:sz w:val="18"/>
                      <w:szCs w:val="18"/>
                      <w:lang w:val="zh-CN"/>
                    </w:rPr>
                  </w:pPr>
                </w:p>
              </w:tc>
              <w:tc>
                <w:tcPr>
                  <w:tcW w:w="736" w:type="pct"/>
                  <w:shd w:val="clear" w:color="auto" w:fill="FFFFFF"/>
                  <w:vAlign w:val="center"/>
                </w:tcPr>
                <w:p w14:paraId="372DB570">
                  <w:pPr>
                    <w:jc w:val="center"/>
                    <w:rPr>
                      <w:bCs/>
                      <w:color w:val="auto"/>
                      <w:sz w:val="18"/>
                      <w:szCs w:val="18"/>
                      <w:lang w:val="zh-CN"/>
                    </w:rPr>
                  </w:pPr>
                </w:p>
              </w:tc>
              <w:tc>
                <w:tcPr>
                  <w:tcW w:w="630" w:type="pct"/>
                  <w:shd w:val="clear" w:color="auto" w:fill="FFFFFF"/>
                  <w:noWrap/>
                  <w:vAlign w:val="center"/>
                </w:tcPr>
                <w:p w14:paraId="6F966745">
                  <w:pPr>
                    <w:jc w:val="center"/>
                    <w:rPr>
                      <w:bCs/>
                      <w:color w:val="auto"/>
                      <w:sz w:val="18"/>
                      <w:szCs w:val="18"/>
                      <w:lang w:val="zh-CN"/>
                    </w:rPr>
                  </w:pPr>
                </w:p>
              </w:tc>
              <w:tc>
                <w:tcPr>
                  <w:tcW w:w="1197" w:type="pct"/>
                  <w:shd w:val="clear" w:color="auto" w:fill="FFFFFF"/>
                  <w:vAlign w:val="center"/>
                </w:tcPr>
                <w:p w14:paraId="7804BD3F">
                  <w:pPr>
                    <w:jc w:val="center"/>
                    <w:rPr>
                      <w:bCs/>
                      <w:color w:val="auto"/>
                      <w:sz w:val="18"/>
                      <w:szCs w:val="18"/>
                      <w:lang w:val="zh-CN"/>
                    </w:rPr>
                  </w:pPr>
                </w:p>
              </w:tc>
              <w:tc>
                <w:tcPr>
                  <w:tcW w:w="561" w:type="pct"/>
                  <w:shd w:val="clear" w:color="auto" w:fill="FFFFFF"/>
                  <w:vAlign w:val="center"/>
                </w:tcPr>
                <w:p w14:paraId="68DD0B67">
                  <w:pPr>
                    <w:jc w:val="center"/>
                    <w:rPr>
                      <w:bCs/>
                      <w:color w:val="auto"/>
                      <w:sz w:val="18"/>
                      <w:szCs w:val="18"/>
                    </w:rPr>
                  </w:pPr>
                </w:p>
              </w:tc>
              <w:tc>
                <w:tcPr>
                  <w:tcW w:w="561" w:type="pct"/>
                  <w:shd w:val="clear" w:color="auto" w:fill="FFFFFF"/>
                  <w:vAlign w:val="center"/>
                </w:tcPr>
                <w:p w14:paraId="030B4F74">
                  <w:pPr>
                    <w:jc w:val="center"/>
                    <w:rPr>
                      <w:bCs/>
                      <w:color w:val="auto"/>
                      <w:sz w:val="18"/>
                      <w:szCs w:val="18"/>
                      <w:lang w:val="zh-CN"/>
                    </w:rPr>
                  </w:pPr>
                </w:p>
              </w:tc>
              <w:tc>
                <w:tcPr>
                  <w:tcW w:w="561" w:type="pct"/>
                  <w:tcBorders>
                    <w:right w:val="nil"/>
                  </w:tcBorders>
                  <w:shd w:val="clear" w:color="auto" w:fill="FFFFFF"/>
                  <w:vAlign w:val="center"/>
                </w:tcPr>
                <w:p w14:paraId="63F3D13B">
                  <w:pPr>
                    <w:jc w:val="center"/>
                    <w:rPr>
                      <w:bCs/>
                      <w:color w:val="auto"/>
                      <w:sz w:val="18"/>
                      <w:szCs w:val="18"/>
                      <w:lang w:val="zh-CN"/>
                    </w:rPr>
                  </w:pPr>
                </w:p>
              </w:tc>
            </w:tr>
            <w:tr w14:paraId="24B92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751" w:type="pct"/>
                  <w:vMerge w:val="continue"/>
                  <w:tcBorders>
                    <w:left w:val="nil"/>
                  </w:tcBorders>
                  <w:shd w:val="clear" w:color="auto" w:fill="FFFFFF"/>
                  <w:vAlign w:val="center"/>
                </w:tcPr>
                <w:p w14:paraId="18DD5F5C">
                  <w:pPr>
                    <w:jc w:val="center"/>
                    <w:rPr>
                      <w:bCs/>
                      <w:color w:val="auto"/>
                      <w:sz w:val="18"/>
                      <w:szCs w:val="18"/>
                      <w:lang w:val="zh-CN"/>
                    </w:rPr>
                  </w:pPr>
                </w:p>
              </w:tc>
              <w:tc>
                <w:tcPr>
                  <w:tcW w:w="736" w:type="pct"/>
                  <w:shd w:val="clear" w:color="auto" w:fill="FFFFFF"/>
                  <w:vAlign w:val="center"/>
                </w:tcPr>
                <w:p w14:paraId="7FA0164C">
                  <w:pPr>
                    <w:jc w:val="center"/>
                    <w:rPr>
                      <w:bCs/>
                      <w:color w:val="auto"/>
                      <w:sz w:val="18"/>
                      <w:szCs w:val="18"/>
                      <w:lang w:val="zh-CN"/>
                    </w:rPr>
                  </w:pPr>
                </w:p>
              </w:tc>
              <w:tc>
                <w:tcPr>
                  <w:tcW w:w="630" w:type="pct"/>
                  <w:shd w:val="clear" w:color="auto" w:fill="FFFFFF"/>
                  <w:noWrap/>
                  <w:vAlign w:val="center"/>
                </w:tcPr>
                <w:p w14:paraId="3B84658F">
                  <w:pPr>
                    <w:jc w:val="center"/>
                    <w:rPr>
                      <w:color w:val="auto"/>
                      <w:sz w:val="18"/>
                      <w:szCs w:val="18"/>
                    </w:rPr>
                  </w:pPr>
                </w:p>
              </w:tc>
              <w:tc>
                <w:tcPr>
                  <w:tcW w:w="1197" w:type="pct"/>
                  <w:shd w:val="clear" w:color="auto" w:fill="FFFFFF"/>
                  <w:vAlign w:val="center"/>
                </w:tcPr>
                <w:p w14:paraId="6138F3D7">
                  <w:pPr>
                    <w:jc w:val="center"/>
                    <w:rPr>
                      <w:bCs/>
                      <w:color w:val="auto"/>
                      <w:sz w:val="18"/>
                      <w:szCs w:val="18"/>
                      <w:lang w:val="zh-CN"/>
                    </w:rPr>
                  </w:pPr>
                </w:p>
              </w:tc>
              <w:tc>
                <w:tcPr>
                  <w:tcW w:w="561" w:type="pct"/>
                  <w:shd w:val="clear" w:color="auto" w:fill="FFFFFF"/>
                  <w:vAlign w:val="center"/>
                </w:tcPr>
                <w:p w14:paraId="60EF7797">
                  <w:pPr>
                    <w:jc w:val="center"/>
                    <w:rPr>
                      <w:bCs/>
                      <w:color w:val="auto"/>
                      <w:sz w:val="18"/>
                      <w:szCs w:val="18"/>
                    </w:rPr>
                  </w:pPr>
                </w:p>
              </w:tc>
              <w:tc>
                <w:tcPr>
                  <w:tcW w:w="561" w:type="pct"/>
                  <w:shd w:val="clear" w:color="auto" w:fill="FFFFFF"/>
                  <w:vAlign w:val="center"/>
                </w:tcPr>
                <w:p w14:paraId="5DCBB8B1">
                  <w:pPr>
                    <w:jc w:val="center"/>
                    <w:rPr>
                      <w:bCs/>
                      <w:color w:val="auto"/>
                      <w:sz w:val="18"/>
                      <w:szCs w:val="18"/>
                      <w:lang w:val="zh-CN"/>
                    </w:rPr>
                  </w:pPr>
                </w:p>
              </w:tc>
              <w:tc>
                <w:tcPr>
                  <w:tcW w:w="561" w:type="pct"/>
                  <w:tcBorders>
                    <w:right w:val="nil"/>
                  </w:tcBorders>
                  <w:shd w:val="clear" w:color="auto" w:fill="FFFFFF"/>
                  <w:vAlign w:val="center"/>
                </w:tcPr>
                <w:p w14:paraId="6B793A29">
                  <w:pPr>
                    <w:jc w:val="center"/>
                    <w:rPr>
                      <w:bCs/>
                      <w:color w:val="auto"/>
                      <w:sz w:val="18"/>
                      <w:szCs w:val="18"/>
                      <w:lang w:val="zh-CN"/>
                    </w:rPr>
                  </w:pPr>
                </w:p>
              </w:tc>
            </w:tr>
            <w:tr w14:paraId="440F3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751" w:type="pct"/>
                  <w:vMerge w:val="continue"/>
                  <w:tcBorders>
                    <w:left w:val="nil"/>
                  </w:tcBorders>
                  <w:shd w:val="clear" w:color="auto" w:fill="FFFFFF"/>
                  <w:vAlign w:val="center"/>
                </w:tcPr>
                <w:p w14:paraId="6EBD6042">
                  <w:pPr>
                    <w:jc w:val="center"/>
                    <w:rPr>
                      <w:bCs/>
                      <w:color w:val="auto"/>
                      <w:sz w:val="18"/>
                      <w:szCs w:val="18"/>
                      <w:lang w:val="zh-CN"/>
                    </w:rPr>
                  </w:pPr>
                </w:p>
              </w:tc>
              <w:tc>
                <w:tcPr>
                  <w:tcW w:w="736" w:type="pct"/>
                  <w:shd w:val="clear" w:color="auto" w:fill="FFFFFF"/>
                  <w:vAlign w:val="center"/>
                </w:tcPr>
                <w:p w14:paraId="7222C9A5">
                  <w:pPr>
                    <w:jc w:val="center"/>
                    <w:rPr>
                      <w:bCs/>
                      <w:color w:val="auto"/>
                      <w:sz w:val="18"/>
                      <w:szCs w:val="18"/>
                      <w:lang w:val="zh-CN"/>
                    </w:rPr>
                  </w:pPr>
                </w:p>
              </w:tc>
              <w:tc>
                <w:tcPr>
                  <w:tcW w:w="630" w:type="pct"/>
                  <w:shd w:val="clear" w:color="auto" w:fill="FFFFFF"/>
                  <w:noWrap/>
                  <w:vAlign w:val="center"/>
                </w:tcPr>
                <w:p w14:paraId="3B9EC0F1">
                  <w:pPr>
                    <w:jc w:val="center"/>
                    <w:rPr>
                      <w:color w:val="auto"/>
                      <w:sz w:val="18"/>
                      <w:szCs w:val="18"/>
                    </w:rPr>
                  </w:pPr>
                </w:p>
              </w:tc>
              <w:tc>
                <w:tcPr>
                  <w:tcW w:w="1197" w:type="pct"/>
                  <w:shd w:val="clear" w:color="auto" w:fill="FFFFFF"/>
                  <w:vAlign w:val="center"/>
                </w:tcPr>
                <w:p w14:paraId="545CBD15">
                  <w:pPr>
                    <w:jc w:val="center"/>
                    <w:rPr>
                      <w:bCs/>
                      <w:color w:val="auto"/>
                      <w:sz w:val="18"/>
                      <w:szCs w:val="18"/>
                      <w:lang w:val="zh-CN"/>
                    </w:rPr>
                  </w:pPr>
                </w:p>
              </w:tc>
              <w:tc>
                <w:tcPr>
                  <w:tcW w:w="561" w:type="pct"/>
                  <w:shd w:val="clear" w:color="auto" w:fill="FFFFFF"/>
                  <w:vAlign w:val="center"/>
                </w:tcPr>
                <w:p w14:paraId="04CEBF2D">
                  <w:pPr>
                    <w:jc w:val="center"/>
                    <w:rPr>
                      <w:bCs/>
                      <w:color w:val="auto"/>
                      <w:sz w:val="18"/>
                      <w:szCs w:val="18"/>
                    </w:rPr>
                  </w:pPr>
                </w:p>
              </w:tc>
              <w:tc>
                <w:tcPr>
                  <w:tcW w:w="561" w:type="pct"/>
                  <w:shd w:val="clear" w:color="auto" w:fill="FFFFFF"/>
                  <w:vAlign w:val="center"/>
                </w:tcPr>
                <w:p w14:paraId="0A88CE15">
                  <w:pPr>
                    <w:jc w:val="center"/>
                    <w:rPr>
                      <w:bCs/>
                      <w:color w:val="auto"/>
                      <w:sz w:val="18"/>
                      <w:szCs w:val="18"/>
                      <w:lang w:val="zh-CN"/>
                    </w:rPr>
                  </w:pPr>
                </w:p>
              </w:tc>
              <w:tc>
                <w:tcPr>
                  <w:tcW w:w="561" w:type="pct"/>
                  <w:tcBorders>
                    <w:right w:val="nil"/>
                  </w:tcBorders>
                  <w:shd w:val="clear" w:color="auto" w:fill="FFFFFF"/>
                  <w:vAlign w:val="center"/>
                </w:tcPr>
                <w:p w14:paraId="3D56BFF7">
                  <w:pPr>
                    <w:jc w:val="center"/>
                    <w:rPr>
                      <w:bCs/>
                      <w:color w:val="auto"/>
                      <w:sz w:val="18"/>
                      <w:szCs w:val="18"/>
                      <w:lang w:val="zh-CN"/>
                    </w:rPr>
                  </w:pPr>
                </w:p>
              </w:tc>
            </w:tr>
            <w:tr w14:paraId="7B019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751" w:type="pct"/>
                  <w:vMerge w:val="continue"/>
                  <w:tcBorders>
                    <w:left w:val="nil"/>
                  </w:tcBorders>
                  <w:shd w:val="clear" w:color="auto" w:fill="FFFFFF"/>
                  <w:vAlign w:val="center"/>
                </w:tcPr>
                <w:p w14:paraId="1633097A">
                  <w:pPr>
                    <w:jc w:val="center"/>
                    <w:rPr>
                      <w:bCs/>
                      <w:color w:val="auto"/>
                      <w:sz w:val="18"/>
                      <w:szCs w:val="18"/>
                      <w:lang w:val="zh-CN"/>
                    </w:rPr>
                  </w:pPr>
                </w:p>
              </w:tc>
              <w:tc>
                <w:tcPr>
                  <w:tcW w:w="736" w:type="pct"/>
                  <w:shd w:val="clear" w:color="auto" w:fill="FFFFFF"/>
                  <w:vAlign w:val="center"/>
                </w:tcPr>
                <w:p w14:paraId="3EFF3CC0">
                  <w:pPr>
                    <w:jc w:val="center"/>
                    <w:rPr>
                      <w:bCs/>
                      <w:color w:val="auto"/>
                      <w:sz w:val="18"/>
                      <w:szCs w:val="18"/>
                      <w:lang w:val="zh-CN"/>
                    </w:rPr>
                  </w:pPr>
                </w:p>
              </w:tc>
              <w:tc>
                <w:tcPr>
                  <w:tcW w:w="630" w:type="pct"/>
                  <w:shd w:val="clear" w:color="auto" w:fill="FFFFFF"/>
                  <w:noWrap/>
                  <w:vAlign w:val="center"/>
                </w:tcPr>
                <w:p w14:paraId="60CA6AC3">
                  <w:pPr>
                    <w:jc w:val="center"/>
                    <w:rPr>
                      <w:color w:val="auto"/>
                      <w:sz w:val="18"/>
                      <w:szCs w:val="18"/>
                    </w:rPr>
                  </w:pPr>
                </w:p>
              </w:tc>
              <w:tc>
                <w:tcPr>
                  <w:tcW w:w="1197" w:type="pct"/>
                  <w:shd w:val="clear" w:color="auto" w:fill="FFFFFF"/>
                  <w:vAlign w:val="center"/>
                </w:tcPr>
                <w:p w14:paraId="506EB2F3">
                  <w:pPr>
                    <w:jc w:val="center"/>
                    <w:rPr>
                      <w:bCs/>
                      <w:color w:val="auto"/>
                      <w:sz w:val="18"/>
                      <w:szCs w:val="18"/>
                      <w:lang w:val="zh-CN"/>
                    </w:rPr>
                  </w:pPr>
                </w:p>
              </w:tc>
              <w:tc>
                <w:tcPr>
                  <w:tcW w:w="561" w:type="pct"/>
                  <w:shd w:val="clear" w:color="auto" w:fill="FFFFFF"/>
                  <w:vAlign w:val="center"/>
                </w:tcPr>
                <w:p w14:paraId="41D3F4A3">
                  <w:pPr>
                    <w:jc w:val="center"/>
                    <w:rPr>
                      <w:bCs/>
                      <w:color w:val="auto"/>
                      <w:sz w:val="18"/>
                      <w:szCs w:val="18"/>
                    </w:rPr>
                  </w:pPr>
                </w:p>
              </w:tc>
              <w:tc>
                <w:tcPr>
                  <w:tcW w:w="561" w:type="pct"/>
                  <w:shd w:val="clear" w:color="auto" w:fill="FFFFFF"/>
                  <w:vAlign w:val="center"/>
                </w:tcPr>
                <w:p w14:paraId="7B5CDB51">
                  <w:pPr>
                    <w:jc w:val="center"/>
                    <w:rPr>
                      <w:bCs/>
                      <w:color w:val="auto"/>
                      <w:sz w:val="18"/>
                      <w:szCs w:val="18"/>
                      <w:lang w:val="zh-CN"/>
                    </w:rPr>
                  </w:pPr>
                </w:p>
              </w:tc>
              <w:tc>
                <w:tcPr>
                  <w:tcW w:w="561" w:type="pct"/>
                  <w:tcBorders>
                    <w:right w:val="nil"/>
                  </w:tcBorders>
                  <w:shd w:val="clear" w:color="auto" w:fill="FFFFFF"/>
                  <w:vAlign w:val="center"/>
                </w:tcPr>
                <w:p w14:paraId="3456A4EB">
                  <w:pPr>
                    <w:jc w:val="center"/>
                    <w:rPr>
                      <w:bCs/>
                      <w:color w:val="auto"/>
                      <w:sz w:val="18"/>
                      <w:szCs w:val="18"/>
                      <w:lang w:val="zh-CN"/>
                    </w:rPr>
                  </w:pPr>
                </w:p>
              </w:tc>
            </w:tr>
            <w:tr w14:paraId="7DBCA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751" w:type="pct"/>
                  <w:vMerge w:val="continue"/>
                  <w:tcBorders>
                    <w:left w:val="nil"/>
                  </w:tcBorders>
                  <w:shd w:val="clear" w:color="auto" w:fill="FFFFFF"/>
                  <w:vAlign w:val="center"/>
                </w:tcPr>
                <w:p w14:paraId="0690F84C">
                  <w:pPr>
                    <w:jc w:val="center"/>
                    <w:rPr>
                      <w:bCs/>
                      <w:color w:val="auto"/>
                      <w:sz w:val="18"/>
                      <w:szCs w:val="18"/>
                      <w:lang w:val="zh-CN"/>
                    </w:rPr>
                  </w:pPr>
                </w:p>
              </w:tc>
              <w:tc>
                <w:tcPr>
                  <w:tcW w:w="736" w:type="pct"/>
                  <w:shd w:val="clear" w:color="auto" w:fill="FFFFFF"/>
                  <w:vAlign w:val="center"/>
                </w:tcPr>
                <w:p w14:paraId="02922BCB">
                  <w:pPr>
                    <w:jc w:val="center"/>
                    <w:rPr>
                      <w:bCs/>
                      <w:color w:val="auto"/>
                      <w:sz w:val="18"/>
                      <w:szCs w:val="18"/>
                      <w:lang w:val="zh-CN"/>
                    </w:rPr>
                  </w:pPr>
                </w:p>
              </w:tc>
              <w:tc>
                <w:tcPr>
                  <w:tcW w:w="630" w:type="pct"/>
                  <w:shd w:val="clear" w:color="auto" w:fill="FFFFFF"/>
                  <w:noWrap/>
                  <w:vAlign w:val="center"/>
                </w:tcPr>
                <w:p w14:paraId="3CA6B65B">
                  <w:pPr>
                    <w:jc w:val="center"/>
                    <w:rPr>
                      <w:color w:val="auto"/>
                      <w:sz w:val="18"/>
                      <w:szCs w:val="18"/>
                    </w:rPr>
                  </w:pPr>
                </w:p>
              </w:tc>
              <w:tc>
                <w:tcPr>
                  <w:tcW w:w="1197" w:type="pct"/>
                  <w:shd w:val="clear" w:color="auto" w:fill="FFFFFF"/>
                  <w:vAlign w:val="center"/>
                </w:tcPr>
                <w:p w14:paraId="62AE8FF5">
                  <w:pPr>
                    <w:jc w:val="center"/>
                    <w:rPr>
                      <w:bCs/>
                      <w:color w:val="auto"/>
                      <w:sz w:val="18"/>
                      <w:szCs w:val="18"/>
                      <w:lang w:val="zh-CN"/>
                    </w:rPr>
                  </w:pPr>
                </w:p>
              </w:tc>
              <w:tc>
                <w:tcPr>
                  <w:tcW w:w="561" w:type="pct"/>
                  <w:shd w:val="clear" w:color="auto" w:fill="FFFFFF"/>
                  <w:vAlign w:val="center"/>
                </w:tcPr>
                <w:p w14:paraId="5DD5A51C">
                  <w:pPr>
                    <w:jc w:val="center"/>
                    <w:rPr>
                      <w:bCs/>
                      <w:color w:val="auto"/>
                      <w:sz w:val="18"/>
                      <w:szCs w:val="18"/>
                    </w:rPr>
                  </w:pPr>
                </w:p>
              </w:tc>
              <w:tc>
                <w:tcPr>
                  <w:tcW w:w="561" w:type="pct"/>
                  <w:shd w:val="clear" w:color="auto" w:fill="FFFFFF"/>
                  <w:vAlign w:val="center"/>
                </w:tcPr>
                <w:p w14:paraId="682C0DB8">
                  <w:pPr>
                    <w:jc w:val="center"/>
                    <w:rPr>
                      <w:bCs/>
                      <w:color w:val="auto"/>
                      <w:sz w:val="18"/>
                      <w:szCs w:val="18"/>
                      <w:lang w:val="zh-CN"/>
                    </w:rPr>
                  </w:pPr>
                </w:p>
              </w:tc>
              <w:tc>
                <w:tcPr>
                  <w:tcW w:w="561" w:type="pct"/>
                  <w:tcBorders>
                    <w:right w:val="nil"/>
                  </w:tcBorders>
                  <w:shd w:val="clear" w:color="auto" w:fill="FFFFFF"/>
                  <w:vAlign w:val="center"/>
                </w:tcPr>
                <w:p w14:paraId="7D1730EB">
                  <w:pPr>
                    <w:jc w:val="center"/>
                    <w:rPr>
                      <w:bCs/>
                      <w:color w:val="auto"/>
                      <w:sz w:val="18"/>
                      <w:szCs w:val="18"/>
                      <w:lang w:val="zh-CN"/>
                    </w:rPr>
                  </w:pPr>
                </w:p>
              </w:tc>
            </w:tr>
            <w:tr w14:paraId="576F3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751" w:type="pct"/>
                  <w:vMerge w:val="continue"/>
                  <w:tcBorders>
                    <w:left w:val="nil"/>
                  </w:tcBorders>
                  <w:shd w:val="clear" w:color="auto" w:fill="FFFFFF"/>
                  <w:vAlign w:val="center"/>
                </w:tcPr>
                <w:p w14:paraId="49A661E0">
                  <w:pPr>
                    <w:jc w:val="center"/>
                    <w:rPr>
                      <w:bCs/>
                      <w:color w:val="auto"/>
                      <w:sz w:val="18"/>
                      <w:szCs w:val="18"/>
                      <w:lang w:val="zh-CN"/>
                    </w:rPr>
                  </w:pPr>
                </w:p>
              </w:tc>
              <w:tc>
                <w:tcPr>
                  <w:tcW w:w="736" w:type="pct"/>
                  <w:shd w:val="clear" w:color="auto" w:fill="FFFFFF"/>
                  <w:vAlign w:val="center"/>
                </w:tcPr>
                <w:p w14:paraId="0F05AE83">
                  <w:pPr>
                    <w:jc w:val="center"/>
                    <w:rPr>
                      <w:bCs/>
                      <w:color w:val="auto"/>
                      <w:sz w:val="18"/>
                      <w:szCs w:val="18"/>
                      <w:lang w:val="zh-CN"/>
                    </w:rPr>
                  </w:pPr>
                </w:p>
              </w:tc>
              <w:tc>
                <w:tcPr>
                  <w:tcW w:w="630" w:type="pct"/>
                  <w:shd w:val="clear" w:color="auto" w:fill="FFFFFF"/>
                  <w:noWrap/>
                  <w:vAlign w:val="center"/>
                </w:tcPr>
                <w:p w14:paraId="68048CC9">
                  <w:pPr>
                    <w:jc w:val="center"/>
                    <w:rPr>
                      <w:color w:val="auto"/>
                      <w:sz w:val="18"/>
                      <w:szCs w:val="18"/>
                    </w:rPr>
                  </w:pPr>
                </w:p>
              </w:tc>
              <w:tc>
                <w:tcPr>
                  <w:tcW w:w="1197" w:type="pct"/>
                  <w:shd w:val="clear" w:color="auto" w:fill="FFFFFF"/>
                  <w:vAlign w:val="center"/>
                </w:tcPr>
                <w:p w14:paraId="1199F9E0">
                  <w:pPr>
                    <w:jc w:val="center"/>
                    <w:rPr>
                      <w:bCs/>
                      <w:color w:val="auto"/>
                      <w:sz w:val="18"/>
                      <w:szCs w:val="18"/>
                      <w:lang w:val="zh-CN"/>
                    </w:rPr>
                  </w:pPr>
                </w:p>
              </w:tc>
              <w:tc>
                <w:tcPr>
                  <w:tcW w:w="561" w:type="pct"/>
                  <w:shd w:val="clear" w:color="auto" w:fill="FFFFFF"/>
                  <w:vAlign w:val="center"/>
                </w:tcPr>
                <w:p w14:paraId="5B13CDB5">
                  <w:pPr>
                    <w:jc w:val="center"/>
                    <w:rPr>
                      <w:bCs/>
                      <w:color w:val="auto"/>
                      <w:sz w:val="18"/>
                      <w:szCs w:val="18"/>
                    </w:rPr>
                  </w:pPr>
                </w:p>
              </w:tc>
              <w:tc>
                <w:tcPr>
                  <w:tcW w:w="561" w:type="pct"/>
                  <w:shd w:val="clear" w:color="auto" w:fill="FFFFFF"/>
                  <w:vAlign w:val="center"/>
                </w:tcPr>
                <w:p w14:paraId="21C76F99">
                  <w:pPr>
                    <w:jc w:val="center"/>
                    <w:rPr>
                      <w:bCs/>
                      <w:color w:val="auto"/>
                      <w:sz w:val="18"/>
                      <w:szCs w:val="18"/>
                      <w:lang w:val="zh-CN"/>
                    </w:rPr>
                  </w:pPr>
                </w:p>
              </w:tc>
              <w:tc>
                <w:tcPr>
                  <w:tcW w:w="561" w:type="pct"/>
                  <w:tcBorders>
                    <w:right w:val="nil"/>
                  </w:tcBorders>
                  <w:shd w:val="clear" w:color="auto" w:fill="FFFFFF"/>
                  <w:vAlign w:val="center"/>
                </w:tcPr>
                <w:p w14:paraId="7B11080F">
                  <w:pPr>
                    <w:jc w:val="center"/>
                    <w:rPr>
                      <w:bCs/>
                      <w:color w:val="auto"/>
                      <w:sz w:val="18"/>
                      <w:szCs w:val="18"/>
                      <w:lang w:val="zh-CN"/>
                    </w:rPr>
                  </w:pPr>
                </w:p>
              </w:tc>
            </w:tr>
            <w:tr w14:paraId="54C7C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751" w:type="pct"/>
                  <w:vMerge w:val="continue"/>
                  <w:tcBorders>
                    <w:left w:val="nil"/>
                  </w:tcBorders>
                  <w:shd w:val="clear" w:color="auto" w:fill="FFFFFF"/>
                  <w:vAlign w:val="center"/>
                </w:tcPr>
                <w:p w14:paraId="5FF4B088">
                  <w:pPr>
                    <w:jc w:val="center"/>
                    <w:rPr>
                      <w:bCs/>
                      <w:color w:val="auto"/>
                      <w:sz w:val="18"/>
                      <w:szCs w:val="18"/>
                      <w:lang w:val="zh-CN"/>
                    </w:rPr>
                  </w:pPr>
                </w:p>
              </w:tc>
              <w:tc>
                <w:tcPr>
                  <w:tcW w:w="736" w:type="pct"/>
                  <w:shd w:val="clear" w:color="auto" w:fill="FFFFFF"/>
                  <w:vAlign w:val="center"/>
                </w:tcPr>
                <w:p w14:paraId="49253DE7">
                  <w:pPr>
                    <w:jc w:val="center"/>
                    <w:rPr>
                      <w:bCs/>
                      <w:color w:val="auto"/>
                      <w:sz w:val="18"/>
                      <w:szCs w:val="18"/>
                      <w:lang w:val="zh-CN"/>
                    </w:rPr>
                  </w:pPr>
                </w:p>
              </w:tc>
              <w:tc>
                <w:tcPr>
                  <w:tcW w:w="630" w:type="pct"/>
                  <w:shd w:val="clear" w:color="auto" w:fill="FFFFFF"/>
                  <w:noWrap/>
                  <w:vAlign w:val="center"/>
                </w:tcPr>
                <w:p w14:paraId="34C4A15C">
                  <w:pPr>
                    <w:jc w:val="center"/>
                    <w:rPr>
                      <w:color w:val="auto"/>
                      <w:sz w:val="18"/>
                      <w:szCs w:val="18"/>
                    </w:rPr>
                  </w:pPr>
                </w:p>
              </w:tc>
              <w:tc>
                <w:tcPr>
                  <w:tcW w:w="1197" w:type="pct"/>
                  <w:shd w:val="clear" w:color="auto" w:fill="FFFFFF"/>
                  <w:vAlign w:val="center"/>
                </w:tcPr>
                <w:p w14:paraId="766F031C">
                  <w:pPr>
                    <w:jc w:val="center"/>
                    <w:rPr>
                      <w:bCs/>
                      <w:color w:val="auto"/>
                      <w:sz w:val="18"/>
                      <w:szCs w:val="18"/>
                      <w:lang w:val="zh-CN"/>
                    </w:rPr>
                  </w:pPr>
                </w:p>
              </w:tc>
              <w:tc>
                <w:tcPr>
                  <w:tcW w:w="561" w:type="pct"/>
                  <w:shd w:val="clear" w:color="auto" w:fill="FFFFFF"/>
                  <w:vAlign w:val="center"/>
                </w:tcPr>
                <w:p w14:paraId="1BD74E52">
                  <w:pPr>
                    <w:jc w:val="center"/>
                    <w:rPr>
                      <w:bCs/>
                      <w:color w:val="auto"/>
                      <w:sz w:val="18"/>
                      <w:szCs w:val="18"/>
                    </w:rPr>
                  </w:pPr>
                </w:p>
              </w:tc>
              <w:tc>
                <w:tcPr>
                  <w:tcW w:w="561" w:type="pct"/>
                  <w:shd w:val="clear" w:color="auto" w:fill="FFFFFF"/>
                  <w:vAlign w:val="center"/>
                </w:tcPr>
                <w:p w14:paraId="2DE47116">
                  <w:pPr>
                    <w:jc w:val="center"/>
                    <w:rPr>
                      <w:bCs/>
                      <w:color w:val="auto"/>
                      <w:sz w:val="18"/>
                      <w:szCs w:val="18"/>
                      <w:lang w:val="zh-CN"/>
                    </w:rPr>
                  </w:pPr>
                </w:p>
              </w:tc>
              <w:tc>
                <w:tcPr>
                  <w:tcW w:w="561" w:type="pct"/>
                  <w:tcBorders>
                    <w:right w:val="nil"/>
                  </w:tcBorders>
                  <w:shd w:val="clear" w:color="auto" w:fill="FFFFFF"/>
                  <w:vAlign w:val="center"/>
                </w:tcPr>
                <w:p w14:paraId="2FD335E8">
                  <w:pPr>
                    <w:jc w:val="center"/>
                    <w:rPr>
                      <w:bCs/>
                      <w:color w:val="auto"/>
                      <w:sz w:val="18"/>
                      <w:szCs w:val="18"/>
                      <w:lang w:val="zh-CN"/>
                    </w:rPr>
                  </w:pPr>
                </w:p>
              </w:tc>
            </w:tr>
            <w:tr w14:paraId="5A1A1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751" w:type="pct"/>
                  <w:vMerge w:val="continue"/>
                  <w:tcBorders>
                    <w:left w:val="nil"/>
                  </w:tcBorders>
                  <w:shd w:val="clear" w:color="auto" w:fill="FFFFFF"/>
                  <w:vAlign w:val="center"/>
                </w:tcPr>
                <w:p w14:paraId="0E60ACA2">
                  <w:pPr>
                    <w:jc w:val="center"/>
                    <w:rPr>
                      <w:bCs/>
                      <w:color w:val="auto"/>
                      <w:sz w:val="18"/>
                      <w:szCs w:val="18"/>
                      <w:lang w:val="zh-CN"/>
                    </w:rPr>
                  </w:pPr>
                </w:p>
              </w:tc>
              <w:tc>
                <w:tcPr>
                  <w:tcW w:w="736" w:type="pct"/>
                  <w:shd w:val="clear" w:color="auto" w:fill="FFFFFF"/>
                  <w:vAlign w:val="center"/>
                </w:tcPr>
                <w:p w14:paraId="2DCB7A13">
                  <w:pPr>
                    <w:jc w:val="center"/>
                    <w:rPr>
                      <w:bCs/>
                      <w:color w:val="auto"/>
                      <w:sz w:val="18"/>
                      <w:szCs w:val="18"/>
                      <w:lang w:val="zh-CN"/>
                    </w:rPr>
                  </w:pPr>
                </w:p>
              </w:tc>
              <w:tc>
                <w:tcPr>
                  <w:tcW w:w="630" w:type="pct"/>
                  <w:shd w:val="clear" w:color="auto" w:fill="FFFFFF"/>
                  <w:noWrap/>
                  <w:vAlign w:val="center"/>
                </w:tcPr>
                <w:p w14:paraId="7216FFB8">
                  <w:pPr>
                    <w:jc w:val="center"/>
                    <w:rPr>
                      <w:color w:val="auto"/>
                      <w:sz w:val="18"/>
                      <w:szCs w:val="18"/>
                    </w:rPr>
                  </w:pPr>
                </w:p>
              </w:tc>
              <w:tc>
                <w:tcPr>
                  <w:tcW w:w="1197" w:type="pct"/>
                  <w:shd w:val="clear" w:color="auto" w:fill="FFFFFF"/>
                  <w:vAlign w:val="center"/>
                </w:tcPr>
                <w:p w14:paraId="775D275B">
                  <w:pPr>
                    <w:jc w:val="center"/>
                    <w:rPr>
                      <w:bCs/>
                      <w:color w:val="auto"/>
                      <w:sz w:val="18"/>
                      <w:szCs w:val="18"/>
                      <w:lang w:val="zh-CN"/>
                    </w:rPr>
                  </w:pPr>
                </w:p>
              </w:tc>
              <w:tc>
                <w:tcPr>
                  <w:tcW w:w="561" w:type="pct"/>
                  <w:shd w:val="clear" w:color="auto" w:fill="FFFFFF"/>
                  <w:vAlign w:val="center"/>
                </w:tcPr>
                <w:p w14:paraId="4BBBD574">
                  <w:pPr>
                    <w:jc w:val="center"/>
                    <w:rPr>
                      <w:bCs/>
                      <w:color w:val="auto"/>
                      <w:sz w:val="18"/>
                      <w:szCs w:val="18"/>
                    </w:rPr>
                  </w:pPr>
                </w:p>
              </w:tc>
              <w:tc>
                <w:tcPr>
                  <w:tcW w:w="561" w:type="pct"/>
                  <w:shd w:val="clear" w:color="auto" w:fill="FFFFFF"/>
                  <w:vAlign w:val="center"/>
                </w:tcPr>
                <w:p w14:paraId="7FF8A5AB">
                  <w:pPr>
                    <w:jc w:val="center"/>
                    <w:rPr>
                      <w:bCs/>
                      <w:color w:val="auto"/>
                      <w:sz w:val="18"/>
                      <w:szCs w:val="18"/>
                      <w:lang w:val="zh-CN"/>
                    </w:rPr>
                  </w:pPr>
                </w:p>
              </w:tc>
              <w:tc>
                <w:tcPr>
                  <w:tcW w:w="561" w:type="pct"/>
                  <w:tcBorders>
                    <w:right w:val="nil"/>
                  </w:tcBorders>
                  <w:shd w:val="clear" w:color="auto" w:fill="FFFFFF"/>
                  <w:vAlign w:val="center"/>
                </w:tcPr>
                <w:p w14:paraId="00F88BDC">
                  <w:pPr>
                    <w:jc w:val="center"/>
                    <w:rPr>
                      <w:bCs/>
                      <w:color w:val="auto"/>
                      <w:sz w:val="18"/>
                      <w:szCs w:val="18"/>
                      <w:lang w:val="zh-CN"/>
                    </w:rPr>
                  </w:pPr>
                </w:p>
              </w:tc>
            </w:tr>
            <w:tr w14:paraId="6A515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751" w:type="pct"/>
                  <w:vMerge w:val="continue"/>
                  <w:tcBorders>
                    <w:left w:val="nil"/>
                  </w:tcBorders>
                  <w:shd w:val="clear" w:color="auto" w:fill="FFFFFF"/>
                  <w:vAlign w:val="center"/>
                </w:tcPr>
                <w:p w14:paraId="36277BC4">
                  <w:pPr>
                    <w:jc w:val="center"/>
                    <w:rPr>
                      <w:bCs/>
                      <w:color w:val="auto"/>
                      <w:sz w:val="18"/>
                      <w:szCs w:val="18"/>
                      <w:lang w:val="zh-CN"/>
                    </w:rPr>
                  </w:pPr>
                </w:p>
              </w:tc>
              <w:tc>
                <w:tcPr>
                  <w:tcW w:w="736" w:type="pct"/>
                  <w:shd w:val="clear" w:color="auto" w:fill="FFFFFF"/>
                  <w:vAlign w:val="center"/>
                </w:tcPr>
                <w:p w14:paraId="23C3EAAB">
                  <w:pPr>
                    <w:jc w:val="center"/>
                    <w:rPr>
                      <w:bCs/>
                      <w:color w:val="auto"/>
                      <w:sz w:val="18"/>
                      <w:szCs w:val="18"/>
                      <w:lang w:val="zh-CN"/>
                    </w:rPr>
                  </w:pPr>
                </w:p>
              </w:tc>
              <w:tc>
                <w:tcPr>
                  <w:tcW w:w="630" w:type="pct"/>
                  <w:shd w:val="clear" w:color="auto" w:fill="FFFFFF"/>
                  <w:noWrap/>
                  <w:vAlign w:val="center"/>
                </w:tcPr>
                <w:p w14:paraId="2E0E5B25">
                  <w:pPr>
                    <w:jc w:val="center"/>
                    <w:rPr>
                      <w:color w:val="auto"/>
                      <w:sz w:val="18"/>
                      <w:szCs w:val="18"/>
                    </w:rPr>
                  </w:pPr>
                </w:p>
              </w:tc>
              <w:tc>
                <w:tcPr>
                  <w:tcW w:w="1197" w:type="pct"/>
                  <w:shd w:val="clear" w:color="auto" w:fill="FFFFFF"/>
                  <w:vAlign w:val="center"/>
                </w:tcPr>
                <w:p w14:paraId="77CB56AE">
                  <w:pPr>
                    <w:jc w:val="center"/>
                    <w:rPr>
                      <w:bCs/>
                      <w:color w:val="auto"/>
                      <w:sz w:val="18"/>
                      <w:szCs w:val="18"/>
                      <w:lang w:val="zh-CN"/>
                    </w:rPr>
                  </w:pPr>
                </w:p>
              </w:tc>
              <w:tc>
                <w:tcPr>
                  <w:tcW w:w="561" w:type="pct"/>
                  <w:shd w:val="clear" w:color="auto" w:fill="FFFFFF"/>
                  <w:vAlign w:val="center"/>
                </w:tcPr>
                <w:p w14:paraId="4EC952E9">
                  <w:pPr>
                    <w:jc w:val="center"/>
                    <w:rPr>
                      <w:bCs/>
                      <w:color w:val="auto"/>
                      <w:sz w:val="18"/>
                      <w:szCs w:val="18"/>
                    </w:rPr>
                  </w:pPr>
                </w:p>
              </w:tc>
              <w:tc>
                <w:tcPr>
                  <w:tcW w:w="561" w:type="pct"/>
                  <w:shd w:val="clear" w:color="auto" w:fill="FFFFFF"/>
                  <w:vAlign w:val="center"/>
                </w:tcPr>
                <w:p w14:paraId="1C7E9EAC">
                  <w:pPr>
                    <w:jc w:val="center"/>
                    <w:rPr>
                      <w:bCs/>
                      <w:color w:val="auto"/>
                      <w:sz w:val="18"/>
                      <w:szCs w:val="18"/>
                      <w:lang w:val="zh-CN"/>
                    </w:rPr>
                  </w:pPr>
                </w:p>
              </w:tc>
              <w:tc>
                <w:tcPr>
                  <w:tcW w:w="561" w:type="pct"/>
                  <w:tcBorders>
                    <w:right w:val="nil"/>
                  </w:tcBorders>
                  <w:shd w:val="clear" w:color="auto" w:fill="FFFFFF"/>
                  <w:vAlign w:val="center"/>
                </w:tcPr>
                <w:p w14:paraId="4099E0C9">
                  <w:pPr>
                    <w:jc w:val="center"/>
                    <w:rPr>
                      <w:bCs/>
                      <w:color w:val="auto"/>
                      <w:sz w:val="18"/>
                      <w:szCs w:val="18"/>
                      <w:lang w:val="zh-CN"/>
                    </w:rPr>
                  </w:pPr>
                </w:p>
              </w:tc>
            </w:tr>
            <w:tr w14:paraId="7EBE8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751" w:type="pct"/>
                  <w:vMerge w:val="continue"/>
                  <w:tcBorders>
                    <w:left w:val="nil"/>
                  </w:tcBorders>
                  <w:shd w:val="clear" w:color="auto" w:fill="FFFFFF"/>
                  <w:vAlign w:val="center"/>
                </w:tcPr>
                <w:p w14:paraId="4C8E8FD2">
                  <w:pPr>
                    <w:jc w:val="center"/>
                    <w:rPr>
                      <w:bCs/>
                      <w:color w:val="auto"/>
                      <w:sz w:val="18"/>
                      <w:szCs w:val="18"/>
                      <w:lang w:val="zh-CN"/>
                    </w:rPr>
                  </w:pPr>
                </w:p>
              </w:tc>
              <w:tc>
                <w:tcPr>
                  <w:tcW w:w="736" w:type="pct"/>
                  <w:shd w:val="clear" w:color="auto" w:fill="FFFFFF"/>
                  <w:vAlign w:val="center"/>
                </w:tcPr>
                <w:p w14:paraId="14303DA3">
                  <w:pPr>
                    <w:jc w:val="center"/>
                    <w:rPr>
                      <w:bCs/>
                      <w:color w:val="auto"/>
                      <w:sz w:val="18"/>
                      <w:szCs w:val="18"/>
                      <w:lang w:val="zh-CN"/>
                    </w:rPr>
                  </w:pPr>
                </w:p>
              </w:tc>
              <w:tc>
                <w:tcPr>
                  <w:tcW w:w="630" w:type="pct"/>
                  <w:shd w:val="clear" w:color="auto" w:fill="FFFFFF"/>
                  <w:noWrap/>
                  <w:vAlign w:val="center"/>
                </w:tcPr>
                <w:p w14:paraId="19B96198">
                  <w:pPr>
                    <w:jc w:val="center"/>
                    <w:rPr>
                      <w:color w:val="auto"/>
                      <w:sz w:val="18"/>
                      <w:szCs w:val="18"/>
                    </w:rPr>
                  </w:pPr>
                </w:p>
              </w:tc>
              <w:tc>
                <w:tcPr>
                  <w:tcW w:w="1197" w:type="pct"/>
                  <w:shd w:val="clear" w:color="auto" w:fill="FFFFFF"/>
                  <w:vAlign w:val="center"/>
                </w:tcPr>
                <w:p w14:paraId="77E1D3B7">
                  <w:pPr>
                    <w:jc w:val="center"/>
                    <w:rPr>
                      <w:bCs/>
                      <w:color w:val="auto"/>
                      <w:sz w:val="18"/>
                      <w:szCs w:val="18"/>
                      <w:lang w:val="zh-CN"/>
                    </w:rPr>
                  </w:pPr>
                </w:p>
              </w:tc>
              <w:tc>
                <w:tcPr>
                  <w:tcW w:w="561" w:type="pct"/>
                  <w:shd w:val="clear" w:color="auto" w:fill="FFFFFF"/>
                  <w:vAlign w:val="center"/>
                </w:tcPr>
                <w:p w14:paraId="2D8408F8">
                  <w:pPr>
                    <w:jc w:val="center"/>
                    <w:rPr>
                      <w:bCs/>
                      <w:color w:val="auto"/>
                      <w:sz w:val="18"/>
                      <w:szCs w:val="18"/>
                    </w:rPr>
                  </w:pPr>
                </w:p>
              </w:tc>
              <w:tc>
                <w:tcPr>
                  <w:tcW w:w="561" w:type="pct"/>
                  <w:shd w:val="clear" w:color="auto" w:fill="FFFFFF"/>
                  <w:vAlign w:val="center"/>
                </w:tcPr>
                <w:p w14:paraId="3D58E4BD">
                  <w:pPr>
                    <w:jc w:val="center"/>
                    <w:rPr>
                      <w:bCs/>
                      <w:color w:val="auto"/>
                      <w:sz w:val="18"/>
                      <w:szCs w:val="18"/>
                      <w:lang w:val="zh-CN"/>
                    </w:rPr>
                  </w:pPr>
                </w:p>
              </w:tc>
              <w:tc>
                <w:tcPr>
                  <w:tcW w:w="561" w:type="pct"/>
                  <w:tcBorders>
                    <w:right w:val="nil"/>
                  </w:tcBorders>
                  <w:shd w:val="clear" w:color="auto" w:fill="FFFFFF"/>
                  <w:vAlign w:val="center"/>
                </w:tcPr>
                <w:p w14:paraId="164C0DEA">
                  <w:pPr>
                    <w:jc w:val="center"/>
                    <w:rPr>
                      <w:bCs/>
                      <w:color w:val="auto"/>
                      <w:sz w:val="18"/>
                      <w:szCs w:val="18"/>
                      <w:lang w:val="zh-CN"/>
                    </w:rPr>
                  </w:pPr>
                </w:p>
              </w:tc>
            </w:tr>
            <w:tr w14:paraId="721CC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751" w:type="pct"/>
                  <w:vMerge w:val="continue"/>
                  <w:tcBorders>
                    <w:left w:val="nil"/>
                  </w:tcBorders>
                  <w:shd w:val="clear" w:color="auto" w:fill="FFFFFF"/>
                  <w:vAlign w:val="center"/>
                </w:tcPr>
                <w:p w14:paraId="6E9B7BCD">
                  <w:pPr>
                    <w:jc w:val="center"/>
                    <w:rPr>
                      <w:bCs/>
                      <w:color w:val="auto"/>
                      <w:sz w:val="18"/>
                      <w:szCs w:val="18"/>
                      <w:lang w:val="zh-CN"/>
                    </w:rPr>
                  </w:pPr>
                </w:p>
              </w:tc>
              <w:tc>
                <w:tcPr>
                  <w:tcW w:w="736" w:type="pct"/>
                  <w:shd w:val="clear" w:color="auto" w:fill="FFFFFF"/>
                  <w:vAlign w:val="center"/>
                </w:tcPr>
                <w:p w14:paraId="5DE95265">
                  <w:pPr>
                    <w:jc w:val="center"/>
                    <w:rPr>
                      <w:bCs/>
                      <w:color w:val="auto"/>
                      <w:sz w:val="18"/>
                      <w:szCs w:val="18"/>
                      <w:lang w:val="zh-CN"/>
                    </w:rPr>
                  </w:pPr>
                </w:p>
              </w:tc>
              <w:tc>
                <w:tcPr>
                  <w:tcW w:w="630" w:type="pct"/>
                  <w:shd w:val="clear" w:color="auto" w:fill="FFFFFF"/>
                  <w:noWrap/>
                  <w:vAlign w:val="center"/>
                </w:tcPr>
                <w:p w14:paraId="5B0ACE52">
                  <w:pPr>
                    <w:jc w:val="center"/>
                    <w:rPr>
                      <w:bCs/>
                      <w:color w:val="auto"/>
                      <w:sz w:val="18"/>
                      <w:szCs w:val="18"/>
                      <w:lang w:val="zh-CN"/>
                    </w:rPr>
                  </w:pPr>
                </w:p>
              </w:tc>
              <w:tc>
                <w:tcPr>
                  <w:tcW w:w="1197" w:type="pct"/>
                  <w:shd w:val="clear" w:color="auto" w:fill="FFFFFF"/>
                  <w:vAlign w:val="center"/>
                </w:tcPr>
                <w:p w14:paraId="489A13A1">
                  <w:pPr>
                    <w:jc w:val="center"/>
                    <w:rPr>
                      <w:bCs/>
                      <w:color w:val="auto"/>
                      <w:sz w:val="18"/>
                      <w:szCs w:val="18"/>
                      <w:lang w:val="zh-CN"/>
                    </w:rPr>
                  </w:pPr>
                </w:p>
              </w:tc>
              <w:tc>
                <w:tcPr>
                  <w:tcW w:w="561" w:type="pct"/>
                  <w:shd w:val="clear" w:color="auto" w:fill="FFFFFF"/>
                  <w:vAlign w:val="center"/>
                </w:tcPr>
                <w:p w14:paraId="59EFDA48">
                  <w:pPr>
                    <w:jc w:val="center"/>
                    <w:rPr>
                      <w:bCs/>
                      <w:color w:val="auto"/>
                      <w:sz w:val="18"/>
                      <w:szCs w:val="18"/>
                    </w:rPr>
                  </w:pPr>
                </w:p>
              </w:tc>
              <w:tc>
                <w:tcPr>
                  <w:tcW w:w="561" w:type="pct"/>
                  <w:shd w:val="clear" w:color="auto" w:fill="FFFFFF"/>
                  <w:vAlign w:val="center"/>
                </w:tcPr>
                <w:p w14:paraId="6195F158">
                  <w:pPr>
                    <w:jc w:val="center"/>
                    <w:rPr>
                      <w:bCs/>
                      <w:color w:val="auto"/>
                      <w:sz w:val="18"/>
                      <w:szCs w:val="18"/>
                      <w:lang w:val="zh-CN"/>
                    </w:rPr>
                  </w:pPr>
                </w:p>
              </w:tc>
              <w:tc>
                <w:tcPr>
                  <w:tcW w:w="561" w:type="pct"/>
                  <w:tcBorders>
                    <w:right w:val="nil"/>
                  </w:tcBorders>
                  <w:shd w:val="clear" w:color="auto" w:fill="FFFFFF"/>
                  <w:vAlign w:val="center"/>
                </w:tcPr>
                <w:p w14:paraId="50589A1B">
                  <w:pPr>
                    <w:jc w:val="center"/>
                    <w:rPr>
                      <w:bCs/>
                      <w:color w:val="auto"/>
                      <w:sz w:val="18"/>
                      <w:szCs w:val="18"/>
                      <w:lang w:val="zh-CN"/>
                    </w:rPr>
                  </w:pPr>
                </w:p>
              </w:tc>
            </w:tr>
            <w:tr w14:paraId="54EEA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751" w:type="pct"/>
                  <w:vMerge w:val="continue"/>
                  <w:tcBorders>
                    <w:left w:val="nil"/>
                  </w:tcBorders>
                  <w:shd w:val="clear" w:color="auto" w:fill="FFFFFF"/>
                  <w:vAlign w:val="center"/>
                </w:tcPr>
                <w:p w14:paraId="5644FB97">
                  <w:pPr>
                    <w:jc w:val="center"/>
                    <w:rPr>
                      <w:bCs/>
                      <w:color w:val="auto"/>
                      <w:sz w:val="18"/>
                      <w:szCs w:val="18"/>
                      <w:lang w:val="zh-CN"/>
                    </w:rPr>
                  </w:pPr>
                </w:p>
              </w:tc>
              <w:tc>
                <w:tcPr>
                  <w:tcW w:w="736" w:type="pct"/>
                  <w:shd w:val="clear" w:color="auto" w:fill="FFFFFF"/>
                  <w:vAlign w:val="center"/>
                </w:tcPr>
                <w:p w14:paraId="2F74AEA4">
                  <w:pPr>
                    <w:jc w:val="center"/>
                    <w:rPr>
                      <w:bCs/>
                      <w:color w:val="auto"/>
                      <w:sz w:val="18"/>
                      <w:szCs w:val="18"/>
                      <w:lang w:val="zh-CN"/>
                    </w:rPr>
                  </w:pPr>
                </w:p>
              </w:tc>
              <w:tc>
                <w:tcPr>
                  <w:tcW w:w="630" w:type="pct"/>
                  <w:shd w:val="clear" w:color="auto" w:fill="FFFFFF"/>
                  <w:noWrap/>
                  <w:vAlign w:val="center"/>
                </w:tcPr>
                <w:p w14:paraId="2A5C9ACD">
                  <w:pPr>
                    <w:jc w:val="center"/>
                    <w:rPr>
                      <w:color w:val="auto"/>
                      <w:sz w:val="18"/>
                      <w:szCs w:val="18"/>
                    </w:rPr>
                  </w:pPr>
                </w:p>
              </w:tc>
              <w:tc>
                <w:tcPr>
                  <w:tcW w:w="1197" w:type="pct"/>
                  <w:shd w:val="clear" w:color="auto" w:fill="FFFFFF"/>
                  <w:vAlign w:val="center"/>
                </w:tcPr>
                <w:p w14:paraId="3DAB806A">
                  <w:pPr>
                    <w:jc w:val="center"/>
                    <w:rPr>
                      <w:bCs/>
                      <w:color w:val="auto"/>
                      <w:sz w:val="18"/>
                      <w:szCs w:val="18"/>
                      <w:lang w:val="zh-CN"/>
                    </w:rPr>
                  </w:pPr>
                </w:p>
              </w:tc>
              <w:tc>
                <w:tcPr>
                  <w:tcW w:w="561" w:type="pct"/>
                  <w:shd w:val="clear" w:color="auto" w:fill="FFFFFF"/>
                  <w:vAlign w:val="center"/>
                </w:tcPr>
                <w:p w14:paraId="776A4975">
                  <w:pPr>
                    <w:jc w:val="center"/>
                    <w:rPr>
                      <w:bCs/>
                      <w:color w:val="auto"/>
                      <w:sz w:val="18"/>
                      <w:szCs w:val="18"/>
                    </w:rPr>
                  </w:pPr>
                </w:p>
              </w:tc>
              <w:tc>
                <w:tcPr>
                  <w:tcW w:w="561" w:type="pct"/>
                  <w:shd w:val="clear" w:color="auto" w:fill="FFFFFF"/>
                  <w:vAlign w:val="center"/>
                </w:tcPr>
                <w:p w14:paraId="4390FD5F">
                  <w:pPr>
                    <w:jc w:val="center"/>
                    <w:rPr>
                      <w:bCs/>
                      <w:color w:val="auto"/>
                      <w:sz w:val="18"/>
                      <w:szCs w:val="18"/>
                      <w:lang w:val="zh-CN"/>
                    </w:rPr>
                  </w:pPr>
                </w:p>
              </w:tc>
              <w:tc>
                <w:tcPr>
                  <w:tcW w:w="561" w:type="pct"/>
                  <w:tcBorders>
                    <w:right w:val="nil"/>
                  </w:tcBorders>
                  <w:shd w:val="clear" w:color="auto" w:fill="FFFFFF"/>
                  <w:vAlign w:val="center"/>
                </w:tcPr>
                <w:p w14:paraId="2C5506B2">
                  <w:pPr>
                    <w:jc w:val="center"/>
                    <w:rPr>
                      <w:bCs/>
                      <w:color w:val="auto"/>
                      <w:sz w:val="18"/>
                      <w:szCs w:val="18"/>
                      <w:lang w:val="zh-CN"/>
                    </w:rPr>
                  </w:pPr>
                </w:p>
              </w:tc>
            </w:tr>
            <w:tr w14:paraId="7A052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751" w:type="pct"/>
                  <w:vMerge w:val="restart"/>
                  <w:tcBorders>
                    <w:left w:val="nil"/>
                  </w:tcBorders>
                  <w:shd w:val="clear" w:color="auto" w:fill="FFFFFF"/>
                  <w:vAlign w:val="center"/>
                </w:tcPr>
                <w:p w14:paraId="623105D2">
                  <w:pPr>
                    <w:jc w:val="center"/>
                    <w:rPr>
                      <w:bCs/>
                      <w:color w:val="auto"/>
                      <w:sz w:val="18"/>
                      <w:szCs w:val="18"/>
                      <w:lang w:val="zh-CN"/>
                    </w:rPr>
                  </w:pPr>
                </w:p>
              </w:tc>
              <w:tc>
                <w:tcPr>
                  <w:tcW w:w="736" w:type="pct"/>
                  <w:shd w:val="clear" w:color="auto" w:fill="FFFFFF"/>
                  <w:vAlign w:val="center"/>
                </w:tcPr>
                <w:p w14:paraId="0DB93C3C">
                  <w:pPr>
                    <w:jc w:val="center"/>
                    <w:rPr>
                      <w:bCs/>
                      <w:color w:val="auto"/>
                      <w:sz w:val="18"/>
                      <w:szCs w:val="18"/>
                      <w:lang w:val="zh-CN"/>
                    </w:rPr>
                  </w:pPr>
                </w:p>
              </w:tc>
              <w:tc>
                <w:tcPr>
                  <w:tcW w:w="630" w:type="pct"/>
                  <w:shd w:val="clear" w:color="auto" w:fill="FFFFFF"/>
                  <w:noWrap/>
                  <w:vAlign w:val="center"/>
                </w:tcPr>
                <w:p w14:paraId="16486F57">
                  <w:pPr>
                    <w:jc w:val="center"/>
                    <w:rPr>
                      <w:bCs/>
                      <w:color w:val="auto"/>
                      <w:sz w:val="18"/>
                      <w:szCs w:val="18"/>
                      <w:lang w:val="zh-CN"/>
                    </w:rPr>
                  </w:pPr>
                </w:p>
              </w:tc>
              <w:tc>
                <w:tcPr>
                  <w:tcW w:w="1197" w:type="pct"/>
                  <w:shd w:val="clear" w:color="auto" w:fill="FFFFFF"/>
                  <w:vAlign w:val="center"/>
                </w:tcPr>
                <w:p w14:paraId="73E41027">
                  <w:pPr>
                    <w:jc w:val="center"/>
                    <w:rPr>
                      <w:bCs/>
                      <w:color w:val="auto"/>
                      <w:sz w:val="18"/>
                      <w:szCs w:val="18"/>
                      <w:lang w:val="zh-CN"/>
                    </w:rPr>
                  </w:pPr>
                </w:p>
              </w:tc>
              <w:tc>
                <w:tcPr>
                  <w:tcW w:w="561" w:type="pct"/>
                  <w:shd w:val="clear" w:color="auto" w:fill="FFFFFF"/>
                  <w:vAlign w:val="center"/>
                </w:tcPr>
                <w:p w14:paraId="0F4CA72D">
                  <w:pPr>
                    <w:jc w:val="center"/>
                    <w:rPr>
                      <w:bCs/>
                      <w:color w:val="auto"/>
                      <w:sz w:val="18"/>
                      <w:szCs w:val="18"/>
                    </w:rPr>
                  </w:pPr>
                </w:p>
              </w:tc>
              <w:tc>
                <w:tcPr>
                  <w:tcW w:w="561" w:type="pct"/>
                  <w:shd w:val="clear" w:color="auto" w:fill="FFFFFF"/>
                  <w:vAlign w:val="center"/>
                </w:tcPr>
                <w:p w14:paraId="0AB61855">
                  <w:pPr>
                    <w:jc w:val="center"/>
                    <w:rPr>
                      <w:bCs/>
                      <w:color w:val="auto"/>
                      <w:sz w:val="18"/>
                      <w:szCs w:val="18"/>
                      <w:lang w:val="zh-CN"/>
                    </w:rPr>
                  </w:pPr>
                </w:p>
              </w:tc>
              <w:tc>
                <w:tcPr>
                  <w:tcW w:w="561" w:type="pct"/>
                  <w:tcBorders>
                    <w:right w:val="nil"/>
                  </w:tcBorders>
                  <w:shd w:val="clear" w:color="auto" w:fill="FFFFFF"/>
                  <w:vAlign w:val="center"/>
                </w:tcPr>
                <w:p w14:paraId="06D02416">
                  <w:pPr>
                    <w:jc w:val="center"/>
                    <w:rPr>
                      <w:bCs/>
                      <w:color w:val="auto"/>
                      <w:sz w:val="18"/>
                      <w:szCs w:val="18"/>
                      <w:lang w:val="zh-CN"/>
                    </w:rPr>
                  </w:pPr>
                </w:p>
              </w:tc>
            </w:tr>
            <w:tr w14:paraId="60F08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751" w:type="pct"/>
                  <w:vMerge w:val="continue"/>
                  <w:tcBorders>
                    <w:left w:val="nil"/>
                  </w:tcBorders>
                  <w:shd w:val="clear" w:color="auto" w:fill="FFFFFF"/>
                  <w:vAlign w:val="center"/>
                </w:tcPr>
                <w:p w14:paraId="3246D78E">
                  <w:pPr>
                    <w:jc w:val="center"/>
                    <w:rPr>
                      <w:bCs/>
                      <w:color w:val="auto"/>
                      <w:sz w:val="18"/>
                      <w:szCs w:val="18"/>
                      <w:lang w:val="zh-CN"/>
                    </w:rPr>
                  </w:pPr>
                </w:p>
              </w:tc>
              <w:tc>
                <w:tcPr>
                  <w:tcW w:w="736" w:type="pct"/>
                  <w:shd w:val="clear" w:color="auto" w:fill="FFFFFF"/>
                  <w:vAlign w:val="center"/>
                </w:tcPr>
                <w:p w14:paraId="62C841D1">
                  <w:pPr>
                    <w:jc w:val="center"/>
                    <w:rPr>
                      <w:bCs/>
                      <w:color w:val="auto"/>
                      <w:sz w:val="18"/>
                      <w:szCs w:val="18"/>
                      <w:lang w:val="zh-CN"/>
                    </w:rPr>
                  </w:pPr>
                </w:p>
              </w:tc>
              <w:tc>
                <w:tcPr>
                  <w:tcW w:w="630" w:type="pct"/>
                  <w:shd w:val="clear" w:color="auto" w:fill="FFFFFF"/>
                  <w:noWrap/>
                  <w:vAlign w:val="center"/>
                </w:tcPr>
                <w:p w14:paraId="3791E9F5">
                  <w:pPr>
                    <w:jc w:val="center"/>
                    <w:rPr>
                      <w:color w:val="auto"/>
                      <w:sz w:val="18"/>
                      <w:szCs w:val="18"/>
                    </w:rPr>
                  </w:pPr>
                </w:p>
              </w:tc>
              <w:tc>
                <w:tcPr>
                  <w:tcW w:w="1197" w:type="pct"/>
                  <w:shd w:val="clear" w:color="auto" w:fill="FFFFFF"/>
                  <w:vAlign w:val="center"/>
                </w:tcPr>
                <w:p w14:paraId="73C93F95">
                  <w:pPr>
                    <w:jc w:val="center"/>
                    <w:rPr>
                      <w:bCs/>
                      <w:color w:val="auto"/>
                      <w:sz w:val="18"/>
                      <w:szCs w:val="18"/>
                      <w:lang w:val="zh-CN"/>
                    </w:rPr>
                  </w:pPr>
                </w:p>
              </w:tc>
              <w:tc>
                <w:tcPr>
                  <w:tcW w:w="561" w:type="pct"/>
                  <w:shd w:val="clear" w:color="auto" w:fill="FFFFFF"/>
                  <w:vAlign w:val="center"/>
                </w:tcPr>
                <w:p w14:paraId="0A992055">
                  <w:pPr>
                    <w:jc w:val="center"/>
                    <w:rPr>
                      <w:bCs/>
                      <w:color w:val="auto"/>
                      <w:sz w:val="18"/>
                      <w:szCs w:val="18"/>
                    </w:rPr>
                  </w:pPr>
                </w:p>
              </w:tc>
              <w:tc>
                <w:tcPr>
                  <w:tcW w:w="561" w:type="pct"/>
                  <w:shd w:val="clear" w:color="auto" w:fill="FFFFFF"/>
                  <w:vAlign w:val="center"/>
                </w:tcPr>
                <w:p w14:paraId="2F7A1141">
                  <w:pPr>
                    <w:jc w:val="center"/>
                    <w:rPr>
                      <w:bCs/>
                      <w:color w:val="auto"/>
                      <w:sz w:val="18"/>
                      <w:szCs w:val="18"/>
                      <w:lang w:val="zh-CN"/>
                    </w:rPr>
                  </w:pPr>
                </w:p>
              </w:tc>
              <w:tc>
                <w:tcPr>
                  <w:tcW w:w="561" w:type="pct"/>
                  <w:tcBorders>
                    <w:right w:val="nil"/>
                  </w:tcBorders>
                  <w:shd w:val="clear" w:color="auto" w:fill="FFFFFF"/>
                  <w:vAlign w:val="center"/>
                </w:tcPr>
                <w:p w14:paraId="78F4C32D">
                  <w:pPr>
                    <w:jc w:val="center"/>
                    <w:rPr>
                      <w:bCs/>
                      <w:color w:val="auto"/>
                      <w:sz w:val="18"/>
                      <w:szCs w:val="18"/>
                      <w:lang w:val="zh-CN"/>
                    </w:rPr>
                  </w:pPr>
                </w:p>
              </w:tc>
            </w:tr>
            <w:tr w14:paraId="7FCF8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751" w:type="pct"/>
                  <w:vMerge w:val="continue"/>
                  <w:tcBorders>
                    <w:left w:val="nil"/>
                  </w:tcBorders>
                  <w:shd w:val="clear" w:color="auto" w:fill="FFFFFF"/>
                  <w:vAlign w:val="center"/>
                </w:tcPr>
                <w:p w14:paraId="06EB67E4">
                  <w:pPr>
                    <w:jc w:val="center"/>
                    <w:rPr>
                      <w:bCs/>
                      <w:color w:val="auto"/>
                      <w:sz w:val="18"/>
                      <w:szCs w:val="18"/>
                      <w:lang w:val="zh-CN"/>
                    </w:rPr>
                  </w:pPr>
                </w:p>
              </w:tc>
              <w:tc>
                <w:tcPr>
                  <w:tcW w:w="736" w:type="pct"/>
                  <w:shd w:val="clear" w:color="auto" w:fill="FFFFFF"/>
                  <w:vAlign w:val="center"/>
                </w:tcPr>
                <w:p w14:paraId="0FFD3E4B">
                  <w:pPr>
                    <w:jc w:val="center"/>
                    <w:rPr>
                      <w:bCs/>
                      <w:color w:val="auto"/>
                      <w:sz w:val="18"/>
                      <w:szCs w:val="18"/>
                      <w:lang w:val="zh-CN"/>
                    </w:rPr>
                  </w:pPr>
                </w:p>
              </w:tc>
              <w:tc>
                <w:tcPr>
                  <w:tcW w:w="630" w:type="pct"/>
                  <w:shd w:val="clear" w:color="auto" w:fill="FFFFFF"/>
                  <w:noWrap/>
                  <w:vAlign w:val="center"/>
                </w:tcPr>
                <w:p w14:paraId="014B7A06">
                  <w:pPr>
                    <w:jc w:val="center"/>
                    <w:rPr>
                      <w:color w:val="auto"/>
                      <w:sz w:val="18"/>
                      <w:szCs w:val="18"/>
                    </w:rPr>
                  </w:pPr>
                </w:p>
              </w:tc>
              <w:tc>
                <w:tcPr>
                  <w:tcW w:w="1197" w:type="pct"/>
                  <w:shd w:val="clear" w:color="auto" w:fill="FFFFFF"/>
                  <w:vAlign w:val="center"/>
                </w:tcPr>
                <w:p w14:paraId="4794E330">
                  <w:pPr>
                    <w:jc w:val="center"/>
                    <w:rPr>
                      <w:bCs/>
                      <w:color w:val="auto"/>
                      <w:sz w:val="18"/>
                      <w:szCs w:val="18"/>
                      <w:lang w:val="zh-CN"/>
                    </w:rPr>
                  </w:pPr>
                </w:p>
              </w:tc>
              <w:tc>
                <w:tcPr>
                  <w:tcW w:w="561" w:type="pct"/>
                  <w:shd w:val="clear" w:color="auto" w:fill="FFFFFF"/>
                  <w:vAlign w:val="center"/>
                </w:tcPr>
                <w:p w14:paraId="35DC8C52">
                  <w:pPr>
                    <w:jc w:val="center"/>
                    <w:rPr>
                      <w:bCs/>
                      <w:color w:val="auto"/>
                      <w:sz w:val="18"/>
                      <w:szCs w:val="18"/>
                    </w:rPr>
                  </w:pPr>
                </w:p>
              </w:tc>
              <w:tc>
                <w:tcPr>
                  <w:tcW w:w="561" w:type="pct"/>
                  <w:shd w:val="clear" w:color="auto" w:fill="FFFFFF"/>
                  <w:vAlign w:val="center"/>
                </w:tcPr>
                <w:p w14:paraId="68FFE999">
                  <w:pPr>
                    <w:jc w:val="center"/>
                    <w:rPr>
                      <w:bCs/>
                      <w:color w:val="auto"/>
                      <w:sz w:val="18"/>
                      <w:szCs w:val="18"/>
                      <w:lang w:val="zh-CN"/>
                    </w:rPr>
                  </w:pPr>
                </w:p>
              </w:tc>
              <w:tc>
                <w:tcPr>
                  <w:tcW w:w="561" w:type="pct"/>
                  <w:tcBorders>
                    <w:right w:val="nil"/>
                  </w:tcBorders>
                  <w:shd w:val="clear" w:color="auto" w:fill="FFFFFF"/>
                  <w:vAlign w:val="center"/>
                </w:tcPr>
                <w:p w14:paraId="3CB17B2F">
                  <w:pPr>
                    <w:jc w:val="center"/>
                    <w:rPr>
                      <w:bCs/>
                      <w:color w:val="auto"/>
                      <w:sz w:val="18"/>
                      <w:szCs w:val="18"/>
                      <w:lang w:val="zh-CN"/>
                    </w:rPr>
                  </w:pPr>
                </w:p>
              </w:tc>
            </w:tr>
            <w:tr w14:paraId="3D123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751" w:type="pct"/>
                  <w:vMerge w:val="continue"/>
                  <w:tcBorders>
                    <w:left w:val="nil"/>
                  </w:tcBorders>
                  <w:shd w:val="clear" w:color="auto" w:fill="FFFFFF"/>
                  <w:vAlign w:val="center"/>
                </w:tcPr>
                <w:p w14:paraId="56F1E621">
                  <w:pPr>
                    <w:jc w:val="center"/>
                    <w:rPr>
                      <w:bCs/>
                      <w:color w:val="auto"/>
                      <w:sz w:val="18"/>
                      <w:szCs w:val="18"/>
                      <w:lang w:val="zh-CN"/>
                    </w:rPr>
                  </w:pPr>
                </w:p>
              </w:tc>
              <w:tc>
                <w:tcPr>
                  <w:tcW w:w="736" w:type="pct"/>
                  <w:shd w:val="clear" w:color="auto" w:fill="FFFFFF"/>
                  <w:vAlign w:val="center"/>
                </w:tcPr>
                <w:p w14:paraId="191671CF">
                  <w:pPr>
                    <w:jc w:val="center"/>
                    <w:rPr>
                      <w:bCs/>
                      <w:color w:val="auto"/>
                      <w:sz w:val="18"/>
                      <w:szCs w:val="18"/>
                      <w:lang w:val="zh-CN"/>
                    </w:rPr>
                  </w:pPr>
                </w:p>
              </w:tc>
              <w:tc>
                <w:tcPr>
                  <w:tcW w:w="630" w:type="pct"/>
                  <w:shd w:val="clear" w:color="auto" w:fill="FFFFFF"/>
                  <w:noWrap/>
                  <w:vAlign w:val="center"/>
                </w:tcPr>
                <w:p w14:paraId="0D18C24E">
                  <w:pPr>
                    <w:jc w:val="center"/>
                    <w:rPr>
                      <w:color w:val="auto"/>
                      <w:sz w:val="18"/>
                      <w:szCs w:val="18"/>
                    </w:rPr>
                  </w:pPr>
                </w:p>
              </w:tc>
              <w:tc>
                <w:tcPr>
                  <w:tcW w:w="1197" w:type="pct"/>
                  <w:shd w:val="clear" w:color="auto" w:fill="FFFFFF"/>
                  <w:vAlign w:val="center"/>
                </w:tcPr>
                <w:p w14:paraId="09E2F558">
                  <w:pPr>
                    <w:jc w:val="center"/>
                    <w:rPr>
                      <w:bCs/>
                      <w:color w:val="auto"/>
                      <w:sz w:val="18"/>
                      <w:szCs w:val="18"/>
                      <w:lang w:val="zh-CN"/>
                    </w:rPr>
                  </w:pPr>
                </w:p>
              </w:tc>
              <w:tc>
                <w:tcPr>
                  <w:tcW w:w="561" w:type="pct"/>
                  <w:shd w:val="clear" w:color="auto" w:fill="FFFFFF"/>
                  <w:vAlign w:val="center"/>
                </w:tcPr>
                <w:p w14:paraId="62EADDA0">
                  <w:pPr>
                    <w:jc w:val="center"/>
                    <w:rPr>
                      <w:bCs/>
                      <w:color w:val="auto"/>
                      <w:sz w:val="18"/>
                      <w:szCs w:val="18"/>
                    </w:rPr>
                  </w:pPr>
                </w:p>
              </w:tc>
              <w:tc>
                <w:tcPr>
                  <w:tcW w:w="561" w:type="pct"/>
                  <w:shd w:val="clear" w:color="auto" w:fill="FFFFFF"/>
                  <w:vAlign w:val="center"/>
                </w:tcPr>
                <w:p w14:paraId="674526DA">
                  <w:pPr>
                    <w:jc w:val="center"/>
                    <w:rPr>
                      <w:bCs/>
                      <w:color w:val="auto"/>
                      <w:sz w:val="18"/>
                      <w:szCs w:val="18"/>
                      <w:lang w:val="zh-CN"/>
                    </w:rPr>
                  </w:pPr>
                </w:p>
              </w:tc>
              <w:tc>
                <w:tcPr>
                  <w:tcW w:w="561" w:type="pct"/>
                  <w:tcBorders>
                    <w:right w:val="nil"/>
                  </w:tcBorders>
                  <w:shd w:val="clear" w:color="auto" w:fill="FFFFFF"/>
                  <w:vAlign w:val="center"/>
                </w:tcPr>
                <w:p w14:paraId="62F07054">
                  <w:pPr>
                    <w:jc w:val="center"/>
                    <w:rPr>
                      <w:bCs/>
                      <w:color w:val="auto"/>
                      <w:sz w:val="18"/>
                      <w:szCs w:val="18"/>
                      <w:lang w:val="zh-CN"/>
                    </w:rPr>
                  </w:pPr>
                </w:p>
              </w:tc>
            </w:tr>
            <w:tr w14:paraId="1383A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7" w:hRule="atLeast"/>
              </w:trPr>
              <w:tc>
                <w:tcPr>
                  <w:tcW w:w="751" w:type="pct"/>
                  <w:vMerge w:val="continue"/>
                  <w:tcBorders>
                    <w:left w:val="nil"/>
                  </w:tcBorders>
                  <w:shd w:val="clear" w:color="auto" w:fill="FFFFFF"/>
                  <w:vAlign w:val="center"/>
                </w:tcPr>
                <w:p w14:paraId="00161F32">
                  <w:pPr>
                    <w:jc w:val="center"/>
                    <w:rPr>
                      <w:bCs/>
                      <w:color w:val="auto"/>
                      <w:sz w:val="18"/>
                      <w:szCs w:val="18"/>
                      <w:lang w:val="zh-CN"/>
                    </w:rPr>
                  </w:pPr>
                </w:p>
              </w:tc>
              <w:tc>
                <w:tcPr>
                  <w:tcW w:w="736" w:type="pct"/>
                  <w:shd w:val="clear" w:color="auto" w:fill="FFFFFF"/>
                  <w:vAlign w:val="center"/>
                </w:tcPr>
                <w:p w14:paraId="6BB7620E">
                  <w:pPr>
                    <w:jc w:val="center"/>
                    <w:rPr>
                      <w:bCs/>
                      <w:color w:val="auto"/>
                      <w:sz w:val="18"/>
                      <w:szCs w:val="18"/>
                      <w:lang w:val="zh-CN"/>
                    </w:rPr>
                  </w:pPr>
                </w:p>
              </w:tc>
              <w:tc>
                <w:tcPr>
                  <w:tcW w:w="630" w:type="pct"/>
                  <w:shd w:val="clear" w:color="auto" w:fill="FFFFFF"/>
                  <w:noWrap/>
                  <w:vAlign w:val="center"/>
                </w:tcPr>
                <w:p w14:paraId="7539A952">
                  <w:pPr>
                    <w:jc w:val="center"/>
                    <w:rPr>
                      <w:color w:val="auto"/>
                      <w:sz w:val="18"/>
                      <w:szCs w:val="18"/>
                    </w:rPr>
                  </w:pPr>
                </w:p>
              </w:tc>
              <w:tc>
                <w:tcPr>
                  <w:tcW w:w="1197" w:type="pct"/>
                  <w:shd w:val="clear" w:color="auto" w:fill="FFFFFF"/>
                  <w:vAlign w:val="center"/>
                </w:tcPr>
                <w:p w14:paraId="4021AE8B">
                  <w:pPr>
                    <w:jc w:val="center"/>
                    <w:rPr>
                      <w:bCs/>
                      <w:color w:val="auto"/>
                      <w:sz w:val="18"/>
                      <w:szCs w:val="18"/>
                      <w:lang w:val="zh-CN"/>
                    </w:rPr>
                  </w:pPr>
                </w:p>
              </w:tc>
              <w:tc>
                <w:tcPr>
                  <w:tcW w:w="561" w:type="pct"/>
                  <w:shd w:val="clear" w:color="auto" w:fill="FFFFFF"/>
                  <w:vAlign w:val="center"/>
                </w:tcPr>
                <w:p w14:paraId="6731D8CB">
                  <w:pPr>
                    <w:jc w:val="center"/>
                    <w:rPr>
                      <w:bCs/>
                      <w:color w:val="auto"/>
                      <w:sz w:val="18"/>
                      <w:szCs w:val="18"/>
                    </w:rPr>
                  </w:pPr>
                </w:p>
              </w:tc>
              <w:tc>
                <w:tcPr>
                  <w:tcW w:w="561" w:type="pct"/>
                  <w:shd w:val="clear" w:color="auto" w:fill="FFFFFF"/>
                  <w:vAlign w:val="center"/>
                </w:tcPr>
                <w:p w14:paraId="7E56DCD4">
                  <w:pPr>
                    <w:jc w:val="center"/>
                    <w:rPr>
                      <w:bCs/>
                      <w:color w:val="auto"/>
                      <w:sz w:val="18"/>
                      <w:szCs w:val="18"/>
                      <w:lang w:val="zh-CN"/>
                    </w:rPr>
                  </w:pPr>
                </w:p>
              </w:tc>
              <w:tc>
                <w:tcPr>
                  <w:tcW w:w="561" w:type="pct"/>
                  <w:tcBorders>
                    <w:right w:val="nil"/>
                  </w:tcBorders>
                  <w:shd w:val="clear" w:color="auto" w:fill="FFFFFF"/>
                  <w:vAlign w:val="center"/>
                </w:tcPr>
                <w:p w14:paraId="65629F3C">
                  <w:pPr>
                    <w:jc w:val="center"/>
                    <w:rPr>
                      <w:bCs/>
                      <w:color w:val="auto"/>
                      <w:sz w:val="18"/>
                      <w:szCs w:val="18"/>
                      <w:lang w:val="zh-CN"/>
                    </w:rPr>
                  </w:pPr>
                </w:p>
              </w:tc>
            </w:tr>
            <w:tr w14:paraId="423D5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751" w:type="pct"/>
                  <w:vMerge w:val="continue"/>
                  <w:tcBorders>
                    <w:left w:val="nil"/>
                  </w:tcBorders>
                  <w:shd w:val="clear" w:color="auto" w:fill="FFFFFF"/>
                  <w:vAlign w:val="center"/>
                </w:tcPr>
                <w:p w14:paraId="3BEFA3F4">
                  <w:pPr>
                    <w:jc w:val="center"/>
                    <w:rPr>
                      <w:bCs/>
                      <w:color w:val="auto"/>
                      <w:sz w:val="18"/>
                      <w:szCs w:val="18"/>
                      <w:lang w:val="zh-CN"/>
                    </w:rPr>
                  </w:pPr>
                </w:p>
              </w:tc>
              <w:tc>
                <w:tcPr>
                  <w:tcW w:w="736" w:type="pct"/>
                  <w:shd w:val="clear" w:color="auto" w:fill="FFFFFF"/>
                  <w:vAlign w:val="center"/>
                </w:tcPr>
                <w:p w14:paraId="7371AAEB">
                  <w:pPr>
                    <w:jc w:val="center"/>
                    <w:rPr>
                      <w:bCs/>
                      <w:color w:val="auto"/>
                      <w:sz w:val="18"/>
                      <w:szCs w:val="18"/>
                      <w:lang w:val="zh-CN"/>
                    </w:rPr>
                  </w:pPr>
                </w:p>
              </w:tc>
              <w:tc>
                <w:tcPr>
                  <w:tcW w:w="630" w:type="pct"/>
                  <w:shd w:val="clear" w:color="auto" w:fill="FFFFFF"/>
                  <w:noWrap/>
                  <w:vAlign w:val="center"/>
                </w:tcPr>
                <w:p w14:paraId="6AB6ED0F">
                  <w:pPr>
                    <w:jc w:val="center"/>
                    <w:rPr>
                      <w:color w:val="auto"/>
                      <w:sz w:val="18"/>
                      <w:szCs w:val="18"/>
                    </w:rPr>
                  </w:pPr>
                </w:p>
              </w:tc>
              <w:tc>
                <w:tcPr>
                  <w:tcW w:w="1197" w:type="pct"/>
                  <w:shd w:val="clear" w:color="auto" w:fill="FFFFFF"/>
                  <w:vAlign w:val="center"/>
                </w:tcPr>
                <w:p w14:paraId="06B143AD">
                  <w:pPr>
                    <w:jc w:val="center"/>
                    <w:rPr>
                      <w:bCs/>
                      <w:color w:val="auto"/>
                      <w:sz w:val="18"/>
                      <w:szCs w:val="18"/>
                      <w:lang w:val="zh-CN"/>
                    </w:rPr>
                  </w:pPr>
                </w:p>
              </w:tc>
              <w:tc>
                <w:tcPr>
                  <w:tcW w:w="561" w:type="pct"/>
                  <w:shd w:val="clear" w:color="auto" w:fill="FFFFFF"/>
                  <w:vAlign w:val="center"/>
                </w:tcPr>
                <w:p w14:paraId="597DF48D">
                  <w:pPr>
                    <w:jc w:val="center"/>
                    <w:rPr>
                      <w:bCs/>
                      <w:color w:val="auto"/>
                      <w:sz w:val="18"/>
                      <w:szCs w:val="18"/>
                    </w:rPr>
                  </w:pPr>
                </w:p>
              </w:tc>
              <w:tc>
                <w:tcPr>
                  <w:tcW w:w="561" w:type="pct"/>
                  <w:shd w:val="clear" w:color="auto" w:fill="FFFFFF"/>
                  <w:vAlign w:val="center"/>
                </w:tcPr>
                <w:p w14:paraId="501BA19C">
                  <w:pPr>
                    <w:jc w:val="center"/>
                    <w:rPr>
                      <w:bCs/>
                      <w:color w:val="auto"/>
                      <w:sz w:val="18"/>
                      <w:szCs w:val="18"/>
                      <w:lang w:val="zh-CN"/>
                    </w:rPr>
                  </w:pPr>
                </w:p>
              </w:tc>
              <w:tc>
                <w:tcPr>
                  <w:tcW w:w="561" w:type="pct"/>
                  <w:tcBorders>
                    <w:right w:val="nil"/>
                  </w:tcBorders>
                  <w:shd w:val="clear" w:color="auto" w:fill="FFFFFF"/>
                  <w:vAlign w:val="center"/>
                </w:tcPr>
                <w:p w14:paraId="4F13B616">
                  <w:pPr>
                    <w:jc w:val="center"/>
                    <w:rPr>
                      <w:bCs/>
                      <w:color w:val="auto"/>
                      <w:sz w:val="18"/>
                      <w:szCs w:val="18"/>
                      <w:lang w:val="zh-CN"/>
                    </w:rPr>
                  </w:pPr>
                </w:p>
              </w:tc>
            </w:tr>
            <w:tr w14:paraId="0645A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751" w:type="pct"/>
                  <w:vMerge w:val="continue"/>
                  <w:tcBorders>
                    <w:left w:val="nil"/>
                  </w:tcBorders>
                  <w:shd w:val="clear" w:color="auto" w:fill="FFFFFF"/>
                  <w:vAlign w:val="center"/>
                </w:tcPr>
                <w:p w14:paraId="454E7DCF">
                  <w:pPr>
                    <w:jc w:val="center"/>
                    <w:rPr>
                      <w:bCs/>
                      <w:color w:val="auto"/>
                      <w:sz w:val="18"/>
                      <w:szCs w:val="18"/>
                      <w:lang w:val="zh-CN"/>
                    </w:rPr>
                  </w:pPr>
                </w:p>
              </w:tc>
              <w:tc>
                <w:tcPr>
                  <w:tcW w:w="736" w:type="pct"/>
                  <w:shd w:val="clear" w:color="auto" w:fill="FFFFFF"/>
                  <w:vAlign w:val="center"/>
                </w:tcPr>
                <w:p w14:paraId="6F3D354E">
                  <w:pPr>
                    <w:jc w:val="center"/>
                    <w:rPr>
                      <w:bCs/>
                      <w:color w:val="auto"/>
                      <w:sz w:val="18"/>
                      <w:szCs w:val="18"/>
                      <w:lang w:val="zh-CN"/>
                    </w:rPr>
                  </w:pPr>
                </w:p>
              </w:tc>
              <w:tc>
                <w:tcPr>
                  <w:tcW w:w="630" w:type="pct"/>
                  <w:shd w:val="clear" w:color="auto" w:fill="FFFFFF"/>
                  <w:noWrap/>
                  <w:vAlign w:val="center"/>
                </w:tcPr>
                <w:p w14:paraId="1A32D9A4">
                  <w:pPr>
                    <w:jc w:val="center"/>
                    <w:rPr>
                      <w:color w:val="auto"/>
                      <w:sz w:val="18"/>
                      <w:szCs w:val="18"/>
                    </w:rPr>
                  </w:pPr>
                </w:p>
              </w:tc>
              <w:tc>
                <w:tcPr>
                  <w:tcW w:w="1197" w:type="pct"/>
                  <w:shd w:val="clear" w:color="auto" w:fill="FFFFFF"/>
                  <w:vAlign w:val="center"/>
                </w:tcPr>
                <w:p w14:paraId="2BD41610">
                  <w:pPr>
                    <w:jc w:val="center"/>
                    <w:rPr>
                      <w:bCs/>
                      <w:color w:val="auto"/>
                      <w:sz w:val="18"/>
                      <w:szCs w:val="18"/>
                      <w:lang w:val="zh-CN"/>
                    </w:rPr>
                  </w:pPr>
                </w:p>
              </w:tc>
              <w:tc>
                <w:tcPr>
                  <w:tcW w:w="561" w:type="pct"/>
                  <w:shd w:val="clear" w:color="auto" w:fill="FFFFFF"/>
                  <w:vAlign w:val="center"/>
                </w:tcPr>
                <w:p w14:paraId="025F211C">
                  <w:pPr>
                    <w:jc w:val="center"/>
                    <w:rPr>
                      <w:bCs/>
                      <w:color w:val="auto"/>
                      <w:sz w:val="18"/>
                      <w:szCs w:val="18"/>
                    </w:rPr>
                  </w:pPr>
                </w:p>
              </w:tc>
              <w:tc>
                <w:tcPr>
                  <w:tcW w:w="561" w:type="pct"/>
                  <w:shd w:val="clear" w:color="auto" w:fill="FFFFFF"/>
                  <w:vAlign w:val="center"/>
                </w:tcPr>
                <w:p w14:paraId="1685D29E">
                  <w:pPr>
                    <w:jc w:val="center"/>
                    <w:rPr>
                      <w:bCs/>
                      <w:color w:val="auto"/>
                      <w:sz w:val="18"/>
                      <w:szCs w:val="18"/>
                      <w:lang w:val="zh-CN"/>
                    </w:rPr>
                  </w:pPr>
                </w:p>
              </w:tc>
              <w:tc>
                <w:tcPr>
                  <w:tcW w:w="561" w:type="pct"/>
                  <w:tcBorders>
                    <w:right w:val="nil"/>
                  </w:tcBorders>
                  <w:shd w:val="clear" w:color="auto" w:fill="FFFFFF"/>
                  <w:vAlign w:val="center"/>
                </w:tcPr>
                <w:p w14:paraId="26EDA7A8">
                  <w:pPr>
                    <w:jc w:val="center"/>
                    <w:rPr>
                      <w:bCs/>
                      <w:color w:val="auto"/>
                      <w:sz w:val="18"/>
                      <w:szCs w:val="18"/>
                      <w:lang w:val="zh-CN"/>
                    </w:rPr>
                  </w:pPr>
                </w:p>
              </w:tc>
            </w:tr>
            <w:tr w14:paraId="5EBC0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751" w:type="pct"/>
                  <w:vMerge w:val="continue"/>
                  <w:tcBorders>
                    <w:left w:val="nil"/>
                  </w:tcBorders>
                  <w:shd w:val="clear" w:color="auto" w:fill="FFFFFF"/>
                  <w:vAlign w:val="center"/>
                </w:tcPr>
                <w:p w14:paraId="3855C5C0">
                  <w:pPr>
                    <w:jc w:val="center"/>
                    <w:rPr>
                      <w:bCs/>
                      <w:color w:val="auto"/>
                      <w:sz w:val="18"/>
                      <w:szCs w:val="18"/>
                      <w:lang w:val="zh-CN"/>
                    </w:rPr>
                  </w:pPr>
                </w:p>
              </w:tc>
              <w:tc>
                <w:tcPr>
                  <w:tcW w:w="736" w:type="pct"/>
                  <w:shd w:val="clear" w:color="auto" w:fill="FFFFFF"/>
                  <w:vAlign w:val="center"/>
                </w:tcPr>
                <w:p w14:paraId="4D9015B0">
                  <w:pPr>
                    <w:jc w:val="center"/>
                    <w:rPr>
                      <w:bCs/>
                      <w:color w:val="auto"/>
                      <w:sz w:val="18"/>
                      <w:szCs w:val="18"/>
                      <w:lang w:val="zh-CN"/>
                    </w:rPr>
                  </w:pPr>
                </w:p>
              </w:tc>
              <w:tc>
                <w:tcPr>
                  <w:tcW w:w="630" w:type="pct"/>
                  <w:shd w:val="clear" w:color="auto" w:fill="FFFFFF"/>
                  <w:noWrap/>
                  <w:vAlign w:val="center"/>
                </w:tcPr>
                <w:p w14:paraId="2B9CF0F5">
                  <w:pPr>
                    <w:jc w:val="center"/>
                    <w:rPr>
                      <w:color w:val="auto"/>
                      <w:sz w:val="18"/>
                      <w:szCs w:val="18"/>
                    </w:rPr>
                  </w:pPr>
                </w:p>
              </w:tc>
              <w:tc>
                <w:tcPr>
                  <w:tcW w:w="1197" w:type="pct"/>
                  <w:shd w:val="clear" w:color="auto" w:fill="FFFFFF"/>
                  <w:vAlign w:val="center"/>
                </w:tcPr>
                <w:p w14:paraId="3ED4AFAF">
                  <w:pPr>
                    <w:jc w:val="center"/>
                    <w:rPr>
                      <w:bCs/>
                      <w:color w:val="auto"/>
                      <w:sz w:val="18"/>
                      <w:szCs w:val="18"/>
                      <w:lang w:val="zh-CN"/>
                    </w:rPr>
                  </w:pPr>
                </w:p>
              </w:tc>
              <w:tc>
                <w:tcPr>
                  <w:tcW w:w="561" w:type="pct"/>
                  <w:shd w:val="clear" w:color="auto" w:fill="FFFFFF"/>
                  <w:vAlign w:val="center"/>
                </w:tcPr>
                <w:p w14:paraId="0064ADC3">
                  <w:pPr>
                    <w:jc w:val="center"/>
                    <w:rPr>
                      <w:bCs/>
                      <w:color w:val="auto"/>
                      <w:sz w:val="18"/>
                      <w:szCs w:val="18"/>
                    </w:rPr>
                  </w:pPr>
                </w:p>
              </w:tc>
              <w:tc>
                <w:tcPr>
                  <w:tcW w:w="561" w:type="pct"/>
                  <w:shd w:val="clear" w:color="auto" w:fill="FFFFFF"/>
                  <w:vAlign w:val="center"/>
                </w:tcPr>
                <w:p w14:paraId="316AB582">
                  <w:pPr>
                    <w:jc w:val="center"/>
                    <w:rPr>
                      <w:bCs/>
                      <w:color w:val="auto"/>
                      <w:sz w:val="18"/>
                      <w:szCs w:val="18"/>
                      <w:lang w:val="zh-CN"/>
                    </w:rPr>
                  </w:pPr>
                </w:p>
              </w:tc>
              <w:tc>
                <w:tcPr>
                  <w:tcW w:w="561" w:type="pct"/>
                  <w:tcBorders>
                    <w:right w:val="nil"/>
                  </w:tcBorders>
                  <w:shd w:val="clear" w:color="auto" w:fill="FFFFFF"/>
                  <w:vAlign w:val="center"/>
                </w:tcPr>
                <w:p w14:paraId="65C20163">
                  <w:pPr>
                    <w:jc w:val="center"/>
                    <w:rPr>
                      <w:bCs/>
                      <w:color w:val="auto"/>
                      <w:sz w:val="18"/>
                      <w:szCs w:val="18"/>
                      <w:lang w:val="zh-CN"/>
                    </w:rPr>
                  </w:pPr>
                </w:p>
              </w:tc>
            </w:tr>
            <w:tr w14:paraId="68444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751" w:type="pct"/>
                  <w:vMerge w:val="continue"/>
                  <w:tcBorders>
                    <w:left w:val="nil"/>
                  </w:tcBorders>
                  <w:shd w:val="clear" w:color="auto" w:fill="FFFFFF"/>
                  <w:vAlign w:val="center"/>
                </w:tcPr>
                <w:p w14:paraId="6F6F2A91">
                  <w:pPr>
                    <w:jc w:val="center"/>
                    <w:rPr>
                      <w:bCs/>
                      <w:color w:val="auto"/>
                      <w:sz w:val="18"/>
                      <w:szCs w:val="18"/>
                      <w:lang w:val="zh-CN"/>
                    </w:rPr>
                  </w:pPr>
                </w:p>
              </w:tc>
              <w:tc>
                <w:tcPr>
                  <w:tcW w:w="736" w:type="pct"/>
                  <w:shd w:val="clear" w:color="auto" w:fill="FFFFFF"/>
                  <w:vAlign w:val="center"/>
                </w:tcPr>
                <w:p w14:paraId="16C0E4FB">
                  <w:pPr>
                    <w:jc w:val="center"/>
                    <w:rPr>
                      <w:bCs/>
                      <w:color w:val="auto"/>
                      <w:sz w:val="18"/>
                      <w:szCs w:val="18"/>
                      <w:lang w:val="zh-CN"/>
                    </w:rPr>
                  </w:pPr>
                </w:p>
              </w:tc>
              <w:tc>
                <w:tcPr>
                  <w:tcW w:w="630" w:type="pct"/>
                  <w:shd w:val="clear" w:color="auto" w:fill="FFFFFF"/>
                  <w:noWrap/>
                  <w:vAlign w:val="center"/>
                </w:tcPr>
                <w:p w14:paraId="011D1EAB">
                  <w:pPr>
                    <w:jc w:val="center"/>
                    <w:rPr>
                      <w:color w:val="auto"/>
                      <w:sz w:val="18"/>
                      <w:szCs w:val="18"/>
                    </w:rPr>
                  </w:pPr>
                </w:p>
              </w:tc>
              <w:tc>
                <w:tcPr>
                  <w:tcW w:w="1197" w:type="pct"/>
                  <w:shd w:val="clear" w:color="auto" w:fill="FFFFFF"/>
                  <w:vAlign w:val="center"/>
                </w:tcPr>
                <w:p w14:paraId="552E4369">
                  <w:pPr>
                    <w:jc w:val="center"/>
                    <w:rPr>
                      <w:bCs/>
                      <w:color w:val="auto"/>
                      <w:sz w:val="18"/>
                      <w:szCs w:val="18"/>
                      <w:lang w:val="zh-CN"/>
                    </w:rPr>
                  </w:pPr>
                </w:p>
              </w:tc>
              <w:tc>
                <w:tcPr>
                  <w:tcW w:w="561" w:type="pct"/>
                  <w:shd w:val="clear" w:color="auto" w:fill="FFFFFF"/>
                  <w:vAlign w:val="center"/>
                </w:tcPr>
                <w:p w14:paraId="6ADD0350">
                  <w:pPr>
                    <w:jc w:val="center"/>
                    <w:rPr>
                      <w:bCs/>
                      <w:color w:val="auto"/>
                      <w:sz w:val="18"/>
                      <w:szCs w:val="18"/>
                    </w:rPr>
                  </w:pPr>
                </w:p>
              </w:tc>
              <w:tc>
                <w:tcPr>
                  <w:tcW w:w="561" w:type="pct"/>
                  <w:shd w:val="clear" w:color="auto" w:fill="FFFFFF"/>
                  <w:vAlign w:val="center"/>
                </w:tcPr>
                <w:p w14:paraId="3BD4F625">
                  <w:pPr>
                    <w:jc w:val="center"/>
                    <w:rPr>
                      <w:bCs/>
                      <w:color w:val="auto"/>
                      <w:sz w:val="18"/>
                      <w:szCs w:val="18"/>
                      <w:lang w:val="zh-CN"/>
                    </w:rPr>
                  </w:pPr>
                </w:p>
              </w:tc>
              <w:tc>
                <w:tcPr>
                  <w:tcW w:w="561" w:type="pct"/>
                  <w:tcBorders>
                    <w:right w:val="nil"/>
                  </w:tcBorders>
                  <w:shd w:val="clear" w:color="auto" w:fill="FFFFFF"/>
                  <w:vAlign w:val="center"/>
                </w:tcPr>
                <w:p w14:paraId="73F3BA70">
                  <w:pPr>
                    <w:jc w:val="center"/>
                    <w:rPr>
                      <w:bCs/>
                      <w:color w:val="auto"/>
                      <w:sz w:val="18"/>
                      <w:szCs w:val="18"/>
                      <w:lang w:val="zh-CN"/>
                    </w:rPr>
                  </w:pPr>
                </w:p>
              </w:tc>
            </w:tr>
            <w:tr w14:paraId="62DF2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751" w:type="pct"/>
                  <w:vMerge w:val="continue"/>
                  <w:tcBorders>
                    <w:left w:val="nil"/>
                  </w:tcBorders>
                  <w:shd w:val="clear" w:color="auto" w:fill="FFFFFF"/>
                  <w:vAlign w:val="center"/>
                </w:tcPr>
                <w:p w14:paraId="1DA8394F">
                  <w:pPr>
                    <w:jc w:val="center"/>
                    <w:rPr>
                      <w:bCs/>
                      <w:color w:val="auto"/>
                      <w:sz w:val="18"/>
                      <w:szCs w:val="18"/>
                      <w:lang w:val="zh-CN"/>
                    </w:rPr>
                  </w:pPr>
                </w:p>
              </w:tc>
              <w:tc>
                <w:tcPr>
                  <w:tcW w:w="736" w:type="pct"/>
                  <w:shd w:val="clear" w:color="auto" w:fill="FFFFFF"/>
                  <w:vAlign w:val="center"/>
                </w:tcPr>
                <w:p w14:paraId="59AB5414">
                  <w:pPr>
                    <w:jc w:val="center"/>
                    <w:rPr>
                      <w:bCs/>
                      <w:color w:val="auto"/>
                      <w:sz w:val="18"/>
                      <w:szCs w:val="18"/>
                      <w:lang w:val="zh-CN"/>
                    </w:rPr>
                  </w:pPr>
                </w:p>
              </w:tc>
              <w:tc>
                <w:tcPr>
                  <w:tcW w:w="630" w:type="pct"/>
                  <w:shd w:val="clear" w:color="auto" w:fill="FFFFFF"/>
                  <w:noWrap/>
                  <w:vAlign w:val="center"/>
                </w:tcPr>
                <w:p w14:paraId="1CC56EF1">
                  <w:pPr>
                    <w:jc w:val="center"/>
                    <w:rPr>
                      <w:color w:val="auto"/>
                      <w:sz w:val="18"/>
                      <w:szCs w:val="18"/>
                    </w:rPr>
                  </w:pPr>
                </w:p>
              </w:tc>
              <w:tc>
                <w:tcPr>
                  <w:tcW w:w="1197" w:type="pct"/>
                  <w:shd w:val="clear" w:color="auto" w:fill="FFFFFF"/>
                  <w:vAlign w:val="center"/>
                </w:tcPr>
                <w:p w14:paraId="5D3DC7B3">
                  <w:pPr>
                    <w:jc w:val="center"/>
                    <w:rPr>
                      <w:bCs/>
                      <w:color w:val="auto"/>
                      <w:sz w:val="18"/>
                      <w:szCs w:val="18"/>
                      <w:lang w:val="zh-CN"/>
                    </w:rPr>
                  </w:pPr>
                </w:p>
              </w:tc>
              <w:tc>
                <w:tcPr>
                  <w:tcW w:w="561" w:type="pct"/>
                  <w:shd w:val="clear" w:color="auto" w:fill="FFFFFF"/>
                  <w:vAlign w:val="center"/>
                </w:tcPr>
                <w:p w14:paraId="2623080E">
                  <w:pPr>
                    <w:jc w:val="center"/>
                    <w:rPr>
                      <w:bCs/>
                      <w:color w:val="auto"/>
                      <w:sz w:val="18"/>
                      <w:szCs w:val="18"/>
                    </w:rPr>
                  </w:pPr>
                </w:p>
              </w:tc>
              <w:tc>
                <w:tcPr>
                  <w:tcW w:w="561" w:type="pct"/>
                  <w:shd w:val="clear" w:color="auto" w:fill="FFFFFF"/>
                  <w:vAlign w:val="center"/>
                </w:tcPr>
                <w:p w14:paraId="28F8B563">
                  <w:pPr>
                    <w:jc w:val="center"/>
                    <w:rPr>
                      <w:bCs/>
                      <w:color w:val="auto"/>
                      <w:sz w:val="18"/>
                      <w:szCs w:val="18"/>
                      <w:lang w:val="zh-CN"/>
                    </w:rPr>
                  </w:pPr>
                </w:p>
              </w:tc>
              <w:tc>
                <w:tcPr>
                  <w:tcW w:w="561" w:type="pct"/>
                  <w:tcBorders>
                    <w:right w:val="nil"/>
                  </w:tcBorders>
                  <w:shd w:val="clear" w:color="auto" w:fill="FFFFFF"/>
                  <w:vAlign w:val="center"/>
                </w:tcPr>
                <w:p w14:paraId="6853688F">
                  <w:pPr>
                    <w:jc w:val="center"/>
                    <w:rPr>
                      <w:bCs/>
                      <w:color w:val="auto"/>
                      <w:sz w:val="18"/>
                      <w:szCs w:val="18"/>
                      <w:lang w:val="zh-CN"/>
                    </w:rPr>
                  </w:pPr>
                </w:p>
              </w:tc>
            </w:tr>
            <w:tr w14:paraId="12BED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751" w:type="pct"/>
                  <w:vMerge w:val="continue"/>
                  <w:tcBorders>
                    <w:left w:val="nil"/>
                  </w:tcBorders>
                  <w:shd w:val="clear" w:color="auto" w:fill="FFFFFF"/>
                  <w:vAlign w:val="center"/>
                </w:tcPr>
                <w:p w14:paraId="2710B4A5">
                  <w:pPr>
                    <w:jc w:val="center"/>
                    <w:rPr>
                      <w:bCs/>
                      <w:color w:val="auto"/>
                      <w:sz w:val="18"/>
                      <w:szCs w:val="18"/>
                      <w:lang w:val="zh-CN"/>
                    </w:rPr>
                  </w:pPr>
                </w:p>
              </w:tc>
              <w:tc>
                <w:tcPr>
                  <w:tcW w:w="736" w:type="pct"/>
                  <w:shd w:val="clear" w:color="auto" w:fill="FFFFFF"/>
                  <w:vAlign w:val="center"/>
                </w:tcPr>
                <w:p w14:paraId="46EEE952">
                  <w:pPr>
                    <w:jc w:val="center"/>
                    <w:rPr>
                      <w:bCs/>
                      <w:color w:val="auto"/>
                      <w:sz w:val="18"/>
                      <w:szCs w:val="18"/>
                      <w:lang w:val="zh-CN"/>
                    </w:rPr>
                  </w:pPr>
                </w:p>
              </w:tc>
              <w:tc>
                <w:tcPr>
                  <w:tcW w:w="630" w:type="pct"/>
                  <w:shd w:val="clear" w:color="auto" w:fill="FFFFFF"/>
                  <w:noWrap/>
                  <w:vAlign w:val="center"/>
                </w:tcPr>
                <w:p w14:paraId="5679BE49">
                  <w:pPr>
                    <w:jc w:val="center"/>
                    <w:rPr>
                      <w:bCs/>
                      <w:color w:val="auto"/>
                      <w:sz w:val="18"/>
                      <w:szCs w:val="18"/>
                      <w:lang w:val="zh-CN"/>
                    </w:rPr>
                  </w:pPr>
                </w:p>
              </w:tc>
              <w:tc>
                <w:tcPr>
                  <w:tcW w:w="1197" w:type="pct"/>
                  <w:shd w:val="clear" w:color="auto" w:fill="FFFFFF"/>
                  <w:vAlign w:val="center"/>
                </w:tcPr>
                <w:p w14:paraId="1785EC03">
                  <w:pPr>
                    <w:jc w:val="center"/>
                    <w:rPr>
                      <w:bCs/>
                      <w:color w:val="auto"/>
                      <w:sz w:val="18"/>
                      <w:szCs w:val="18"/>
                      <w:lang w:val="zh-CN"/>
                    </w:rPr>
                  </w:pPr>
                </w:p>
              </w:tc>
              <w:tc>
                <w:tcPr>
                  <w:tcW w:w="561" w:type="pct"/>
                  <w:shd w:val="clear" w:color="auto" w:fill="FFFFFF"/>
                  <w:vAlign w:val="center"/>
                </w:tcPr>
                <w:p w14:paraId="07BBDB60">
                  <w:pPr>
                    <w:jc w:val="center"/>
                    <w:rPr>
                      <w:bCs/>
                      <w:color w:val="auto"/>
                      <w:sz w:val="18"/>
                      <w:szCs w:val="18"/>
                    </w:rPr>
                  </w:pPr>
                </w:p>
              </w:tc>
              <w:tc>
                <w:tcPr>
                  <w:tcW w:w="561" w:type="pct"/>
                  <w:shd w:val="clear" w:color="auto" w:fill="FFFFFF"/>
                  <w:vAlign w:val="center"/>
                </w:tcPr>
                <w:p w14:paraId="4CDBB2C3">
                  <w:pPr>
                    <w:jc w:val="center"/>
                    <w:rPr>
                      <w:bCs/>
                      <w:color w:val="auto"/>
                      <w:sz w:val="18"/>
                      <w:szCs w:val="18"/>
                      <w:lang w:val="zh-CN"/>
                    </w:rPr>
                  </w:pPr>
                </w:p>
              </w:tc>
              <w:tc>
                <w:tcPr>
                  <w:tcW w:w="561" w:type="pct"/>
                  <w:tcBorders>
                    <w:right w:val="nil"/>
                  </w:tcBorders>
                  <w:shd w:val="clear" w:color="auto" w:fill="FFFFFF"/>
                  <w:vAlign w:val="center"/>
                </w:tcPr>
                <w:p w14:paraId="2365C838">
                  <w:pPr>
                    <w:jc w:val="center"/>
                    <w:rPr>
                      <w:bCs/>
                      <w:color w:val="auto"/>
                      <w:sz w:val="18"/>
                      <w:szCs w:val="18"/>
                      <w:lang w:val="zh-CN"/>
                    </w:rPr>
                  </w:pPr>
                </w:p>
              </w:tc>
            </w:tr>
            <w:tr w14:paraId="4D05D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751" w:type="pct"/>
                  <w:vMerge w:val="continue"/>
                  <w:tcBorders>
                    <w:left w:val="nil"/>
                  </w:tcBorders>
                  <w:shd w:val="clear" w:color="auto" w:fill="FFFFFF"/>
                  <w:vAlign w:val="center"/>
                </w:tcPr>
                <w:p w14:paraId="3F2FDAA7">
                  <w:pPr>
                    <w:jc w:val="center"/>
                    <w:rPr>
                      <w:bCs/>
                      <w:color w:val="auto"/>
                      <w:sz w:val="18"/>
                      <w:szCs w:val="18"/>
                      <w:lang w:val="zh-CN"/>
                    </w:rPr>
                  </w:pPr>
                </w:p>
              </w:tc>
              <w:tc>
                <w:tcPr>
                  <w:tcW w:w="736" w:type="pct"/>
                  <w:shd w:val="clear" w:color="auto" w:fill="FFFFFF"/>
                  <w:vAlign w:val="center"/>
                </w:tcPr>
                <w:p w14:paraId="29E41A3A">
                  <w:pPr>
                    <w:jc w:val="center"/>
                    <w:rPr>
                      <w:bCs/>
                      <w:color w:val="auto"/>
                      <w:sz w:val="18"/>
                      <w:szCs w:val="18"/>
                      <w:lang w:val="zh-CN"/>
                    </w:rPr>
                  </w:pPr>
                </w:p>
              </w:tc>
              <w:tc>
                <w:tcPr>
                  <w:tcW w:w="630" w:type="pct"/>
                  <w:shd w:val="clear" w:color="auto" w:fill="FFFFFF"/>
                  <w:noWrap/>
                  <w:vAlign w:val="center"/>
                </w:tcPr>
                <w:p w14:paraId="2ECEE994">
                  <w:pPr>
                    <w:jc w:val="center"/>
                    <w:rPr>
                      <w:color w:val="auto"/>
                      <w:sz w:val="18"/>
                      <w:szCs w:val="18"/>
                    </w:rPr>
                  </w:pPr>
                </w:p>
              </w:tc>
              <w:tc>
                <w:tcPr>
                  <w:tcW w:w="1197" w:type="pct"/>
                  <w:shd w:val="clear" w:color="auto" w:fill="FFFFFF"/>
                  <w:vAlign w:val="center"/>
                </w:tcPr>
                <w:p w14:paraId="52E3A9AE">
                  <w:pPr>
                    <w:jc w:val="center"/>
                    <w:rPr>
                      <w:bCs/>
                      <w:color w:val="auto"/>
                      <w:sz w:val="18"/>
                      <w:szCs w:val="18"/>
                      <w:lang w:val="zh-CN"/>
                    </w:rPr>
                  </w:pPr>
                </w:p>
              </w:tc>
              <w:tc>
                <w:tcPr>
                  <w:tcW w:w="561" w:type="pct"/>
                  <w:shd w:val="clear" w:color="auto" w:fill="FFFFFF"/>
                  <w:vAlign w:val="center"/>
                </w:tcPr>
                <w:p w14:paraId="02F16D07">
                  <w:pPr>
                    <w:jc w:val="center"/>
                    <w:rPr>
                      <w:bCs/>
                      <w:color w:val="auto"/>
                      <w:sz w:val="18"/>
                      <w:szCs w:val="18"/>
                    </w:rPr>
                  </w:pPr>
                </w:p>
              </w:tc>
              <w:tc>
                <w:tcPr>
                  <w:tcW w:w="561" w:type="pct"/>
                  <w:shd w:val="clear" w:color="auto" w:fill="FFFFFF"/>
                  <w:vAlign w:val="center"/>
                </w:tcPr>
                <w:p w14:paraId="02F05FD7">
                  <w:pPr>
                    <w:jc w:val="center"/>
                    <w:rPr>
                      <w:bCs/>
                      <w:color w:val="auto"/>
                      <w:sz w:val="18"/>
                      <w:szCs w:val="18"/>
                      <w:lang w:val="zh-CN"/>
                    </w:rPr>
                  </w:pPr>
                </w:p>
              </w:tc>
              <w:tc>
                <w:tcPr>
                  <w:tcW w:w="561" w:type="pct"/>
                  <w:tcBorders>
                    <w:right w:val="nil"/>
                  </w:tcBorders>
                  <w:shd w:val="clear" w:color="auto" w:fill="FFFFFF"/>
                  <w:vAlign w:val="center"/>
                </w:tcPr>
                <w:p w14:paraId="5A997AB8">
                  <w:pPr>
                    <w:jc w:val="center"/>
                    <w:rPr>
                      <w:bCs/>
                      <w:color w:val="auto"/>
                      <w:sz w:val="18"/>
                      <w:szCs w:val="18"/>
                      <w:lang w:val="zh-CN"/>
                    </w:rPr>
                  </w:pPr>
                </w:p>
              </w:tc>
            </w:tr>
            <w:tr w14:paraId="0B254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751" w:type="pct"/>
                  <w:vMerge w:val="restart"/>
                  <w:tcBorders>
                    <w:left w:val="nil"/>
                  </w:tcBorders>
                  <w:shd w:val="clear" w:color="auto" w:fill="FFFFFF"/>
                  <w:vAlign w:val="center"/>
                </w:tcPr>
                <w:p w14:paraId="751CAD70">
                  <w:pPr>
                    <w:jc w:val="center"/>
                    <w:rPr>
                      <w:bCs/>
                      <w:color w:val="auto"/>
                      <w:sz w:val="18"/>
                      <w:szCs w:val="18"/>
                      <w:lang w:val="zh-CN"/>
                    </w:rPr>
                  </w:pPr>
                </w:p>
              </w:tc>
              <w:tc>
                <w:tcPr>
                  <w:tcW w:w="736" w:type="pct"/>
                  <w:shd w:val="clear" w:color="auto" w:fill="FFFFFF"/>
                  <w:vAlign w:val="center"/>
                </w:tcPr>
                <w:p w14:paraId="68369932">
                  <w:pPr>
                    <w:jc w:val="center"/>
                    <w:rPr>
                      <w:bCs/>
                      <w:color w:val="auto"/>
                      <w:sz w:val="18"/>
                      <w:szCs w:val="18"/>
                      <w:lang w:val="zh-CN"/>
                    </w:rPr>
                  </w:pPr>
                </w:p>
              </w:tc>
              <w:tc>
                <w:tcPr>
                  <w:tcW w:w="630" w:type="pct"/>
                  <w:shd w:val="clear" w:color="auto" w:fill="FFFFFF"/>
                  <w:noWrap/>
                  <w:vAlign w:val="center"/>
                </w:tcPr>
                <w:p w14:paraId="11A00894">
                  <w:pPr>
                    <w:jc w:val="center"/>
                    <w:rPr>
                      <w:bCs/>
                      <w:color w:val="auto"/>
                      <w:sz w:val="18"/>
                      <w:szCs w:val="18"/>
                      <w:lang w:val="zh-CN"/>
                    </w:rPr>
                  </w:pPr>
                </w:p>
              </w:tc>
              <w:tc>
                <w:tcPr>
                  <w:tcW w:w="1197" w:type="pct"/>
                  <w:shd w:val="clear" w:color="auto" w:fill="FFFFFF"/>
                  <w:vAlign w:val="center"/>
                </w:tcPr>
                <w:p w14:paraId="4375E171">
                  <w:pPr>
                    <w:jc w:val="center"/>
                    <w:rPr>
                      <w:bCs/>
                      <w:color w:val="auto"/>
                      <w:sz w:val="18"/>
                      <w:szCs w:val="18"/>
                      <w:lang w:val="zh-CN"/>
                    </w:rPr>
                  </w:pPr>
                </w:p>
              </w:tc>
              <w:tc>
                <w:tcPr>
                  <w:tcW w:w="561" w:type="pct"/>
                  <w:shd w:val="clear" w:color="auto" w:fill="FFFFFF"/>
                  <w:vAlign w:val="center"/>
                </w:tcPr>
                <w:p w14:paraId="1C56976D">
                  <w:pPr>
                    <w:jc w:val="center"/>
                    <w:rPr>
                      <w:bCs/>
                      <w:color w:val="auto"/>
                      <w:sz w:val="18"/>
                      <w:szCs w:val="18"/>
                    </w:rPr>
                  </w:pPr>
                </w:p>
              </w:tc>
              <w:tc>
                <w:tcPr>
                  <w:tcW w:w="561" w:type="pct"/>
                  <w:shd w:val="clear" w:color="auto" w:fill="FFFFFF"/>
                  <w:vAlign w:val="center"/>
                </w:tcPr>
                <w:p w14:paraId="40FBEF3D">
                  <w:pPr>
                    <w:jc w:val="center"/>
                    <w:rPr>
                      <w:bCs/>
                      <w:color w:val="auto"/>
                      <w:sz w:val="18"/>
                      <w:szCs w:val="18"/>
                      <w:lang w:val="zh-CN"/>
                    </w:rPr>
                  </w:pPr>
                </w:p>
              </w:tc>
              <w:tc>
                <w:tcPr>
                  <w:tcW w:w="561" w:type="pct"/>
                  <w:tcBorders>
                    <w:right w:val="nil"/>
                  </w:tcBorders>
                  <w:shd w:val="clear" w:color="auto" w:fill="FFFFFF"/>
                  <w:vAlign w:val="center"/>
                </w:tcPr>
                <w:p w14:paraId="1C15CB4F">
                  <w:pPr>
                    <w:jc w:val="center"/>
                    <w:rPr>
                      <w:bCs/>
                      <w:color w:val="auto"/>
                      <w:sz w:val="18"/>
                      <w:szCs w:val="18"/>
                      <w:lang w:val="zh-CN"/>
                    </w:rPr>
                  </w:pPr>
                </w:p>
              </w:tc>
            </w:tr>
            <w:tr w14:paraId="637BB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751" w:type="pct"/>
                  <w:vMerge w:val="continue"/>
                  <w:tcBorders>
                    <w:left w:val="nil"/>
                  </w:tcBorders>
                  <w:shd w:val="clear" w:color="auto" w:fill="FFFFFF"/>
                  <w:vAlign w:val="center"/>
                </w:tcPr>
                <w:p w14:paraId="305B362F">
                  <w:pPr>
                    <w:jc w:val="center"/>
                    <w:rPr>
                      <w:bCs/>
                      <w:color w:val="auto"/>
                      <w:sz w:val="18"/>
                      <w:szCs w:val="18"/>
                      <w:lang w:val="zh-CN"/>
                    </w:rPr>
                  </w:pPr>
                </w:p>
              </w:tc>
              <w:tc>
                <w:tcPr>
                  <w:tcW w:w="736" w:type="pct"/>
                  <w:shd w:val="clear" w:color="auto" w:fill="FFFFFF"/>
                  <w:vAlign w:val="center"/>
                </w:tcPr>
                <w:p w14:paraId="363A8131">
                  <w:pPr>
                    <w:jc w:val="center"/>
                    <w:rPr>
                      <w:bCs/>
                      <w:color w:val="auto"/>
                      <w:sz w:val="18"/>
                      <w:szCs w:val="18"/>
                      <w:lang w:val="zh-CN"/>
                    </w:rPr>
                  </w:pPr>
                </w:p>
              </w:tc>
              <w:tc>
                <w:tcPr>
                  <w:tcW w:w="630" w:type="pct"/>
                  <w:shd w:val="clear" w:color="auto" w:fill="FFFFFF"/>
                  <w:noWrap/>
                  <w:vAlign w:val="center"/>
                </w:tcPr>
                <w:p w14:paraId="7D7AFFA7">
                  <w:pPr>
                    <w:jc w:val="center"/>
                    <w:rPr>
                      <w:color w:val="auto"/>
                      <w:sz w:val="18"/>
                      <w:szCs w:val="18"/>
                    </w:rPr>
                  </w:pPr>
                </w:p>
              </w:tc>
              <w:tc>
                <w:tcPr>
                  <w:tcW w:w="1197" w:type="pct"/>
                  <w:shd w:val="clear" w:color="auto" w:fill="FFFFFF"/>
                  <w:vAlign w:val="center"/>
                </w:tcPr>
                <w:p w14:paraId="72AE951D">
                  <w:pPr>
                    <w:jc w:val="center"/>
                    <w:rPr>
                      <w:bCs/>
                      <w:color w:val="auto"/>
                      <w:sz w:val="18"/>
                      <w:szCs w:val="18"/>
                      <w:lang w:val="zh-CN"/>
                    </w:rPr>
                  </w:pPr>
                </w:p>
              </w:tc>
              <w:tc>
                <w:tcPr>
                  <w:tcW w:w="561" w:type="pct"/>
                  <w:shd w:val="clear" w:color="auto" w:fill="FFFFFF"/>
                  <w:vAlign w:val="center"/>
                </w:tcPr>
                <w:p w14:paraId="2E9B65A8">
                  <w:pPr>
                    <w:jc w:val="center"/>
                    <w:rPr>
                      <w:bCs/>
                      <w:color w:val="auto"/>
                      <w:sz w:val="18"/>
                      <w:szCs w:val="18"/>
                    </w:rPr>
                  </w:pPr>
                </w:p>
              </w:tc>
              <w:tc>
                <w:tcPr>
                  <w:tcW w:w="561" w:type="pct"/>
                  <w:shd w:val="clear" w:color="auto" w:fill="FFFFFF"/>
                  <w:vAlign w:val="center"/>
                </w:tcPr>
                <w:p w14:paraId="1A97BC12">
                  <w:pPr>
                    <w:jc w:val="center"/>
                    <w:rPr>
                      <w:bCs/>
                      <w:color w:val="auto"/>
                      <w:sz w:val="18"/>
                      <w:szCs w:val="18"/>
                      <w:lang w:val="zh-CN"/>
                    </w:rPr>
                  </w:pPr>
                </w:p>
              </w:tc>
              <w:tc>
                <w:tcPr>
                  <w:tcW w:w="561" w:type="pct"/>
                  <w:tcBorders>
                    <w:right w:val="nil"/>
                  </w:tcBorders>
                  <w:shd w:val="clear" w:color="auto" w:fill="FFFFFF"/>
                  <w:vAlign w:val="center"/>
                </w:tcPr>
                <w:p w14:paraId="4A16B071">
                  <w:pPr>
                    <w:jc w:val="center"/>
                    <w:rPr>
                      <w:bCs/>
                      <w:color w:val="auto"/>
                      <w:sz w:val="18"/>
                      <w:szCs w:val="18"/>
                      <w:lang w:val="zh-CN"/>
                    </w:rPr>
                  </w:pPr>
                </w:p>
              </w:tc>
            </w:tr>
            <w:tr w14:paraId="710CB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751" w:type="pct"/>
                  <w:vMerge w:val="continue"/>
                  <w:tcBorders>
                    <w:left w:val="nil"/>
                  </w:tcBorders>
                  <w:shd w:val="clear" w:color="auto" w:fill="FFFFFF"/>
                  <w:vAlign w:val="center"/>
                </w:tcPr>
                <w:p w14:paraId="1C489650">
                  <w:pPr>
                    <w:jc w:val="center"/>
                    <w:rPr>
                      <w:bCs/>
                      <w:color w:val="auto"/>
                      <w:sz w:val="18"/>
                      <w:szCs w:val="18"/>
                      <w:lang w:val="zh-CN"/>
                    </w:rPr>
                  </w:pPr>
                </w:p>
              </w:tc>
              <w:tc>
                <w:tcPr>
                  <w:tcW w:w="736" w:type="pct"/>
                  <w:shd w:val="clear" w:color="auto" w:fill="FFFFFF"/>
                  <w:vAlign w:val="center"/>
                </w:tcPr>
                <w:p w14:paraId="27BB416C">
                  <w:pPr>
                    <w:jc w:val="center"/>
                    <w:rPr>
                      <w:bCs/>
                      <w:color w:val="auto"/>
                      <w:sz w:val="18"/>
                      <w:szCs w:val="18"/>
                      <w:lang w:val="zh-CN"/>
                    </w:rPr>
                  </w:pPr>
                </w:p>
              </w:tc>
              <w:tc>
                <w:tcPr>
                  <w:tcW w:w="630" w:type="pct"/>
                  <w:shd w:val="clear" w:color="auto" w:fill="FFFFFF"/>
                  <w:noWrap/>
                  <w:vAlign w:val="center"/>
                </w:tcPr>
                <w:p w14:paraId="55C99537">
                  <w:pPr>
                    <w:jc w:val="center"/>
                    <w:rPr>
                      <w:color w:val="auto"/>
                      <w:sz w:val="18"/>
                      <w:szCs w:val="18"/>
                    </w:rPr>
                  </w:pPr>
                </w:p>
              </w:tc>
              <w:tc>
                <w:tcPr>
                  <w:tcW w:w="1197" w:type="pct"/>
                  <w:shd w:val="clear" w:color="auto" w:fill="FFFFFF"/>
                  <w:vAlign w:val="center"/>
                </w:tcPr>
                <w:p w14:paraId="316E35AC">
                  <w:pPr>
                    <w:jc w:val="center"/>
                    <w:rPr>
                      <w:bCs/>
                      <w:color w:val="auto"/>
                      <w:sz w:val="18"/>
                      <w:szCs w:val="18"/>
                      <w:lang w:val="zh-CN"/>
                    </w:rPr>
                  </w:pPr>
                </w:p>
              </w:tc>
              <w:tc>
                <w:tcPr>
                  <w:tcW w:w="561" w:type="pct"/>
                  <w:shd w:val="clear" w:color="auto" w:fill="FFFFFF"/>
                  <w:vAlign w:val="center"/>
                </w:tcPr>
                <w:p w14:paraId="6C0DE764">
                  <w:pPr>
                    <w:jc w:val="center"/>
                    <w:rPr>
                      <w:bCs/>
                      <w:color w:val="auto"/>
                      <w:sz w:val="18"/>
                      <w:szCs w:val="18"/>
                    </w:rPr>
                  </w:pPr>
                </w:p>
              </w:tc>
              <w:tc>
                <w:tcPr>
                  <w:tcW w:w="561" w:type="pct"/>
                  <w:shd w:val="clear" w:color="auto" w:fill="FFFFFF"/>
                  <w:vAlign w:val="center"/>
                </w:tcPr>
                <w:p w14:paraId="6C72D459">
                  <w:pPr>
                    <w:jc w:val="center"/>
                    <w:rPr>
                      <w:bCs/>
                      <w:color w:val="auto"/>
                      <w:sz w:val="18"/>
                      <w:szCs w:val="18"/>
                      <w:lang w:val="zh-CN"/>
                    </w:rPr>
                  </w:pPr>
                </w:p>
              </w:tc>
              <w:tc>
                <w:tcPr>
                  <w:tcW w:w="561" w:type="pct"/>
                  <w:tcBorders>
                    <w:right w:val="nil"/>
                  </w:tcBorders>
                  <w:shd w:val="clear" w:color="auto" w:fill="FFFFFF"/>
                  <w:vAlign w:val="center"/>
                </w:tcPr>
                <w:p w14:paraId="0C493F44">
                  <w:pPr>
                    <w:jc w:val="center"/>
                    <w:rPr>
                      <w:bCs/>
                      <w:color w:val="auto"/>
                      <w:sz w:val="18"/>
                      <w:szCs w:val="18"/>
                      <w:lang w:val="zh-CN"/>
                    </w:rPr>
                  </w:pPr>
                </w:p>
              </w:tc>
            </w:tr>
            <w:tr w14:paraId="19566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751" w:type="pct"/>
                  <w:vMerge w:val="continue"/>
                  <w:tcBorders>
                    <w:left w:val="nil"/>
                  </w:tcBorders>
                  <w:shd w:val="clear" w:color="auto" w:fill="FFFFFF"/>
                  <w:vAlign w:val="center"/>
                </w:tcPr>
                <w:p w14:paraId="105F171D">
                  <w:pPr>
                    <w:jc w:val="center"/>
                    <w:rPr>
                      <w:bCs/>
                      <w:color w:val="auto"/>
                      <w:sz w:val="18"/>
                      <w:szCs w:val="18"/>
                      <w:lang w:val="zh-CN"/>
                    </w:rPr>
                  </w:pPr>
                </w:p>
              </w:tc>
              <w:tc>
                <w:tcPr>
                  <w:tcW w:w="736" w:type="pct"/>
                  <w:shd w:val="clear" w:color="auto" w:fill="FFFFFF"/>
                  <w:vAlign w:val="center"/>
                </w:tcPr>
                <w:p w14:paraId="2B066883">
                  <w:pPr>
                    <w:jc w:val="center"/>
                    <w:rPr>
                      <w:bCs/>
                      <w:color w:val="auto"/>
                      <w:sz w:val="18"/>
                      <w:szCs w:val="18"/>
                      <w:lang w:val="zh-CN"/>
                    </w:rPr>
                  </w:pPr>
                </w:p>
              </w:tc>
              <w:tc>
                <w:tcPr>
                  <w:tcW w:w="630" w:type="pct"/>
                  <w:shd w:val="clear" w:color="auto" w:fill="FFFFFF"/>
                  <w:noWrap/>
                  <w:vAlign w:val="center"/>
                </w:tcPr>
                <w:p w14:paraId="2FE42D2D">
                  <w:pPr>
                    <w:jc w:val="center"/>
                    <w:rPr>
                      <w:color w:val="auto"/>
                      <w:sz w:val="18"/>
                      <w:szCs w:val="18"/>
                    </w:rPr>
                  </w:pPr>
                </w:p>
              </w:tc>
              <w:tc>
                <w:tcPr>
                  <w:tcW w:w="1197" w:type="pct"/>
                  <w:shd w:val="clear" w:color="auto" w:fill="FFFFFF"/>
                  <w:vAlign w:val="center"/>
                </w:tcPr>
                <w:p w14:paraId="5FA5EB0A">
                  <w:pPr>
                    <w:jc w:val="center"/>
                    <w:rPr>
                      <w:bCs/>
                      <w:color w:val="auto"/>
                      <w:sz w:val="18"/>
                      <w:szCs w:val="18"/>
                      <w:lang w:val="zh-CN"/>
                    </w:rPr>
                  </w:pPr>
                </w:p>
              </w:tc>
              <w:tc>
                <w:tcPr>
                  <w:tcW w:w="561" w:type="pct"/>
                  <w:shd w:val="clear" w:color="auto" w:fill="FFFFFF"/>
                  <w:vAlign w:val="center"/>
                </w:tcPr>
                <w:p w14:paraId="7B36DAB6">
                  <w:pPr>
                    <w:jc w:val="center"/>
                    <w:rPr>
                      <w:bCs/>
                      <w:color w:val="auto"/>
                      <w:sz w:val="18"/>
                      <w:szCs w:val="18"/>
                    </w:rPr>
                  </w:pPr>
                </w:p>
              </w:tc>
              <w:tc>
                <w:tcPr>
                  <w:tcW w:w="561" w:type="pct"/>
                  <w:shd w:val="clear" w:color="auto" w:fill="FFFFFF"/>
                  <w:vAlign w:val="center"/>
                </w:tcPr>
                <w:p w14:paraId="02717088">
                  <w:pPr>
                    <w:jc w:val="center"/>
                    <w:rPr>
                      <w:bCs/>
                      <w:color w:val="auto"/>
                      <w:sz w:val="18"/>
                      <w:szCs w:val="18"/>
                      <w:lang w:val="zh-CN"/>
                    </w:rPr>
                  </w:pPr>
                </w:p>
              </w:tc>
              <w:tc>
                <w:tcPr>
                  <w:tcW w:w="561" w:type="pct"/>
                  <w:tcBorders>
                    <w:right w:val="nil"/>
                  </w:tcBorders>
                  <w:shd w:val="clear" w:color="auto" w:fill="FFFFFF"/>
                  <w:vAlign w:val="center"/>
                </w:tcPr>
                <w:p w14:paraId="54F6C0FC">
                  <w:pPr>
                    <w:jc w:val="center"/>
                    <w:rPr>
                      <w:bCs/>
                      <w:color w:val="auto"/>
                      <w:sz w:val="18"/>
                      <w:szCs w:val="18"/>
                      <w:lang w:val="zh-CN"/>
                    </w:rPr>
                  </w:pPr>
                </w:p>
              </w:tc>
            </w:tr>
            <w:tr w14:paraId="69212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751" w:type="pct"/>
                  <w:vMerge w:val="continue"/>
                  <w:tcBorders>
                    <w:left w:val="nil"/>
                  </w:tcBorders>
                  <w:shd w:val="clear" w:color="auto" w:fill="FFFFFF"/>
                  <w:vAlign w:val="center"/>
                </w:tcPr>
                <w:p w14:paraId="23409102">
                  <w:pPr>
                    <w:jc w:val="center"/>
                    <w:rPr>
                      <w:bCs/>
                      <w:color w:val="auto"/>
                      <w:sz w:val="18"/>
                      <w:szCs w:val="18"/>
                      <w:lang w:val="zh-CN"/>
                    </w:rPr>
                  </w:pPr>
                </w:p>
              </w:tc>
              <w:tc>
                <w:tcPr>
                  <w:tcW w:w="736" w:type="pct"/>
                  <w:shd w:val="clear" w:color="auto" w:fill="FFFFFF"/>
                  <w:vAlign w:val="center"/>
                </w:tcPr>
                <w:p w14:paraId="7F07D1C4">
                  <w:pPr>
                    <w:jc w:val="center"/>
                    <w:rPr>
                      <w:bCs/>
                      <w:color w:val="auto"/>
                      <w:sz w:val="18"/>
                      <w:szCs w:val="18"/>
                      <w:lang w:val="zh-CN"/>
                    </w:rPr>
                  </w:pPr>
                </w:p>
              </w:tc>
              <w:tc>
                <w:tcPr>
                  <w:tcW w:w="630" w:type="pct"/>
                  <w:shd w:val="clear" w:color="auto" w:fill="FFFFFF"/>
                  <w:noWrap/>
                  <w:vAlign w:val="center"/>
                </w:tcPr>
                <w:p w14:paraId="6A073673">
                  <w:pPr>
                    <w:jc w:val="center"/>
                    <w:rPr>
                      <w:color w:val="auto"/>
                      <w:sz w:val="18"/>
                      <w:szCs w:val="18"/>
                    </w:rPr>
                  </w:pPr>
                </w:p>
              </w:tc>
              <w:tc>
                <w:tcPr>
                  <w:tcW w:w="1197" w:type="pct"/>
                  <w:shd w:val="clear" w:color="auto" w:fill="FFFFFF"/>
                  <w:vAlign w:val="center"/>
                </w:tcPr>
                <w:p w14:paraId="31C0C97F">
                  <w:pPr>
                    <w:jc w:val="center"/>
                    <w:rPr>
                      <w:bCs/>
                      <w:color w:val="auto"/>
                      <w:sz w:val="18"/>
                      <w:szCs w:val="18"/>
                      <w:lang w:val="zh-CN"/>
                    </w:rPr>
                  </w:pPr>
                </w:p>
              </w:tc>
              <w:tc>
                <w:tcPr>
                  <w:tcW w:w="561" w:type="pct"/>
                  <w:shd w:val="clear" w:color="auto" w:fill="FFFFFF"/>
                  <w:vAlign w:val="center"/>
                </w:tcPr>
                <w:p w14:paraId="4BFEE04F">
                  <w:pPr>
                    <w:jc w:val="center"/>
                    <w:rPr>
                      <w:bCs/>
                      <w:color w:val="auto"/>
                      <w:sz w:val="18"/>
                      <w:szCs w:val="18"/>
                    </w:rPr>
                  </w:pPr>
                </w:p>
              </w:tc>
              <w:tc>
                <w:tcPr>
                  <w:tcW w:w="561" w:type="pct"/>
                  <w:shd w:val="clear" w:color="auto" w:fill="FFFFFF"/>
                  <w:vAlign w:val="center"/>
                </w:tcPr>
                <w:p w14:paraId="0BF00201">
                  <w:pPr>
                    <w:jc w:val="center"/>
                    <w:rPr>
                      <w:bCs/>
                      <w:color w:val="auto"/>
                      <w:sz w:val="18"/>
                      <w:szCs w:val="18"/>
                      <w:lang w:val="zh-CN"/>
                    </w:rPr>
                  </w:pPr>
                </w:p>
              </w:tc>
              <w:tc>
                <w:tcPr>
                  <w:tcW w:w="561" w:type="pct"/>
                  <w:tcBorders>
                    <w:right w:val="nil"/>
                  </w:tcBorders>
                  <w:shd w:val="clear" w:color="auto" w:fill="FFFFFF"/>
                  <w:vAlign w:val="center"/>
                </w:tcPr>
                <w:p w14:paraId="1189A8E6">
                  <w:pPr>
                    <w:jc w:val="center"/>
                    <w:rPr>
                      <w:bCs/>
                      <w:color w:val="auto"/>
                      <w:sz w:val="18"/>
                      <w:szCs w:val="18"/>
                      <w:lang w:val="zh-CN"/>
                    </w:rPr>
                  </w:pPr>
                </w:p>
              </w:tc>
            </w:tr>
            <w:tr w14:paraId="64D39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751" w:type="pct"/>
                  <w:vMerge w:val="continue"/>
                  <w:tcBorders>
                    <w:left w:val="nil"/>
                  </w:tcBorders>
                  <w:shd w:val="clear" w:color="auto" w:fill="FFFFFF"/>
                  <w:vAlign w:val="center"/>
                </w:tcPr>
                <w:p w14:paraId="38B296F6">
                  <w:pPr>
                    <w:jc w:val="center"/>
                    <w:rPr>
                      <w:bCs/>
                      <w:color w:val="auto"/>
                      <w:sz w:val="18"/>
                      <w:szCs w:val="18"/>
                      <w:lang w:val="zh-CN"/>
                    </w:rPr>
                  </w:pPr>
                </w:p>
              </w:tc>
              <w:tc>
                <w:tcPr>
                  <w:tcW w:w="736" w:type="pct"/>
                  <w:shd w:val="clear" w:color="auto" w:fill="FFFFFF"/>
                  <w:vAlign w:val="center"/>
                </w:tcPr>
                <w:p w14:paraId="36561FC7">
                  <w:pPr>
                    <w:jc w:val="center"/>
                    <w:rPr>
                      <w:bCs/>
                      <w:color w:val="auto"/>
                      <w:sz w:val="18"/>
                      <w:szCs w:val="18"/>
                      <w:lang w:val="zh-CN"/>
                    </w:rPr>
                  </w:pPr>
                </w:p>
              </w:tc>
              <w:tc>
                <w:tcPr>
                  <w:tcW w:w="630" w:type="pct"/>
                  <w:shd w:val="clear" w:color="auto" w:fill="FFFFFF"/>
                  <w:noWrap/>
                  <w:vAlign w:val="center"/>
                </w:tcPr>
                <w:p w14:paraId="210DE8EA">
                  <w:pPr>
                    <w:jc w:val="center"/>
                    <w:rPr>
                      <w:color w:val="auto"/>
                      <w:sz w:val="18"/>
                      <w:szCs w:val="18"/>
                    </w:rPr>
                  </w:pPr>
                </w:p>
              </w:tc>
              <w:tc>
                <w:tcPr>
                  <w:tcW w:w="1197" w:type="pct"/>
                  <w:shd w:val="clear" w:color="auto" w:fill="FFFFFF"/>
                  <w:vAlign w:val="center"/>
                </w:tcPr>
                <w:p w14:paraId="2DAD27C2">
                  <w:pPr>
                    <w:jc w:val="center"/>
                    <w:rPr>
                      <w:bCs/>
                      <w:color w:val="auto"/>
                      <w:sz w:val="18"/>
                      <w:szCs w:val="18"/>
                      <w:lang w:val="zh-CN"/>
                    </w:rPr>
                  </w:pPr>
                </w:p>
              </w:tc>
              <w:tc>
                <w:tcPr>
                  <w:tcW w:w="561" w:type="pct"/>
                  <w:shd w:val="clear" w:color="auto" w:fill="FFFFFF"/>
                  <w:vAlign w:val="center"/>
                </w:tcPr>
                <w:p w14:paraId="66DB13A4">
                  <w:pPr>
                    <w:jc w:val="center"/>
                    <w:rPr>
                      <w:bCs/>
                      <w:color w:val="auto"/>
                      <w:sz w:val="18"/>
                      <w:szCs w:val="18"/>
                    </w:rPr>
                  </w:pPr>
                </w:p>
              </w:tc>
              <w:tc>
                <w:tcPr>
                  <w:tcW w:w="561" w:type="pct"/>
                  <w:shd w:val="clear" w:color="auto" w:fill="FFFFFF"/>
                  <w:vAlign w:val="center"/>
                </w:tcPr>
                <w:p w14:paraId="7D8D766E">
                  <w:pPr>
                    <w:jc w:val="center"/>
                    <w:rPr>
                      <w:bCs/>
                      <w:color w:val="auto"/>
                      <w:sz w:val="18"/>
                      <w:szCs w:val="18"/>
                      <w:lang w:val="zh-CN"/>
                    </w:rPr>
                  </w:pPr>
                </w:p>
              </w:tc>
              <w:tc>
                <w:tcPr>
                  <w:tcW w:w="561" w:type="pct"/>
                  <w:tcBorders>
                    <w:right w:val="nil"/>
                  </w:tcBorders>
                  <w:shd w:val="clear" w:color="auto" w:fill="FFFFFF"/>
                  <w:vAlign w:val="center"/>
                </w:tcPr>
                <w:p w14:paraId="370563D4">
                  <w:pPr>
                    <w:jc w:val="center"/>
                    <w:rPr>
                      <w:bCs/>
                      <w:color w:val="auto"/>
                      <w:sz w:val="18"/>
                      <w:szCs w:val="18"/>
                      <w:lang w:val="zh-CN"/>
                    </w:rPr>
                  </w:pPr>
                </w:p>
              </w:tc>
            </w:tr>
            <w:tr w14:paraId="24545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751" w:type="pct"/>
                  <w:vMerge w:val="continue"/>
                  <w:tcBorders>
                    <w:left w:val="nil"/>
                  </w:tcBorders>
                  <w:shd w:val="clear" w:color="auto" w:fill="FFFFFF"/>
                  <w:vAlign w:val="center"/>
                </w:tcPr>
                <w:p w14:paraId="256AB5BF">
                  <w:pPr>
                    <w:jc w:val="center"/>
                    <w:rPr>
                      <w:bCs/>
                      <w:color w:val="auto"/>
                      <w:sz w:val="18"/>
                      <w:szCs w:val="18"/>
                      <w:lang w:val="zh-CN"/>
                    </w:rPr>
                  </w:pPr>
                </w:p>
              </w:tc>
              <w:tc>
                <w:tcPr>
                  <w:tcW w:w="736" w:type="pct"/>
                  <w:shd w:val="clear" w:color="auto" w:fill="FFFFFF"/>
                  <w:vAlign w:val="center"/>
                </w:tcPr>
                <w:p w14:paraId="09CB3895">
                  <w:pPr>
                    <w:jc w:val="center"/>
                    <w:rPr>
                      <w:bCs/>
                      <w:color w:val="auto"/>
                      <w:sz w:val="18"/>
                      <w:szCs w:val="18"/>
                      <w:lang w:val="zh-CN"/>
                    </w:rPr>
                  </w:pPr>
                </w:p>
              </w:tc>
              <w:tc>
                <w:tcPr>
                  <w:tcW w:w="630" w:type="pct"/>
                  <w:shd w:val="clear" w:color="auto" w:fill="FFFFFF"/>
                  <w:noWrap/>
                  <w:vAlign w:val="center"/>
                </w:tcPr>
                <w:p w14:paraId="54465796">
                  <w:pPr>
                    <w:jc w:val="center"/>
                    <w:rPr>
                      <w:color w:val="auto"/>
                      <w:sz w:val="18"/>
                      <w:szCs w:val="18"/>
                    </w:rPr>
                  </w:pPr>
                </w:p>
              </w:tc>
              <w:tc>
                <w:tcPr>
                  <w:tcW w:w="1197" w:type="pct"/>
                  <w:shd w:val="clear" w:color="auto" w:fill="FFFFFF"/>
                  <w:vAlign w:val="center"/>
                </w:tcPr>
                <w:p w14:paraId="299AFCD2">
                  <w:pPr>
                    <w:jc w:val="center"/>
                    <w:rPr>
                      <w:bCs/>
                      <w:color w:val="auto"/>
                      <w:sz w:val="18"/>
                      <w:szCs w:val="18"/>
                      <w:lang w:val="zh-CN"/>
                    </w:rPr>
                  </w:pPr>
                </w:p>
              </w:tc>
              <w:tc>
                <w:tcPr>
                  <w:tcW w:w="561" w:type="pct"/>
                  <w:shd w:val="clear" w:color="auto" w:fill="FFFFFF"/>
                  <w:vAlign w:val="center"/>
                </w:tcPr>
                <w:p w14:paraId="39E1CA46">
                  <w:pPr>
                    <w:jc w:val="center"/>
                    <w:rPr>
                      <w:bCs/>
                      <w:color w:val="auto"/>
                      <w:sz w:val="18"/>
                      <w:szCs w:val="18"/>
                    </w:rPr>
                  </w:pPr>
                </w:p>
              </w:tc>
              <w:tc>
                <w:tcPr>
                  <w:tcW w:w="561" w:type="pct"/>
                  <w:shd w:val="clear" w:color="auto" w:fill="FFFFFF"/>
                  <w:vAlign w:val="center"/>
                </w:tcPr>
                <w:p w14:paraId="2619ABEF">
                  <w:pPr>
                    <w:jc w:val="center"/>
                    <w:rPr>
                      <w:bCs/>
                      <w:color w:val="auto"/>
                      <w:sz w:val="18"/>
                      <w:szCs w:val="18"/>
                      <w:lang w:val="zh-CN"/>
                    </w:rPr>
                  </w:pPr>
                </w:p>
              </w:tc>
              <w:tc>
                <w:tcPr>
                  <w:tcW w:w="561" w:type="pct"/>
                  <w:tcBorders>
                    <w:right w:val="nil"/>
                  </w:tcBorders>
                  <w:shd w:val="clear" w:color="auto" w:fill="FFFFFF"/>
                  <w:vAlign w:val="center"/>
                </w:tcPr>
                <w:p w14:paraId="41E5B4C2">
                  <w:pPr>
                    <w:jc w:val="center"/>
                    <w:rPr>
                      <w:bCs/>
                      <w:color w:val="auto"/>
                      <w:sz w:val="18"/>
                      <w:szCs w:val="18"/>
                      <w:lang w:val="zh-CN"/>
                    </w:rPr>
                  </w:pPr>
                </w:p>
              </w:tc>
            </w:tr>
            <w:tr w14:paraId="56DDB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751" w:type="pct"/>
                  <w:vMerge w:val="continue"/>
                  <w:tcBorders>
                    <w:left w:val="nil"/>
                  </w:tcBorders>
                  <w:shd w:val="clear" w:color="auto" w:fill="FFFFFF"/>
                  <w:vAlign w:val="center"/>
                </w:tcPr>
                <w:p w14:paraId="523AFDDB">
                  <w:pPr>
                    <w:jc w:val="center"/>
                    <w:rPr>
                      <w:bCs/>
                      <w:color w:val="auto"/>
                      <w:sz w:val="18"/>
                      <w:szCs w:val="18"/>
                      <w:lang w:val="zh-CN"/>
                    </w:rPr>
                  </w:pPr>
                </w:p>
              </w:tc>
              <w:tc>
                <w:tcPr>
                  <w:tcW w:w="736" w:type="pct"/>
                  <w:shd w:val="clear" w:color="auto" w:fill="FFFFFF"/>
                  <w:vAlign w:val="center"/>
                </w:tcPr>
                <w:p w14:paraId="3C299359">
                  <w:pPr>
                    <w:jc w:val="center"/>
                    <w:rPr>
                      <w:bCs/>
                      <w:color w:val="auto"/>
                      <w:sz w:val="18"/>
                      <w:szCs w:val="18"/>
                      <w:lang w:val="zh-CN"/>
                    </w:rPr>
                  </w:pPr>
                </w:p>
              </w:tc>
              <w:tc>
                <w:tcPr>
                  <w:tcW w:w="630" w:type="pct"/>
                  <w:shd w:val="clear" w:color="auto" w:fill="FFFFFF"/>
                  <w:noWrap/>
                  <w:vAlign w:val="center"/>
                </w:tcPr>
                <w:p w14:paraId="2206A08A">
                  <w:pPr>
                    <w:jc w:val="center"/>
                    <w:rPr>
                      <w:color w:val="auto"/>
                      <w:sz w:val="18"/>
                      <w:szCs w:val="18"/>
                    </w:rPr>
                  </w:pPr>
                </w:p>
              </w:tc>
              <w:tc>
                <w:tcPr>
                  <w:tcW w:w="1197" w:type="pct"/>
                  <w:shd w:val="clear" w:color="auto" w:fill="FFFFFF"/>
                  <w:vAlign w:val="center"/>
                </w:tcPr>
                <w:p w14:paraId="7349947D">
                  <w:pPr>
                    <w:jc w:val="center"/>
                    <w:rPr>
                      <w:bCs/>
                      <w:color w:val="auto"/>
                      <w:sz w:val="18"/>
                      <w:szCs w:val="18"/>
                      <w:lang w:val="zh-CN"/>
                    </w:rPr>
                  </w:pPr>
                </w:p>
              </w:tc>
              <w:tc>
                <w:tcPr>
                  <w:tcW w:w="561" w:type="pct"/>
                  <w:shd w:val="clear" w:color="auto" w:fill="FFFFFF"/>
                  <w:vAlign w:val="center"/>
                </w:tcPr>
                <w:p w14:paraId="68D26EC0">
                  <w:pPr>
                    <w:jc w:val="center"/>
                    <w:rPr>
                      <w:bCs/>
                      <w:color w:val="auto"/>
                      <w:sz w:val="18"/>
                      <w:szCs w:val="18"/>
                    </w:rPr>
                  </w:pPr>
                </w:p>
              </w:tc>
              <w:tc>
                <w:tcPr>
                  <w:tcW w:w="561" w:type="pct"/>
                  <w:shd w:val="clear" w:color="auto" w:fill="FFFFFF"/>
                  <w:vAlign w:val="center"/>
                </w:tcPr>
                <w:p w14:paraId="6BEFB8F4">
                  <w:pPr>
                    <w:jc w:val="center"/>
                    <w:rPr>
                      <w:bCs/>
                      <w:color w:val="auto"/>
                      <w:sz w:val="18"/>
                      <w:szCs w:val="18"/>
                      <w:lang w:val="zh-CN"/>
                    </w:rPr>
                  </w:pPr>
                </w:p>
              </w:tc>
              <w:tc>
                <w:tcPr>
                  <w:tcW w:w="561" w:type="pct"/>
                  <w:tcBorders>
                    <w:right w:val="nil"/>
                  </w:tcBorders>
                  <w:shd w:val="clear" w:color="auto" w:fill="FFFFFF"/>
                  <w:vAlign w:val="center"/>
                </w:tcPr>
                <w:p w14:paraId="6697567C">
                  <w:pPr>
                    <w:jc w:val="center"/>
                    <w:rPr>
                      <w:bCs/>
                      <w:color w:val="auto"/>
                      <w:sz w:val="18"/>
                      <w:szCs w:val="18"/>
                      <w:lang w:val="zh-CN"/>
                    </w:rPr>
                  </w:pPr>
                </w:p>
              </w:tc>
            </w:tr>
            <w:tr w14:paraId="46F3E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751" w:type="pct"/>
                  <w:vMerge w:val="continue"/>
                  <w:tcBorders>
                    <w:left w:val="nil"/>
                  </w:tcBorders>
                  <w:shd w:val="clear" w:color="auto" w:fill="FFFFFF"/>
                  <w:vAlign w:val="center"/>
                </w:tcPr>
                <w:p w14:paraId="12E7BF00">
                  <w:pPr>
                    <w:jc w:val="center"/>
                    <w:rPr>
                      <w:bCs/>
                      <w:color w:val="auto"/>
                      <w:sz w:val="18"/>
                      <w:szCs w:val="18"/>
                      <w:lang w:val="zh-CN"/>
                    </w:rPr>
                  </w:pPr>
                </w:p>
              </w:tc>
              <w:tc>
                <w:tcPr>
                  <w:tcW w:w="736" w:type="pct"/>
                  <w:shd w:val="clear" w:color="auto" w:fill="FFFFFF"/>
                  <w:vAlign w:val="center"/>
                </w:tcPr>
                <w:p w14:paraId="5F9719EC">
                  <w:pPr>
                    <w:jc w:val="center"/>
                    <w:rPr>
                      <w:bCs/>
                      <w:color w:val="auto"/>
                      <w:sz w:val="18"/>
                      <w:szCs w:val="18"/>
                      <w:lang w:val="zh-CN"/>
                    </w:rPr>
                  </w:pPr>
                </w:p>
              </w:tc>
              <w:tc>
                <w:tcPr>
                  <w:tcW w:w="630" w:type="pct"/>
                  <w:shd w:val="clear" w:color="auto" w:fill="FFFFFF"/>
                  <w:noWrap/>
                  <w:vAlign w:val="center"/>
                </w:tcPr>
                <w:p w14:paraId="42CA520B">
                  <w:pPr>
                    <w:jc w:val="center"/>
                    <w:rPr>
                      <w:color w:val="auto"/>
                      <w:sz w:val="18"/>
                      <w:szCs w:val="18"/>
                    </w:rPr>
                  </w:pPr>
                </w:p>
              </w:tc>
              <w:tc>
                <w:tcPr>
                  <w:tcW w:w="1197" w:type="pct"/>
                  <w:shd w:val="clear" w:color="auto" w:fill="FFFFFF"/>
                  <w:vAlign w:val="center"/>
                </w:tcPr>
                <w:p w14:paraId="66BA4BA2">
                  <w:pPr>
                    <w:jc w:val="center"/>
                    <w:rPr>
                      <w:bCs/>
                      <w:color w:val="auto"/>
                      <w:sz w:val="18"/>
                      <w:szCs w:val="18"/>
                      <w:lang w:val="zh-CN"/>
                    </w:rPr>
                  </w:pPr>
                </w:p>
              </w:tc>
              <w:tc>
                <w:tcPr>
                  <w:tcW w:w="561" w:type="pct"/>
                  <w:shd w:val="clear" w:color="auto" w:fill="FFFFFF"/>
                  <w:vAlign w:val="center"/>
                </w:tcPr>
                <w:p w14:paraId="13F46550">
                  <w:pPr>
                    <w:jc w:val="center"/>
                    <w:rPr>
                      <w:bCs/>
                      <w:color w:val="auto"/>
                      <w:sz w:val="18"/>
                      <w:szCs w:val="18"/>
                    </w:rPr>
                  </w:pPr>
                </w:p>
              </w:tc>
              <w:tc>
                <w:tcPr>
                  <w:tcW w:w="561" w:type="pct"/>
                  <w:shd w:val="clear" w:color="auto" w:fill="FFFFFF"/>
                  <w:vAlign w:val="center"/>
                </w:tcPr>
                <w:p w14:paraId="21DF7146">
                  <w:pPr>
                    <w:jc w:val="center"/>
                    <w:rPr>
                      <w:bCs/>
                      <w:color w:val="auto"/>
                      <w:sz w:val="18"/>
                      <w:szCs w:val="18"/>
                      <w:lang w:val="zh-CN"/>
                    </w:rPr>
                  </w:pPr>
                </w:p>
              </w:tc>
              <w:tc>
                <w:tcPr>
                  <w:tcW w:w="561" w:type="pct"/>
                  <w:tcBorders>
                    <w:right w:val="nil"/>
                  </w:tcBorders>
                  <w:shd w:val="clear" w:color="auto" w:fill="FFFFFF"/>
                  <w:vAlign w:val="center"/>
                </w:tcPr>
                <w:p w14:paraId="140961A6">
                  <w:pPr>
                    <w:jc w:val="center"/>
                    <w:rPr>
                      <w:bCs/>
                      <w:color w:val="auto"/>
                      <w:sz w:val="18"/>
                      <w:szCs w:val="18"/>
                      <w:lang w:val="zh-CN"/>
                    </w:rPr>
                  </w:pPr>
                </w:p>
              </w:tc>
            </w:tr>
            <w:tr w14:paraId="0633B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751" w:type="pct"/>
                  <w:vMerge w:val="continue"/>
                  <w:tcBorders>
                    <w:left w:val="nil"/>
                  </w:tcBorders>
                  <w:shd w:val="clear" w:color="auto" w:fill="FFFFFF"/>
                  <w:vAlign w:val="center"/>
                </w:tcPr>
                <w:p w14:paraId="1515BDE1">
                  <w:pPr>
                    <w:jc w:val="center"/>
                    <w:rPr>
                      <w:bCs/>
                      <w:color w:val="auto"/>
                      <w:sz w:val="18"/>
                      <w:szCs w:val="18"/>
                      <w:lang w:val="zh-CN"/>
                    </w:rPr>
                  </w:pPr>
                </w:p>
              </w:tc>
              <w:tc>
                <w:tcPr>
                  <w:tcW w:w="736" w:type="pct"/>
                  <w:shd w:val="clear" w:color="auto" w:fill="FFFFFF"/>
                  <w:vAlign w:val="center"/>
                </w:tcPr>
                <w:p w14:paraId="7E2221D9">
                  <w:pPr>
                    <w:jc w:val="center"/>
                    <w:rPr>
                      <w:bCs/>
                      <w:color w:val="auto"/>
                      <w:sz w:val="18"/>
                      <w:szCs w:val="18"/>
                      <w:lang w:val="zh-CN"/>
                    </w:rPr>
                  </w:pPr>
                </w:p>
              </w:tc>
              <w:tc>
                <w:tcPr>
                  <w:tcW w:w="630" w:type="pct"/>
                  <w:shd w:val="clear" w:color="auto" w:fill="FFFFFF"/>
                  <w:noWrap/>
                  <w:vAlign w:val="center"/>
                </w:tcPr>
                <w:p w14:paraId="7E797C1D">
                  <w:pPr>
                    <w:jc w:val="center"/>
                    <w:rPr>
                      <w:color w:val="auto"/>
                      <w:sz w:val="18"/>
                      <w:szCs w:val="18"/>
                    </w:rPr>
                  </w:pPr>
                </w:p>
              </w:tc>
              <w:tc>
                <w:tcPr>
                  <w:tcW w:w="1197" w:type="pct"/>
                  <w:shd w:val="clear" w:color="auto" w:fill="FFFFFF"/>
                  <w:vAlign w:val="center"/>
                </w:tcPr>
                <w:p w14:paraId="159B4F29">
                  <w:pPr>
                    <w:jc w:val="center"/>
                    <w:rPr>
                      <w:bCs/>
                      <w:color w:val="auto"/>
                      <w:sz w:val="18"/>
                      <w:szCs w:val="18"/>
                      <w:lang w:val="zh-CN"/>
                    </w:rPr>
                  </w:pPr>
                </w:p>
              </w:tc>
              <w:tc>
                <w:tcPr>
                  <w:tcW w:w="561" w:type="pct"/>
                  <w:shd w:val="clear" w:color="auto" w:fill="FFFFFF"/>
                  <w:vAlign w:val="center"/>
                </w:tcPr>
                <w:p w14:paraId="02389DA8">
                  <w:pPr>
                    <w:jc w:val="center"/>
                    <w:rPr>
                      <w:bCs/>
                      <w:color w:val="auto"/>
                      <w:sz w:val="18"/>
                      <w:szCs w:val="18"/>
                    </w:rPr>
                  </w:pPr>
                </w:p>
              </w:tc>
              <w:tc>
                <w:tcPr>
                  <w:tcW w:w="561" w:type="pct"/>
                  <w:shd w:val="clear" w:color="auto" w:fill="FFFFFF"/>
                  <w:vAlign w:val="center"/>
                </w:tcPr>
                <w:p w14:paraId="5104EDA1">
                  <w:pPr>
                    <w:jc w:val="center"/>
                    <w:rPr>
                      <w:bCs/>
                      <w:color w:val="auto"/>
                      <w:sz w:val="18"/>
                      <w:szCs w:val="18"/>
                      <w:lang w:val="zh-CN"/>
                    </w:rPr>
                  </w:pPr>
                </w:p>
              </w:tc>
              <w:tc>
                <w:tcPr>
                  <w:tcW w:w="561" w:type="pct"/>
                  <w:tcBorders>
                    <w:right w:val="nil"/>
                  </w:tcBorders>
                  <w:shd w:val="clear" w:color="auto" w:fill="FFFFFF"/>
                  <w:vAlign w:val="center"/>
                </w:tcPr>
                <w:p w14:paraId="451D0ACA">
                  <w:pPr>
                    <w:jc w:val="center"/>
                    <w:rPr>
                      <w:bCs/>
                      <w:color w:val="auto"/>
                      <w:sz w:val="18"/>
                      <w:szCs w:val="18"/>
                      <w:lang w:val="zh-CN"/>
                    </w:rPr>
                  </w:pPr>
                </w:p>
              </w:tc>
            </w:tr>
            <w:tr w14:paraId="77ED2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751" w:type="pct"/>
                  <w:vMerge w:val="continue"/>
                  <w:tcBorders>
                    <w:left w:val="nil"/>
                  </w:tcBorders>
                  <w:shd w:val="clear" w:color="auto" w:fill="FFFFFF"/>
                  <w:vAlign w:val="center"/>
                </w:tcPr>
                <w:p w14:paraId="08B10E98">
                  <w:pPr>
                    <w:jc w:val="center"/>
                    <w:rPr>
                      <w:bCs/>
                      <w:color w:val="auto"/>
                      <w:sz w:val="18"/>
                      <w:szCs w:val="18"/>
                      <w:lang w:val="zh-CN"/>
                    </w:rPr>
                  </w:pPr>
                </w:p>
              </w:tc>
              <w:tc>
                <w:tcPr>
                  <w:tcW w:w="736" w:type="pct"/>
                  <w:shd w:val="clear" w:color="auto" w:fill="FFFFFF"/>
                  <w:vAlign w:val="center"/>
                </w:tcPr>
                <w:p w14:paraId="0B898190">
                  <w:pPr>
                    <w:jc w:val="center"/>
                    <w:rPr>
                      <w:bCs/>
                      <w:color w:val="auto"/>
                      <w:sz w:val="18"/>
                      <w:szCs w:val="18"/>
                      <w:lang w:val="zh-CN"/>
                    </w:rPr>
                  </w:pPr>
                </w:p>
              </w:tc>
              <w:tc>
                <w:tcPr>
                  <w:tcW w:w="630" w:type="pct"/>
                  <w:shd w:val="clear" w:color="auto" w:fill="FFFFFF"/>
                  <w:noWrap/>
                  <w:vAlign w:val="center"/>
                </w:tcPr>
                <w:p w14:paraId="353C2876">
                  <w:pPr>
                    <w:jc w:val="center"/>
                    <w:rPr>
                      <w:bCs/>
                      <w:color w:val="auto"/>
                      <w:sz w:val="18"/>
                      <w:szCs w:val="18"/>
                      <w:lang w:val="zh-CN"/>
                    </w:rPr>
                  </w:pPr>
                </w:p>
              </w:tc>
              <w:tc>
                <w:tcPr>
                  <w:tcW w:w="1197" w:type="pct"/>
                  <w:shd w:val="clear" w:color="auto" w:fill="FFFFFF"/>
                  <w:vAlign w:val="center"/>
                </w:tcPr>
                <w:p w14:paraId="5FE904B7">
                  <w:pPr>
                    <w:jc w:val="center"/>
                    <w:rPr>
                      <w:bCs/>
                      <w:color w:val="auto"/>
                      <w:sz w:val="18"/>
                      <w:szCs w:val="18"/>
                      <w:lang w:val="zh-CN"/>
                    </w:rPr>
                  </w:pPr>
                </w:p>
              </w:tc>
              <w:tc>
                <w:tcPr>
                  <w:tcW w:w="561" w:type="pct"/>
                  <w:shd w:val="clear" w:color="auto" w:fill="FFFFFF"/>
                  <w:vAlign w:val="center"/>
                </w:tcPr>
                <w:p w14:paraId="0966D61F">
                  <w:pPr>
                    <w:jc w:val="center"/>
                    <w:rPr>
                      <w:bCs/>
                      <w:color w:val="auto"/>
                      <w:sz w:val="18"/>
                      <w:szCs w:val="18"/>
                    </w:rPr>
                  </w:pPr>
                </w:p>
              </w:tc>
              <w:tc>
                <w:tcPr>
                  <w:tcW w:w="561" w:type="pct"/>
                  <w:shd w:val="clear" w:color="auto" w:fill="FFFFFF"/>
                  <w:vAlign w:val="center"/>
                </w:tcPr>
                <w:p w14:paraId="49311D7B">
                  <w:pPr>
                    <w:jc w:val="center"/>
                    <w:rPr>
                      <w:bCs/>
                      <w:color w:val="auto"/>
                      <w:sz w:val="18"/>
                      <w:szCs w:val="18"/>
                      <w:lang w:val="zh-CN"/>
                    </w:rPr>
                  </w:pPr>
                </w:p>
              </w:tc>
              <w:tc>
                <w:tcPr>
                  <w:tcW w:w="561" w:type="pct"/>
                  <w:tcBorders>
                    <w:right w:val="nil"/>
                  </w:tcBorders>
                  <w:shd w:val="clear" w:color="auto" w:fill="FFFFFF"/>
                  <w:vAlign w:val="center"/>
                </w:tcPr>
                <w:p w14:paraId="7C44D6B0">
                  <w:pPr>
                    <w:jc w:val="center"/>
                    <w:rPr>
                      <w:bCs/>
                      <w:color w:val="auto"/>
                      <w:sz w:val="18"/>
                      <w:szCs w:val="18"/>
                      <w:lang w:val="zh-CN"/>
                    </w:rPr>
                  </w:pPr>
                </w:p>
              </w:tc>
            </w:tr>
            <w:tr w14:paraId="58942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751" w:type="pct"/>
                  <w:vMerge w:val="continue"/>
                  <w:tcBorders>
                    <w:left w:val="nil"/>
                  </w:tcBorders>
                  <w:shd w:val="clear" w:color="auto" w:fill="FFFFFF"/>
                  <w:vAlign w:val="center"/>
                </w:tcPr>
                <w:p w14:paraId="6081879D">
                  <w:pPr>
                    <w:jc w:val="center"/>
                    <w:rPr>
                      <w:bCs/>
                      <w:color w:val="auto"/>
                      <w:sz w:val="18"/>
                      <w:szCs w:val="18"/>
                      <w:lang w:val="zh-CN"/>
                    </w:rPr>
                  </w:pPr>
                </w:p>
              </w:tc>
              <w:tc>
                <w:tcPr>
                  <w:tcW w:w="736" w:type="pct"/>
                  <w:shd w:val="clear" w:color="auto" w:fill="FFFFFF"/>
                  <w:vAlign w:val="center"/>
                </w:tcPr>
                <w:p w14:paraId="643C8127">
                  <w:pPr>
                    <w:jc w:val="center"/>
                    <w:rPr>
                      <w:bCs/>
                      <w:color w:val="auto"/>
                      <w:sz w:val="18"/>
                      <w:szCs w:val="18"/>
                      <w:lang w:val="zh-CN"/>
                    </w:rPr>
                  </w:pPr>
                </w:p>
              </w:tc>
              <w:tc>
                <w:tcPr>
                  <w:tcW w:w="630" w:type="pct"/>
                  <w:shd w:val="clear" w:color="auto" w:fill="FFFFFF"/>
                  <w:noWrap/>
                  <w:vAlign w:val="center"/>
                </w:tcPr>
                <w:p w14:paraId="00339D53">
                  <w:pPr>
                    <w:jc w:val="center"/>
                    <w:rPr>
                      <w:color w:val="auto"/>
                      <w:sz w:val="18"/>
                      <w:szCs w:val="18"/>
                    </w:rPr>
                  </w:pPr>
                </w:p>
              </w:tc>
              <w:tc>
                <w:tcPr>
                  <w:tcW w:w="1197" w:type="pct"/>
                  <w:shd w:val="clear" w:color="auto" w:fill="FFFFFF"/>
                  <w:vAlign w:val="center"/>
                </w:tcPr>
                <w:p w14:paraId="572718B2">
                  <w:pPr>
                    <w:jc w:val="center"/>
                    <w:rPr>
                      <w:bCs/>
                      <w:color w:val="auto"/>
                      <w:sz w:val="18"/>
                      <w:szCs w:val="18"/>
                      <w:lang w:val="zh-CN"/>
                    </w:rPr>
                  </w:pPr>
                </w:p>
              </w:tc>
              <w:tc>
                <w:tcPr>
                  <w:tcW w:w="561" w:type="pct"/>
                  <w:shd w:val="clear" w:color="auto" w:fill="FFFFFF"/>
                  <w:vAlign w:val="center"/>
                </w:tcPr>
                <w:p w14:paraId="11EB5091">
                  <w:pPr>
                    <w:jc w:val="center"/>
                    <w:rPr>
                      <w:bCs/>
                      <w:color w:val="auto"/>
                      <w:sz w:val="18"/>
                      <w:szCs w:val="18"/>
                    </w:rPr>
                  </w:pPr>
                </w:p>
              </w:tc>
              <w:tc>
                <w:tcPr>
                  <w:tcW w:w="561" w:type="pct"/>
                  <w:shd w:val="clear" w:color="auto" w:fill="FFFFFF"/>
                  <w:vAlign w:val="center"/>
                </w:tcPr>
                <w:p w14:paraId="0B7E7BC2">
                  <w:pPr>
                    <w:jc w:val="center"/>
                    <w:rPr>
                      <w:bCs/>
                      <w:color w:val="auto"/>
                      <w:sz w:val="18"/>
                      <w:szCs w:val="18"/>
                      <w:lang w:val="zh-CN"/>
                    </w:rPr>
                  </w:pPr>
                </w:p>
              </w:tc>
              <w:tc>
                <w:tcPr>
                  <w:tcW w:w="561" w:type="pct"/>
                  <w:tcBorders>
                    <w:right w:val="nil"/>
                  </w:tcBorders>
                  <w:shd w:val="clear" w:color="auto" w:fill="FFFFFF"/>
                  <w:vAlign w:val="center"/>
                </w:tcPr>
                <w:p w14:paraId="0E5E73FB">
                  <w:pPr>
                    <w:jc w:val="center"/>
                    <w:rPr>
                      <w:bCs/>
                      <w:color w:val="auto"/>
                      <w:sz w:val="18"/>
                      <w:szCs w:val="18"/>
                      <w:lang w:val="zh-CN"/>
                    </w:rPr>
                  </w:pPr>
                </w:p>
              </w:tc>
            </w:tr>
            <w:tr w14:paraId="0A4D3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751" w:type="pct"/>
                  <w:vMerge w:val="restart"/>
                  <w:tcBorders>
                    <w:left w:val="nil"/>
                  </w:tcBorders>
                  <w:shd w:val="clear" w:color="auto" w:fill="FFFFFF"/>
                  <w:vAlign w:val="center"/>
                </w:tcPr>
                <w:p w14:paraId="46CF23E0">
                  <w:pPr>
                    <w:jc w:val="center"/>
                    <w:rPr>
                      <w:bCs/>
                      <w:color w:val="auto"/>
                      <w:sz w:val="18"/>
                      <w:szCs w:val="18"/>
                      <w:lang w:val="zh-CN"/>
                    </w:rPr>
                  </w:pPr>
                </w:p>
              </w:tc>
              <w:tc>
                <w:tcPr>
                  <w:tcW w:w="736" w:type="pct"/>
                  <w:shd w:val="clear" w:color="auto" w:fill="FFFFFF"/>
                  <w:vAlign w:val="center"/>
                </w:tcPr>
                <w:p w14:paraId="13A011BC">
                  <w:pPr>
                    <w:jc w:val="center"/>
                    <w:rPr>
                      <w:bCs/>
                      <w:color w:val="auto"/>
                      <w:sz w:val="18"/>
                      <w:szCs w:val="18"/>
                      <w:lang w:val="zh-CN"/>
                    </w:rPr>
                  </w:pPr>
                </w:p>
              </w:tc>
              <w:tc>
                <w:tcPr>
                  <w:tcW w:w="630" w:type="pct"/>
                  <w:shd w:val="clear" w:color="auto" w:fill="FFFFFF"/>
                  <w:noWrap/>
                  <w:vAlign w:val="center"/>
                </w:tcPr>
                <w:p w14:paraId="7ED5061A">
                  <w:pPr>
                    <w:jc w:val="center"/>
                    <w:rPr>
                      <w:bCs/>
                      <w:color w:val="auto"/>
                      <w:sz w:val="18"/>
                      <w:szCs w:val="18"/>
                      <w:lang w:val="zh-CN"/>
                    </w:rPr>
                  </w:pPr>
                </w:p>
              </w:tc>
              <w:tc>
                <w:tcPr>
                  <w:tcW w:w="1197" w:type="pct"/>
                  <w:shd w:val="clear" w:color="auto" w:fill="FFFFFF"/>
                  <w:vAlign w:val="center"/>
                </w:tcPr>
                <w:p w14:paraId="4D58051C">
                  <w:pPr>
                    <w:jc w:val="center"/>
                    <w:rPr>
                      <w:bCs/>
                      <w:color w:val="auto"/>
                      <w:sz w:val="18"/>
                      <w:szCs w:val="18"/>
                      <w:lang w:val="zh-CN"/>
                    </w:rPr>
                  </w:pPr>
                </w:p>
              </w:tc>
              <w:tc>
                <w:tcPr>
                  <w:tcW w:w="561" w:type="pct"/>
                  <w:shd w:val="clear" w:color="auto" w:fill="FFFFFF"/>
                  <w:vAlign w:val="center"/>
                </w:tcPr>
                <w:p w14:paraId="44C8F224">
                  <w:pPr>
                    <w:jc w:val="center"/>
                    <w:rPr>
                      <w:bCs/>
                      <w:color w:val="auto"/>
                      <w:sz w:val="18"/>
                      <w:szCs w:val="18"/>
                    </w:rPr>
                  </w:pPr>
                </w:p>
              </w:tc>
              <w:tc>
                <w:tcPr>
                  <w:tcW w:w="561" w:type="pct"/>
                  <w:shd w:val="clear" w:color="auto" w:fill="FFFFFF"/>
                  <w:vAlign w:val="center"/>
                </w:tcPr>
                <w:p w14:paraId="6BFE294A">
                  <w:pPr>
                    <w:jc w:val="center"/>
                    <w:rPr>
                      <w:bCs/>
                      <w:color w:val="auto"/>
                      <w:sz w:val="18"/>
                      <w:szCs w:val="18"/>
                      <w:lang w:val="zh-CN"/>
                    </w:rPr>
                  </w:pPr>
                </w:p>
              </w:tc>
              <w:tc>
                <w:tcPr>
                  <w:tcW w:w="561" w:type="pct"/>
                  <w:tcBorders>
                    <w:right w:val="nil"/>
                  </w:tcBorders>
                  <w:shd w:val="clear" w:color="auto" w:fill="FFFFFF"/>
                  <w:vAlign w:val="center"/>
                </w:tcPr>
                <w:p w14:paraId="1082F066">
                  <w:pPr>
                    <w:jc w:val="center"/>
                    <w:rPr>
                      <w:bCs/>
                      <w:color w:val="auto"/>
                      <w:sz w:val="18"/>
                      <w:szCs w:val="18"/>
                      <w:lang w:val="zh-CN"/>
                    </w:rPr>
                  </w:pPr>
                </w:p>
              </w:tc>
            </w:tr>
            <w:tr w14:paraId="0DA1A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751" w:type="pct"/>
                  <w:vMerge w:val="continue"/>
                  <w:tcBorders>
                    <w:left w:val="nil"/>
                  </w:tcBorders>
                  <w:shd w:val="clear" w:color="auto" w:fill="FFFFFF"/>
                  <w:vAlign w:val="center"/>
                </w:tcPr>
                <w:p w14:paraId="504D1113">
                  <w:pPr>
                    <w:jc w:val="center"/>
                    <w:rPr>
                      <w:bCs/>
                      <w:color w:val="auto"/>
                      <w:sz w:val="18"/>
                      <w:szCs w:val="18"/>
                      <w:lang w:val="zh-CN"/>
                    </w:rPr>
                  </w:pPr>
                </w:p>
              </w:tc>
              <w:tc>
                <w:tcPr>
                  <w:tcW w:w="736" w:type="pct"/>
                  <w:shd w:val="clear" w:color="auto" w:fill="FFFFFF"/>
                  <w:vAlign w:val="center"/>
                </w:tcPr>
                <w:p w14:paraId="3794E24A">
                  <w:pPr>
                    <w:jc w:val="center"/>
                    <w:rPr>
                      <w:bCs/>
                      <w:color w:val="auto"/>
                      <w:sz w:val="18"/>
                      <w:szCs w:val="18"/>
                      <w:lang w:val="zh-CN"/>
                    </w:rPr>
                  </w:pPr>
                </w:p>
              </w:tc>
              <w:tc>
                <w:tcPr>
                  <w:tcW w:w="630" w:type="pct"/>
                  <w:shd w:val="clear" w:color="auto" w:fill="FFFFFF"/>
                  <w:noWrap/>
                  <w:vAlign w:val="center"/>
                </w:tcPr>
                <w:p w14:paraId="65BA094C">
                  <w:pPr>
                    <w:jc w:val="center"/>
                    <w:rPr>
                      <w:color w:val="auto"/>
                      <w:sz w:val="18"/>
                      <w:szCs w:val="18"/>
                    </w:rPr>
                  </w:pPr>
                </w:p>
              </w:tc>
              <w:tc>
                <w:tcPr>
                  <w:tcW w:w="1197" w:type="pct"/>
                  <w:shd w:val="clear" w:color="auto" w:fill="FFFFFF"/>
                  <w:vAlign w:val="center"/>
                </w:tcPr>
                <w:p w14:paraId="2D038F56">
                  <w:pPr>
                    <w:jc w:val="center"/>
                    <w:rPr>
                      <w:bCs/>
                      <w:color w:val="auto"/>
                      <w:sz w:val="18"/>
                      <w:szCs w:val="18"/>
                      <w:lang w:val="zh-CN"/>
                    </w:rPr>
                  </w:pPr>
                </w:p>
              </w:tc>
              <w:tc>
                <w:tcPr>
                  <w:tcW w:w="561" w:type="pct"/>
                  <w:shd w:val="clear" w:color="auto" w:fill="FFFFFF"/>
                  <w:vAlign w:val="center"/>
                </w:tcPr>
                <w:p w14:paraId="7C9EB134">
                  <w:pPr>
                    <w:jc w:val="center"/>
                    <w:rPr>
                      <w:bCs/>
                      <w:color w:val="auto"/>
                      <w:sz w:val="18"/>
                      <w:szCs w:val="18"/>
                    </w:rPr>
                  </w:pPr>
                </w:p>
              </w:tc>
              <w:tc>
                <w:tcPr>
                  <w:tcW w:w="561" w:type="pct"/>
                  <w:shd w:val="clear" w:color="auto" w:fill="FFFFFF"/>
                  <w:vAlign w:val="center"/>
                </w:tcPr>
                <w:p w14:paraId="6F01055C">
                  <w:pPr>
                    <w:jc w:val="center"/>
                    <w:rPr>
                      <w:bCs/>
                      <w:color w:val="auto"/>
                      <w:sz w:val="18"/>
                      <w:szCs w:val="18"/>
                      <w:lang w:val="zh-CN"/>
                    </w:rPr>
                  </w:pPr>
                </w:p>
              </w:tc>
              <w:tc>
                <w:tcPr>
                  <w:tcW w:w="561" w:type="pct"/>
                  <w:tcBorders>
                    <w:right w:val="nil"/>
                  </w:tcBorders>
                  <w:shd w:val="clear" w:color="auto" w:fill="FFFFFF"/>
                  <w:vAlign w:val="center"/>
                </w:tcPr>
                <w:p w14:paraId="153782CD">
                  <w:pPr>
                    <w:jc w:val="center"/>
                    <w:rPr>
                      <w:bCs/>
                      <w:color w:val="auto"/>
                      <w:sz w:val="18"/>
                      <w:szCs w:val="18"/>
                      <w:lang w:val="zh-CN"/>
                    </w:rPr>
                  </w:pPr>
                </w:p>
              </w:tc>
            </w:tr>
            <w:tr w14:paraId="658A6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751" w:type="pct"/>
                  <w:vMerge w:val="continue"/>
                  <w:tcBorders>
                    <w:left w:val="nil"/>
                  </w:tcBorders>
                  <w:shd w:val="clear" w:color="auto" w:fill="FFFFFF"/>
                  <w:vAlign w:val="center"/>
                </w:tcPr>
                <w:p w14:paraId="0D906B24">
                  <w:pPr>
                    <w:jc w:val="center"/>
                    <w:rPr>
                      <w:bCs/>
                      <w:color w:val="auto"/>
                      <w:sz w:val="18"/>
                      <w:szCs w:val="18"/>
                      <w:lang w:val="zh-CN"/>
                    </w:rPr>
                  </w:pPr>
                </w:p>
              </w:tc>
              <w:tc>
                <w:tcPr>
                  <w:tcW w:w="736" w:type="pct"/>
                  <w:shd w:val="clear" w:color="auto" w:fill="FFFFFF"/>
                  <w:vAlign w:val="center"/>
                </w:tcPr>
                <w:p w14:paraId="786B0A22">
                  <w:pPr>
                    <w:jc w:val="center"/>
                    <w:rPr>
                      <w:bCs/>
                      <w:color w:val="auto"/>
                      <w:sz w:val="18"/>
                      <w:szCs w:val="18"/>
                      <w:lang w:val="zh-CN"/>
                    </w:rPr>
                  </w:pPr>
                </w:p>
              </w:tc>
              <w:tc>
                <w:tcPr>
                  <w:tcW w:w="630" w:type="pct"/>
                  <w:shd w:val="clear" w:color="auto" w:fill="FFFFFF"/>
                  <w:noWrap/>
                  <w:vAlign w:val="center"/>
                </w:tcPr>
                <w:p w14:paraId="3D70B42F">
                  <w:pPr>
                    <w:jc w:val="center"/>
                    <w:rPr>
                      <w:color w:val="auto"/>
                      <w:sz w:val="18"/>
                      <w:szCs w:val="18"/>
                    </w:rPr>
                  </w:pPr>
                </w:p>
              </w:tc>
              <w:tc>
                <w:tcPr>
                  <w:tcW w:w="1197" w:type="pct"/>
                  <w:shd w:val="clear" w:color="auto" w:fill="FFFFFF"/>
                  <w:vAlign w:val="center"/>
                </w:tcPr>
                <w:p w14:paraId="27BD5667">
                  <w:pPr>
                    <w:jc w:val="center"/>
                    <w:rPr>
                      <w:bCs/>
                      <w:color w:val="auto"/>
                      <w:sz w:val="18"/>
                      <w:szCs w:val="18"/>
                      <w:lang w:val="zh-CN"/>
                    </w:rPr>
                  </w:pPr>
                </w:p>
              </w:tc>
              <w:tc>
                <w:tcPr>
                  <w:tcW w:w="561" w:type="pct"/>
                  <w:shd w:val="clear" w:color="auto" w:fill="FFFFFF"/>
                  <w:vAlign w:val="center"/>
                </w:tcPr>
                <w:p w14:paraId="25A87367">
                  <w:pPr>
                    <w:jc w:val="center"/>
                    <w:rPr>
                      <w:bCs/>
                      <w:color w:val="auto"/>
                      <w:sz w:val="18"/>
                      <w:szCs w:val="18"/>
                    </w:rPr>
                  </w:pPr>
                </w:p>
              </w:tc>
              <w:tc>
                <w:tcPr>
                  <w:tcW w:w="561" w:type="pct"/>
                  <w:shd w:val="clear" w:color="auto" w:fill="FFFFFF"/>
                  <w:vAlign w:val="center"/>
                </w:tcPr>
                <w:p w14:paraId="4A6002EB">
                  <w:pPr>
                    <w:jc w:val="center"/>
                    <w:rPr>
                      <w:bCs/>
                      <w:color w:val="auto"/>
                      <w:sz w:val="18"/>
                      <w:szCs w:val="18"/>
                      <w:lang w:val="zh-CN"/>
                    </w:rPr>
                  </w:pPr>
                </w:p>
              </w:tc>
              <w:tc>
                <w:tcPr>
                  <w:tcW w:w="561" w:type="pct"/>
                  <w:tcBorders>
                    <w:right w:val="nil"/>
                  </w:tcBorders>
                  <w:shd w:val="clear" w:color="auto" w:fill="FFFFFF"/>
                  <w:vAlign w:val="center"/>
                </w:tcPr>
                <w:p w14:paraId="605CDCAB">
                  <w:pPr>
                    <w:jc w:val="center"/>
                    <w:rPr>
                      <w:bCs/>
                      <w:color w:val="auto"/>
                      <w:sz w:val="18"/>
                      <w:szCs w:val="18"/>
                      <w:lang w:val="zh-CN"/>
                    </w:rPr>
                  </w:pPr>
                </w:p>
              </w:tc>
            </w:tr>
            <w:tr w14:paraId="7D818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751" w:type="pct"/>
                  <w:vMerge w:val="continue"/>
                  <w:tcBorders>
                    <w:left w:val="nil"/>
                  </w:tcBorders>
                  <w:shd w:val="clear" w:color="auto" w:fill="FFFFFF"/>
                  <w:vAlign w:val="center"/>
                </w:tcPr>
                <w:p w14:paraId="0A1758CD">
                  <w:pPr>
                    <w:jc w:val="center"/>
                    <w:rPr>
                      <w:bCs/>
                      <w:color w:val="auto"/>
                      <w:sz w:val="18"/>
                      <w:szCs w:val="18"/>
                      <w:lang w:val="zh-CN"/>
                    </w:rPr>
                  </w:pPr>
                </w:p>
              </w:tc>
              <w:tc>
                <w:tcPr>
                  <w:tcW w:w="736" w:type="pct"/>
                  <w:shd w:val="clear" w:color="auto" w:fill="FFFFFF"/>
                  <w:vAlign w:val="center"/>
                </w:tcPr>
                <w:p w14:paraId="3CB662E6">
                  <w:pPr>
                    <w:jc w:val="center"/>
                    <w:rPr>
                      <w:bCs/>
                      <w:color w:val="auto"/>
                      <w:sz w:val="18"/>
                      <w:szCs w:val="18"/>
                      <w:lang w:val="zh-CN"/>
                    </w:rPr>
                  </w:pPr>
                </w:p>
              </w:tc>
              <w:tc>
                <w:tcPr>
                  <w:tcW w:w="630" w:type="pct"/>
                  <w:shd w:val="clear" w:color="auto" w:fill="FFFFFF"/>
                  <w:noWrap/>
                  <w:vAlign w:val="center"/>
                </w:tcPr>
                <w:p w14:paraId="3BFCF4C3">
                  <w:pPr>
                    <w:jc w:val="center"/>
                    <w:rPr>
                      <w:color w:val="auto"/>
                      <w:sz w:val="18"/>
                      <w:szCs w:val="18"/>
                    </w:rPr>
                  </w:pPr>
                </w:p>
              </w:tc>
              <w:tc>
                <w:tcPr>
                  <w:tcW w:w="1197" w:type="pct"/>
                  <w:shd w:val="clear" w:color="auto" w:fill="FFFFFF"/>
                  <w:vAlign w:val="center"/>
                </w:tcPr>
                <w:p w14:paraId="7246A332">
                  <w:pPr>
                    <w:jc w:val="center"/>
                    <w:rPr>
                      <w:bCs/>
                      <w:color w:val="auto"/>
                      <w:sz w:val="18"/>
                      <w:szCs w:val="18"/>
                      <w:lang w:val="zh-CN"/>
                    </w:rPr>
                  </w:pPr>
                </w:p>
              </w:tc>
              <w:tc>
                <w:tcPr>
                  <w:tcW w:w="561" w:type="pct"/>
                  <w:shd w:val="clear" w:color="auto" w:fill="FFFFFF"/>
                  <w:vAlign w:val="center"/>
                </w:tcPr>
                <w:p w14:paraId="1AEFA483">
                  <w:pPr>
                    <w:jc w:val="center"/>
                    <w:rPr>
                      <w:bCs/>
                      <w:color w:val="auto"/>
                      <w:sz w:val="18"/>
                      <w:szCs w:val="18"/>
                    </w:rPr>
                  </w:pPr>
                </w:p>
              </w:tc>
              <w:tc>
                <w:tcPr>
                  <w:tcW w:w="561" w:type="pct"/>
                  <w:shd w:val="clear" w:color="auto" w:fill="FFFFFF"/>
                  <w:vAlign w:val="center"/>
                </w:tcPr>
                <w:p w14:paraId="7686E611">
                  <w:pPr>
                    <w:jc w:val="center"/>
                    <w:rPr>
                      <w:bCs/>
                      <w:color w:val="auto"/>
                      <w:sz w:val="18"/>
                      <w:szCs w:val="18"/>
                      <w:lang w:val="zh-CN"/>
                    </w:rPr>
                  </w:pPr>
                </w:p>
              </w:tc>
              <w:tc>
                <w:tcPr>
                  <w:tcW w:w="561" w:type="pct"/>
                  <w:tcBorders>
                    <w:right w:val="nil"/>
                  </w:tcBorders>
                  <w:shd w:val="clear" w:color="auto" w:fill="FFFFFF"/>
                  <w:vAlign w:val="center"/>
                </w:tcPr>
                <w:p w14:paraId="30350806">
                  <w:pPr>
                    <w:jc w:val="center"/>
                    <w:rPr>
                      <w:bCs/>
                      <w:color w:val="auto"/>
                      <w:sz w:val="18"/>
                      <w:szCs w:val="18"/>
                      <w:lang w:val="zh-CN"/>
                    </w:rPr>
                  </w:pPr>
                </w:p>
              </w:tc>
            </w:tr>
            <w:tr w14:paraId="618FA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751" w:type="pct"/>
                  <w:vMerge w:val="continue"/>
                  <w:tcBorders>
                    <w:left w:val="nil"/>
                  </w:tcBorders>
                  <w:shd w:val="clear" w:color="auto" w:fill="FFFFFF"/>
                  <w:vAlign w:val="center"/>
                </w:tcPr>
                <w:p w14:paraId="6E01488F">
                  <w:pPr>
                    <w:jc w:val="center"/>
                    <w:rPr>
                      <w:bCs/>
                      <w:color w:val="auto"/>
                      <w:sz w:val="18"/>
                      <w:szCs w:val="18"/>
                      <w:lang w:val="zh-CN"/>
                    </w:rPr>
                  </w:pPr>
                </w:p>
              </w:tc>
              <w:tc>
                <w:tcPr>
                  <w:tcW w:w="736" w:type="pct"/>
                  <w:shd w:val="clear" w:color="auto" w:fill="FFFFFF"/>
                  <w:vAlign w:val="center"/>
                </w:tcPr>
                <w:p w14:paraId="424999C0">
                  <w:pPr>
                    <w:jc w:val="center"/>
                    <w:rPr>
                      <w:bCs/>
                      <w:color w:val="auto"/>
                      <w:sz w:val="18"/>
                      <w:szCs w:val="18"/>
                      <w:lang w:val="zh-CN"/>
                    </w:rPr>
                  </w:pPr>
                </w:p>
              </w:tc>
              <w:tc>
                <w:tcPr>
                  <w:tcW w:w="630" w:type="pct"/>
                  <w:shd w:val="clear" w:color="auto" w:fill="FFFFFF"/>
                  <w:noWrap/>
                  <w:vAlign w:val="center"/>
                </w:tcPr>
                <w:p w14:paraId="1C9C21B6">
                  <w:pPr>
                    <w:jc w:val="center"/>
                    <w:rPr>
                      <w:color w:val="auto"/>
                      <w:sz w:val="18"/>
                      <w:szCs w:val="18"/>
                    </w:rPr>
                  </w:pPr>
                </w:p>
              </w:tc>
              <w:tc>
                <w:tcPr>
                  <w:tcW w:w="1197" w:type="pct"/>
                  <w:shd w:val="clear" w:color="auto" w:fill="FFFFFF"/>
                  <w:vAlign w:val="center"/>
                </w:tcPr>
                <w:p w14:paraId="2CC5F71E">
                  <w:pPr>
                    <w:jc w:val="center"/>
                    <w:rPr>
                      <w:bCs/>
                      <w:color w:val="auto"/>
                      <w:sz w:val="18"/>
                      <w:szCs w:val="18"/>
                      <w:lang w:val="zh-CN"/>
                    </w:rPr>
                  </w:pPr>
                </w:p>
              </w:tc>
              <w:tc>
                <w:tcPr>
                  <w:tcW w:w="561" w:type="pct"/>
                  <w:shd w:val="clear" w:color="auto" w:fill="FFFFFF"/>
                  <w:vAlign w:val="center"/>
                </w:tcPr>
                <w:p w14:paraId="41A615FC">
                  <w:pPr>
                    <w:jc w:val="center"/>
                    <w:rPr>
                      <w:bCs/>
                      <w:color w:val="auto"/>
                      <w:sz w:val="18"/>
                      <w:szCs w:val="18"/>
                    </w:rPr>
                  </w:pPr>
                </w:p>
              </w:tc>
              <w:tc>
                <w:tcPr>
                  <w:tcW w:w="561" w:type="pct"/>
                  <w:shd w:val="clear" w:color="auto" w:fill="FFFFFF"/>
                  <w:vAlign w:val="center"/>
                </w:tcPr>
                <w:p w14:paraId="1BA64774">
                  <w:pPr>
                    <w:jc w:val="center"/>
                    <w:rPr>
                      <w:bCs/>
                      <w:color w:val="auto"/>
                      <w:sz w:val="18"/>
                      <w:szCs w:val="18"/>
                      <w:lang w:val="zh-CN"/>
                    </w:rPr>
                  </w:pPr>
                </w:p>
              </w:tc>
              <w:tc>
                <w:tcPr>
                  <w:tcW w:w="561" w:type="pct"/>
                  <w:tcBorders>
                    <w:right w:val="nil"/>
                  </w:tcBorders>
                  <w:shd w:val="clear" w:color="auto" w:fill="FFFFFF"/>
                  <w:vAlign w:val="center"/>
                </w:tcPr>
                <w:p w14:paraId="550FFDFD">
                  <w:pPr>
                    <w:jc w:val="center"/>
                    <w:rPr>
                      <w:bCs/>
                      <w:color w:val="auto"/>
                      <w:sz w:val="18"/>
                      <w:szCs w:val="18"/>
                      <w:lang w:val="zh-CN"/>
                    </w:rPr>
                  </w:pPr>
                </w:p>
              </w:tc>
            </w:tr>
            <w:tr w14:paraId="3B487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751" w:type="pct"/>
                  <w:vMerge w:val="continue"/>
                  <w:tcBorders>
                    <w:left w:val="nil"/>
                  </w:tcBorders>
                  <w:shd w:val="clear" w:color="auto" w:fill="FFFFFF"/>
                  <w:vAlign w:val="center"/>
                </w:tcPr>
                <w:p w14:paraId="5FD4B411">
                  <w:pPr>
                    <w:jc w:val="center"/>
                    <w:rPr>
                      <w:bCs/>
                      <w:color w:val="auto"/>
                      <w:sz w:val="18"/>
                      <w:szCs w:val="18"/>
                      <w:lang w:val="zh-CN"/>
                    </w:rPr>
                  </w:pPr>
                </w:p>
              </w:tc>
              <w:tc>
                <w:tcPr>
                  <w:tcW w:w="736" w:type="pct"/>
                  <w:shd w:val="clear" w:color="auto" w:fill="FFFFFF"/>
                  <w:vAlign w:val="center"/>
                </w:tcPr>
                <w:p w14:paraId="7E0CDE2B">
                  <w:pPr>
                    <w:jc w:val="center"/>
                    <w:rPr>
                      <w:bCs/>
                      <w:color w:val="auto"/>
                      <w:sz w:val="18"/>
                      <w:szCs w:val="18"/>
                      <w:lang w:val="zh-CN"/>
                    </w:rPr>
                  </w:pPr>
                </w:p>
              </w:tc>
              <w:tc>
                <w:tcPr>
                  <w:tcW w:w="630" w:type="pct"/>
                  <w:shd w:val="clear" w:color="auto" w:fill="FFFFFF"/>
                  <w:noWrap/>
                  <w:vAlign w:val="center"/>
                </w:tcPr>
                <w:p w14:paraId="4EB40A56">
                  <w:pPr>
                    <w:jc w:val="center"/>
                    <w:rPr>
                      <w:color w:val="auto"/>
                      <w:sz w:val="18"/>
                      <w:szCs w:val="18"/>
                    </w:rPr>
                  </w:pPr>
                </w:p>
              </w:tc>
              <w:tc>
                <w:tcPr>
                  <w:tcW w:w="1197" w:type="pct"/>
                  <w:shd w:val="clear" w:color="auto" w:fill="FFFFFF"/>
                  <w:vAlign w:val="center"/>
                </w:tcPr>
                <w:p w14:paraId="6BFD62AD">
                  <w:pPr>
                    <w:jc w:val="center"/>
                    <w:rPr>
                      <w:bCs/>
                      <w:color w:val="auto"/>
                      <w:sz w:val="18"/>
                      <w:szCs w:val="18"/>
                      <w:lang w:val="zh-CN"/>
                    </w:rPr>
                  </w:pPr>
                </w:p>
              </w:tc>
              <w:tc>
                <w:tcPr>
                  <w:tcW w:w="561" w:type="pct"/>
                  <w:shd w:val="clear" w:color="auto" w:fill="FFFFFF"/>
                  <w:vAlign w:val="center"/>
                </w:tcPr>
                <w:p w14:paraId="72BF7417">
                  <w:pPr>
                    <w:jc w:val="center"/>
                    <w:rPr>
                      <w:bCs/>
                      <w:color w:val="auto"/>
                      <w:sz w:val="18"/>
                      <w:szCs w:val="18"/>
                    </w:rPr>
                  </w:pPr>
                </w:p>
              </w:tc>
              <w:tc>
                <w:tcPr>
                  <w:tcW w:w="561" w:type="pct"/>
                  <w:shd w:val="clear" w:color="auto" w:fill="FFFFFF"/>
                  <w:vAlign w:val="center"/>
                </w:tcPr>
                <w:p w14:paraId="35D59044">
                  <w:pPr>
                    <w:jc w:val="center"/>
                    <w:rPr>
                      <w:bCs/>
                      <w:color w:val="auto"/>
                      <w:sz w:val="18"/>
                      <w:szCs w:val="18"/>
                      <w:lang w:val="zh-CN"/>
                    </w:rPr>
                  </w:pPr>
                </w:p>
              </w:tc>
              <w:tc>
                <w:tcPr>
                  <w:tcW w:w="561" w:type="pct"/>
                  <w:tcBorders>
                    <w:right w:val="nil"/>
                  </w:tcBorders>
                  <w:shd w:val="clear" w:color="auto" w:fill="FFFFFF"/>
                  <w:vAlign w:val="center"/>
                </w:tcPr>
                <w:p w14:paraId="5D0C488F">
                  <w:pPr>
                    <w:jc w:val="center"/>
                    <w:rPr>
                      <w:bCs/>
                      <w:color w:val="auto"/>
                      <w:sz w:val="18"/>
                      <w:szCs w:val="18"/>
                      <w:lang w:val="zh-CN"/>
                    </w:rPr>
                  </w:pPr>
                </w:p>
              </w:tc>
            </w:tr>
            <w:tr w14:paraId="1AAB0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751" w:type="pct"/>
                  <w:vMerge w:val="continue"/>
                  <w:tcBorders>
                    <w:left w:val="nil"/>
                  </w:tcBorders>
                  <w:shd w:val="clear" w:color="auto" w:fill="FFFFFF"/>
                  <w:vAlign w:val="center"/>
                </w:tcPr>
                <w:p w14:paraId="6611FD40">
                  <w:pPr>
                    <w:jc w:val="center"/>
                    <w:rPr>
                      <w:bCs/>
                      <w:color w:val="auto"/>
                      <w:sz w:val="18"/>
                      <w:szCs w:val="18"/>
                      <w:lang w:val="zh-CN"/>
                    </w:rPr>
                  </w:pPr>
                </w:p>
              </w:tc>
              <w:tc>
                <w:tcPr>
                  <w:tcW w:w="736" w:type="pct"/>
                  <w:shd w:val="clear" w:color="auto" w:fill="FFFFFF"/>
                  <w:vAlign w:val="center"/>
                </w:tcPr>
                <w:p w14:paraId="5B2D67A6">
                  <w:pPr>
                    <w:jc w:val="center"/>
                    <w:rPr>
                      <w:bCs/>
                      <w:color w:val="auto"/>
                      <w:sz w:val="18"/>
                      <w:szCs w:val="18"/>
                      <w:lang w:val="zh-CN"/>
                    </w:rPr>
                  </w:pPr>
                </w:p>
              </w:tc>
              <w:tc>
                <w:tcPr>
                  <w:tcW w:w="630" w:type="pct"/>
                  <w:shd w:val="clear" w:color="auto" w:fill="FFFFFF"/>
                  <w:noWrap/>
                  <w:vAlign w:val="center"/>
                </w:tcPr>
                <w:p w14:paraId="77EE3E9E">
                  <w:pPr>
                    <w:jc w:val="center"/>
                    <w:rPr>
                      <w:color w:val="auto"/>
                      <w:sz w:val="18"/>
                      <w:szCs w:val="18"/>
                    </w:rPr>
                  </w:pPr>
                </w:p>
              </w:tc>
              <w:tc>
                <w:tcPr>
                  <w:tcW w:w="1197" w:type="pct"/>
                  <w:shd w:val="clear" w:color="auto" w:fill="FFFFFF"/>
                  <w:vAlign w:val="center"/>
                </w:tcPr>
                <w:p w14:paraId="09E52225">
                  <w:pPr>
                    <w:jc w:val="center"/>
                    <w:rPr>
                      <w:bCs/>
                      <w:color w:val="auto"/>
                      <w:sz w:val="18"/>
                      <w:szCs w:val="18"/>
                      <w:lang w:val="zh-CN"/>
                    </w:rPr>
                  </w:pPr>
                </w:p>
              </w:tc>
              <w:tc>
                <w:tcPr>
                  <w:tcW w:w="561" w:type="pct"/>
                  <w:shd w:val="clear" w:color="auto" w:fill="FFFFFF"/>
                  <w:vAlign w:val="center"/>
                </w:tcPr>
                <w:p w14:paraId="365BAAE7">
                  <w:pPr>
                    <w:jc w:val="center"/>
                    <w:rPr>
                      <w:bCs/>
                      <w:color w:val="auto"/>
                      <w:sz w:val="18"/>
                      <w:szCs w:val="18"/>
                    </w:rPr>
                  </w:pPr>
                </w:p>
              </w:tc>
              <w:tc>
                <w:tcPr>
                  <w:tcW w:w="561" w:type="pct"/>
                  <w:shd w:val="clear" w:color="auto" w:fill="FFFFFF"/>
                  <w:vAlign w:val="center"/>
                </w:tcPr>
                <w:p w14:paraId="75B82200">
                  <w:pPr>
                    <w:jc w:val="center"/>
                    <w:rPr>
                      <w:bCs/>
                      <w:color w:val="auto"/>
                      <w:sz w:val="18"/>
                      <w:szCs w:val="18"/>
                      <w:lang w:val="zh-CN"/>
                    </w:rPr>
                  </w:pPr>
                </w:p>
              </w:tc>
              <w:tc>
                <w:tcPr>
                  <w:tcW w:w="561" w:type="pct"/>
                  <w:tcBorders>
                    <w:right w:val="nil"/>
                  </w:tcBorders>
                  <w:shd w:val="clear" w:color="auto" w:fill="FFFFFF"/>
                  <w:vAlign w:val="center"/>
                </w:tcPr>
                <w:p w14:paraId="33FD6225">
                  <w:pPr>
                    <w:jc w:val="center"/>
                    <w:rPr>
                      <w:bCs/>
                      <w:color w:val="auto"/>
                      <w:sz w:val="18"/>
                      <w:szCs w:val="18"/>
                      <w:lang w:val="zh-CN"/>
                    </w:rPr>
                  </w:pPr>
                </w:p>
              </w:tc>
            </w:tr>
            <w:tr w14:paraId="0AFDD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751" w:type="pct"/>
                  <w:vMerge w:val="continue"/>
                  <w:tcBorders>
                    <w:left w:val="nil"/>
                  </w:tcBorders>
                  <w:shd w:val="clear" w:color="auto" w:fill="FFFFFF"/>
                  <w:vAlign w:val="center"/>
                </w:tcPr>
                <w:p w14:paraId="2D4F7BFC">
                  <w:pPr>
                    <w:jc w:val="center"/>
                    <w:rPr>
                      <w:bCs/>
                      <w:color w:val="auto"/>
                      <w:sz w:val="18"/>
                      <w:szCs w:val="18"/>
                      <w:lang w:val="zh-CN"/>
                    </w:rPr>
                  </w:pPr>
                </w:p>
              </w:tc>
              <w:tc>
                <w:tcPr>
                  <w:tcW w:w="736" w:type="pct"/>
                  <w:shd w:val="clear" w:color="auto" w:fill="FFFFFF"/>
                  <w:vAlign w:val="center"/>
                </w:tcPr>
                <w:p w14:paraId="5D543E00">
                  <w:pPr>
                    <w:jc w:val="center"/>
                    <w:rPr>
                      <w:bCs/>
                      <w:color w:val="auto"/>
                      <w:sz w:val="18"/>
                      <w:szCs w:val="18"/>
                      <w:lang w:val="zh-CN"/>
                    </w:rPr>
                  </w:pPr>
                </w:p>
              </w:tc>
              <w:tc>
                <w:tcPr>
                  <w:tcW w:w="630" w:type="pct"/>
                  <w:shd w:val="clear" w:color="auto" w:fill="FFFFFF"/>
                  <w:noWrap/>
                  <w:vAlign w:val="center"/>
                </w:tcPr>
                <w:p w14:paraId="03DB5C79">
                  <w:pPr>
                    <w:jc w:val="center"/>
                    <w:rPr>
                      <w:color w:val="auto"/>
                      <w:sz w:val="18"/>
                      <w:szCs w:val="18"/>
                    </w:rPr>
                  </w:pPr>
                </w:p>
              </w:tc>
              <w:tc>
                <w:tcPr>
                  <w:tcW w:w="1197" w:type="pct"/>
                  <w:shd w:val="clear" w:color="auto" w:fill="FFFFFF"/>
                  <w:vAlign w:val="center"/>
                </w:tcPr>
                <w:p w14:paraId="1177329A">
                  <w:pPr>
                    <w:jc w:val="center"/>
                    <w:rPr>
                      <w:bCs/>
                      <w:color w:val="auto"/>
                      <w:sz w:val="18"/>
                      <w:szCs w:val="18"/>
                      <w:lang w:val="zh-CN"/>
                    </w:rPr>
                  </w:pPr>
                </w:p>
              </w:tc>
              <w:tc>
                <w:tcPr>
                  <w:tcW w:w="561" w:type="pct"/>
                  <w:shd w:val="clear" w:color="auto" w:fill="FFFFFF"/>
                  <w:vAlign w:val="center"/>
                </w:tcPr>
                <w:p w14:paraId="24DCEA9B">
                  <w:pPr>
                    <w:jc w:val="center"/>
                    <w:rPr>
                      <w:bCs/>
                      <w:color w:val="auto"/>
                      <w:sz w:val="18"/>
                      <w:szCs w:val="18"/>
                    </w:rPr>
                  </w:pPr>
                </w:p>
              </w:tc>
              <w:tc>
                <w:tcPr>
                  <w:tcW w:w="561" w:type="pct"/>
                  <w:shd w:val="clear" w:color="auto" w:fill="FFFFFF"/>
                  <w:vAlign w:val="center"/>
                </w:tcPr>
                <w:p w14:paraId="4A20F9AD">
                  <w:pPr>
                    <w:jc w:val="center"/>
                    <w:rPr>
                      <w:bCs/>
                      <w:color w:val="auto"/>
                      <w:sz w:val="18"/>
                      <w:szCs w:val="18"/>
                      <w:lang w:val="zh-CN"/>
                    </w:rPr>
                  </w:pPr>
                </w:p>
              </w:tc>
              <w:tc>
                <w:tcPr>
                  <w:tcW w:w="561" w:type="pct"/>
                  <w:tcBorders>
                    <w:right w:val="nil"/>
                  </w:tcBorders>
                  <w:shd w:val="clear" w:color="auto" w:fill="FFFFFF"/>
                  <w:vAlign w:val="center"/>
                </w:tcPr>
                <w:p w14:paraId="6E17329E">
                  <w:pPr>
                    <w:jc w:val="center"/>
                    <w:rPr>
                      <w:bCs/>
                      <w:color w:val="auto"/>
                      <w:sz w:val="18"/>
                      <w:szCs w:val="18"/>
                      <w:lang w:val="zh-CN"/>
                    </w:rPr>
                  </w:pPr>
                </w:p>
              </w:tc>
            </w:tr>
            <w:tr w14:paraId="1E3BA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751" w:type="pct"/>
                  <w:vMerge w:val="continue"/>
                  <w:tcBorders>
                    <w:left w:val="nil"/>
                  </w:tcBorders>
                  <w:shd w:val="clear" w:color="auto" w:fill="FFFFFF"/>
                  <w:vAlign w:val="center"/>
                </w:tcPr>
                <w:p w14:paraId="462B4D5E">
                  <w:pPr>
                    <w:jc w:val="center"/>
                    <w:rPr>
                      <w:bCs/>
                      <w:color w:val="auto"/>
                      <w:sz w:val="18"/>
                      <w:szCs w:val="18"/>
                      <w:lang w:val="zh-CN"/>
                    </w:rPr>
                  </w:pPr>
                </w:p>
              </w:tc>
              <w:tc>
                <w:tcPr>
                  <w:tcW w:w="736" w:type="pct"/>
                  <w:shd w:val="clear" w:color="auto" w:fill="FFFFFF"/>
                  <w:vAlign w:val="center"/>
                </w:tcPr>
                <w:p w14:paraId="0643DD61">
                  <w:pPr>
                    <w:jc w:val="center"/>
                    <w:rPr>
                      <w:bCs/>
                      <w:color w:val="auto"/>
                      <w:sz w:val="18"/>
                      <w:szCs w:val="18"/>
                      <w:lang w:val="zh-CN"/>
                    </w:rPr>
                  </w:pPr>
                </w:p>
              </w:tc>
              <w:tc>
                <w:tcPr>
                  <w:tcW w:w="630" w:type="pct"/>
                  <w:shd w:val="clear" w:color="auto" w:fill="FFFFFF"/>
                  <w:noWrap/>
                  <w:vAlign w:val="center"/>
                </w:tcPr>
                <w:p w14:paraId="749077A0">
                  <w:pPr>
                    <w:jc w:val="center"/>
                    <w:rPr>
                      <w:color w:val="auto"/>
                      <w:sz w:val="18"/>
                      <w:szCs w:val="18"/>
                    </w:rPr>
                  </w:pPr>
                </w:p>
              </w:tc>
              <w:tc>
                <w:tcPr>
                  <w:tcW w:w="1197" w:type="pct"/>
                  <w:shd w:val="clear" w:color="auto" w:fill="FFFFFF"/>
                  <w:vAlign w:val="center"/>
                </w:tcPr>
                <w:p w14:paraId="654A2777">
                  <w:pPr>
                    <w:jc w:val="center"/>
                    <w:rPr>
                      <w:bCs/>
                      <w:color w:val="auto"/>
                      <w:sz w:val="18"/>
                      <w:szCs w:val="18"/>
                      <w:lang w:val="zh-CN"/>
                    </w:rPr>
                  </w:pPr>
                </w:p>
              </w:tc>
              <w:tc>
                <w:tcPr>
                  <w:tcW w:w="561" w:type="pct"/>
                  <w:shd w:val="clear" w:color="auto" w:fill="FFFFFF"/>
                  <w:vAlign w:val="center"/>
                </w:tcPr>
                <w:p w14:paraId="68D8E143">
                  <w:pPr>
                    <w:jc w:val="center"/>
                    <w:rPr>
                      <w:bCs/>
                      <w:color w:val="auto"/>
                      <w:sz w:val="18"/>
                      <w:szCs w:val="18"/>
                    </w:rPr>
                  </w:pPr>
                </w:p>
              </w:tc>
              <w:tc>
                <w:tcPr>
                  <w:tcW w:w="561" w:type="pct"/>
                  <w:shd w:val="clear" w:color="auto" w:fill="FFFFFF"/>
                  <w:vAlign w:val="center"/>
                </w:tcPr>
                <w:p w14:paraId="6346A9CB">
                  <w:pPr>
                    <w:jc w:val="center"/>
                    <w:rPr>
                      <w:bCs/>
                      <w:color w:val="auto"/>
                      <w:sz w:val="18"/>
                      <w:szCs w:val="18"/>
                      <w:lang w:val="zh-CN"/>
                    </w:rPr>
                  </w:pPr>
                </w:p>
              </w:tc>
              <w:tc>
                <w:tcPr>
                  <w:tcW w:w="561" w:type="pct"/>
                  <w:tcBorders>
                    <w:right w:val="nil"/>
                  </w:tcBorders>
                  <w:shd w:val="clear" w:color="auto" w:fill="FFFFFF"/>
                  <w:vAlign w:val="center"/>
                </w:tcPr>
                <w:p w14:paraId="28ECC483">
                  <w:pPr>
                    <w:jc w:val="center"/>
                    <w:rPr>
                      <w:bCs/>
                      <w:color w:val="auto"/>
                      <w:sz w:val="18"/>
                      <w:szCs w:val="18"/>
                      <w:lang w:val="zh-CN"/>
                    </w:rPr>
                  </w:pPr>
                </w:p>
              </w:tc>
            </w:tr>
            <w:tr w14:paraId="500DF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751" w:type="pct"/>
                  <w:vMerge w:val="continue"/>
                  <w:tcBorders>
                    <w:left w:val="nil"/>
                  </w:tcBorders>
                  <w:shd w:val="clear" w:color="auto" w:fill="FFFFFF"/>
                  <w:vAlign w:val="center"/>
                </w:tcPr>
                <w:p w14:paraId="70AC58D0">
                  <w:pPr>
                    <w:jc w:val="center"/>
                    <w:rPr>
                      <w:bCs/>
                      <w:color w:val="auto"/>
                      <w:sz w:val="18"/>
                      <w:szCs w:val="18"/>
                      <w:lang w:val="zh-CN"/>
                    </w:rPr>
                  </w:pPr>
                </w:p>
              </w:tc>
              <w:tc>
                <w:tcPr>
                  <w:tcW w:w="736" w:type="pct"/>
                  <w:shd w:val="clear" w:color="auto" w:fill="FFFFFF"/>
                  <w:vAlign w:val="center"/>
                </w:tcPr>
                <w:p w14:paraId="1ED826B0">
                  <w:pPr>
                    <w:jc w:val="center"/>
                    <w:rPr>
                      <w:bCs/>
                      <w:color w:val="auto"/>
                      <w:sz w:val="18"/>
                      <w:szCs w:val="18"/>
                      <w:lang w:val="zh-CN"/>
                    </w:rPr>
                  </w:pPr>
                </w:p>
              </w:tc>
              <w:tc>
                <w:tcPr>
                  <w:tcW w:w="630" w:type="pct"/>
                  <w:shd w:val="clear" w:color="auto" w:fill="FFFFFF"/>
                  <w:noWrap/>
                  <w:vAlign w:val="center"/>
                </w:tcPr>
                <w:p w14:paraId="655102FB">
                  <w:pPr>
                    <w:jc w:val="center"/>
                    <w:rPr>
                      <w:color w:val="auto"/>
                      <w:sz w:val="18"/>
                      <w:szCs w:val="18"/>
                    </w:rPr>
                  </w:pPr>
                </w:p>
              </w:tc>
              <w:tc>
                <w:tcPr>
                  <w:tcW w:w="1197" w:type="pct"/>
                  <w:shd w:val="clear" w:color="auto" w:fill="FFFFFF"/>
                  <w:vAlign w:val="center"/>
                </w:tcPr>
                <w:p w14:paraId="6FEC373D">
                  <w:pPr>
                    <w:jc w:val="center"/>
                    <w:rPr>
                      <w:bCs/>
                      <w:color w:val="auto"/>
                      <w:sz w:val="18"/>
                      <w:szCs w:val="18"/>
                      <w:lang w:val="zh-CN"/>
                    </w:rPr>
                  </w:pPr>
                </w:p>
              </w:tc>
              <w:tc>
                <w:tcPr>
                  <w:tcW w:w="561" w:type="pct"/>
                  <w:shd w:val="clear" w:color="auto" w:fill="FFFFFF"/>
                  <w:vAlign w:val="center"/>
                </w:tcPr>
                <w:p w14:paraId="54101A1E">
                  <w:pPr>
                    <w:jc w:val="center"/>
                    <w:rPr>
                      <w:bCs/>
                      <w:color w:val="auto"/>
                      <w:sz w:val="18"/>
                      <w:szCs w:val="18"/>
                    </w:rPr>
                  </w:pPr>
                </w:p>
              </w:tc>
              <w:tc>
                <w:tcPr>
                  <w:tcW w:w="561" w:type="pct"/>
                  <w:shd w:val="clear" w:color="auto" w:fill="FFFFFF"/>
                  <w:vAlign w:val="center"/>
                </w:tcPr>
                <w:p w14:paraId="08C6CD97">
                  <w:pPr>
                    <w:jc w:val="center"/>
                    <w:rPr>
                      <w:bCs/>
                      <w:color w:val="auto"/>
                      <w:sz w:val="18"/>
                      <w:szCs w:val="18"/>
                      <w:lang w:val="zh-CN"/>
                    </w:rPr>
                  </w:pPr>
                </w:p>
              </w:tc>
              <w:tc>
                <w:tcPr>
                  <w:tcW w:w="561" w:type="pct"/>
                  <w:tcBorders>
                    <w:right w:val="nil"/>
                  </w:tcBorders>
                  <w:shd w:val="clear" w:color="auto" w:fill="FFFFFF"/>
                  <w:vAlign w:val="center"/>
                </w:tcPr>
                <w:p w14:paraId="4DC9C16B">
                  <w:pPr>
                    <w:jc w:val="center"/>
                    <w:rPr>
                      <w:bCs/>
                      <w:color w:val="auto"/>
                      <w:sz w:val="18"/>
                      <w:szCs w:val="18"/>
                      <w:lang w:val="zh-CN"/>
                    </w:rPr>
                  </w:pPr>
                </w:p>
              </w:tc>
            </w:tr>
            <w:tr w14:paraId="33E60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751" w:type="pct"/>
                  <w:vMerge w:val="continue"/>
                  <w:tcBorders>
                    <w:left w:val="nil"/>
                  </w:tcBorders>
                  <w:shd w:val="clear" w:color="auto" w:fill="FFFFFF"/>
                  <w:vAlign w:val="center"/>
                </w:tcPr>
                <w:p w14:paraId="438DC0FF">
                  <w:pPr>
                    <w:jc w:val="center"/>
                    <w:rPr>
                      <w:bCs/>
                      <w:color w:val="auto"/>
                      <w:sz w:val="18"/>
                      <w:szCs w:val="18"/>
                      <w:lang w:val="zh-CN"/>
                    </w:rPr>
                  </w:pPr>
                </w:p>
              </w:tc>
              <w:tc>
                <w:tcPr>
                  <w:tcW w:w="736" w:type="pct"/>
                  <w:shd w:val="clear" w:color="auto" w:fill="FFFFFF"/>
                  <w:vAlign w:val="center"/>
                </w:tcPr>
                <w:p w14:paraId="3031D606">
                  <w:pPr>
                    <w:jc w:val="center"/>
                    <w:rPr>
                      <w:bCs/>
                      <w:color w:val="auto"/>
                      <w:sz w:val="18"/>
                      <w:szCs w:val="18"/>
                      <w:lang w:val="zh-CN"/>
                    </w:rPr>
                  </w:pPr>
                </w:p>
              </w:tc>
              <w:tc>
                <w:tcPr>
                  <w:tcW w:w="630" w:type="pct"/>
                  <w:shd w:val="clear" w:color="auto" w:fill="FFFFFF"/>
                  <w:noWrap/>
                  <w:vAlign w:val="center"/>
                </w:tcPr>
                <w:p w14:paraId="02EC606D">
                  <w:pPr>
                    <w:jc w:val="center"/>
                    <w:rPr>
                      <w:bCs/>
                      <w:color w:val="auto"/>
                      <w:sz w:val="18"/>
                      <w:szCs w:val="18"/>
                      <w:lang w:val="zh-CN"/>
                    </w:rPr>
                  </w:pPr>
                </w:p>
              </w:tc>
              <w:tc>
                <w:tcPr>
                  <w:tcW w:w="1197" w:type="pct"/>
                  <w:shd w:val="clear" w:color="auto" w:fill="FFFFFF"/>
                  <w:vAlign w:val="center"/>
                </w:tcPr>
                <w:p w14:paraId="413BEA92">
                  <w:pPr>
                    <w:jc w:val="center"/>
                    <w:rPr>
                      <w:bCs/>
                      <w:color w:val="auto"/>
                      <w:sz w:val="18"/>
                      <w:szCs w:val="18"/>
                      <w:lang w:val="zh-CN"/>
                    </w:rPr>
                  </w:pPr>
                </w:p>
              </w:tc>
              <w:tc>
                <w:tcPr>
                  <w:tcW w:w="561" w:type="pct"/>
                  <w:shd w:val="clear" w:color="auto" w:fill="FFFFFF"/>
                  <w:vAlign w:val="center"/>
                </w:tcPr>
                <w:p w14:paraId="32A2CCFE">
                  <w:pPr>
                    <w:jc w:val="center"/>
                    <w:rPr>
                      <w:bCs/>
                      <w:color w:val="auto"/>
                      <w:sz w:val="18"/>
                      <w:szCs w:val="18"/>
                    </w:rPr>
                  </w:pPr>
                </w:p>
              </w:tc>
              <w:tc>
                <w:tcPr>
                  <w:tcW w:w="561" w:type="pct"/>
                  <w:shd w:val="clear" w:color="auto" w:fill="FFFFFF"/>
                  <w:vAlign w:val="center"/>
                </w:tcPr>
                <w:p w14:paraId="2A9EF09C">
                  <w:pPr>
                    <w:jc w:val="center"/>
                    <w:rPr>
                      <w:bCs/>
                      <w:color w:val="auto"/>
                      <w:sz w:val="18"/>
                      <w:szCs w:val="18"/>
                      <w:lang w:val="zh-CN"/>
                    </w:rPr>
                  </w:pPr>
                </w:p>
              </w:tc>
              <w:tc>
                <w:tcPr>
                  <w:tcW w:w="561" w:type="pct"/>
                  <w:tcBorders>
                    <w:right w:val="nil"/>
                  </w:tcBorders>
                  <w:shd w:val="clear" w:color="auto" w:fill="FFFFFF"/>
                  <w:vAlign w:val="center"/>
                </w:tcPr>
                <w:p w14:paraId="2E815D53">
                  <w:pPr>
                    <w:jc w:val="center"/>
                    <w:rPr>
                      <w:bCs/>
                      <w:color w:val="auto"/>
                      <w:sz w:val="18"/>
                      <w:szCs w:val="18"/>
                      <w:lang w:val="zh-CN"/>
                    </w:rPr>
                  </w:pPr>
                </w:p>
              </w:tc>
            </w:tr>
            <w:tr w14:paraId="3AEFE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751" w:type="pct"/>
                  <w:vMerge w:val="continue"/>
                  <w:tcBorders>
                    <w:left w:val="nil"/>
                  </w:tcBorders>
                  <w:shd w:val="clear" w:color="auto" w:fill="FFFFFF"/>
                  <w:vAlign w:val="center"/>
                </w:tcPr>
                <w:p w14:paraId="1B6817FA">
                  <w:pPr>
                    <w:jc w:val="center"/>
                    <w:rPr>
                      <w:bCs/>
                      <w:color w:val="auto"/>
                      <w:sz w:val="18"/>
                      <w:szCs w:val="18"/>
                      <w:lang w:val="zh-CN"/>
                    </w:rPr>
                  </w:pPr>
                </w:p>
              </w:tc>
              <w:tc>
                <w:tcPr>
                  <w:tcW w:w="736" w:type="pct"/>
                  <w:shd w:val="clear" w:color="auto" w:fill="FFFFFF"/>
                  <w:vAlign w:val="center"/>
                </w:tcPr>
                <w:p w14:paraId="036C847A">
                  <w:pPr>
                    <w:jc w:val="center"/>
                    <w:rPr>
                      <w:bCs/>
                      <w:color w:val="auto"/>
                      <w:sz w:val="18"/>
                      <w:szCs w:val="18"/>
                      <w:lang w:val="zh-CN"/>
                    </w:rPr>
                  </w:pPr>
                </w:p>
              </w:tc>
              <w:tc>
                <w:tcPr>
                  <w:tcW w:w="630" w:type="pct"/>
                  <w:shd w:val="clear" w:color="auto" w:fill="FFFFFF"/>
                  <w:noWrap/>
                  <w:vAlign w:val="center"/>
                </w:tcPr>
                <w:p w14:paraId="7522E7B3">
                  <w:pPr>
                    <w:jc w:val="center"/>
                    <w:rPr>
                      <w:color w:val="auto"/>
                      <w:sz w:val="18"/>
                      <w:szCs w:val="18"/>
                    </w:rPr>
                  </w:pPr>
                </w:p>
              </w:tc>
              <w:tc>
                <w:tcPr>
                  <w:tcW w:w="1197" w:type="pct"/>
                  <w:shd w:val="clear" w:color="auto" w:fill="FFFFFF"/>
                  <w:vAlign w:val="center"/>
                </w:tcPr>
                <w:p w14:paraId="571FC4BF">
                  <w:pPr>
                    <w:jc w:val="center"/>
                    <w:rPr>
                      <w:bCs/>
                      <w:color w:val="auto"/>
                      <w:sz w:val="18"/>
                      <w:szCs w:val="18"/>
                      <w:lang w:val="zh-CN"/>
                    </w:rPr>
                  </w:pPr>
                </w:p>
              </w:tc>
              <w:tc>
                <w:tcPr>
                  <w:tcW w:w="561" w:type="pct"/>
                  <w:shd w:val="clear" w:color="auto" w:fill="FFFFFF"/>
                  <w:vAlign w:val="center"/>
                </w:tcPr>
                <w:p w14:paraId="78CBC400">
                  <w:pPr>
                    <w:jc w:val="center"/>
                    <w:rPr>
                      <w:bCs/>
                      <w:color w:val="auto"/>
                      <w:sz w:val="18"/>
                      <w:szCs w:val="18"/>
                    </w:rPr>
                  </w:pPr>
                </w:p>
              </w:tc>
              <w:tc>
                <w:tcPr>
                  <w:tcW w:w="561" w:type="pct"/>
                  <w:shd w:val="clear" w:color="auto" w:fill="FFFFFF"/>
                  <w:vAlign w:val="center"/>
                </w:tcPr>
                <w:p w14:paraId="3C2B346D">
                  <w:pPr>
                    <w:jc w:val="center"/>
                    <w:rPr>
                      <w:bCs/>
                      <w:color w:val="auto"/>
                      <w:sz w:val="18"/>
                      <w:szCs w:val="18"/>
                      <w:lang w:val="zh-CN"/>
                    </w:rPr>
                  </w:pPr>
                </w:p>
              </w:tc>
              <w:tc>
                <w:tcPr>
                  <w:tcW w:w="561" w:type="pct"/>
                  <w:tcBorders>
                    <w:right w:val="nil"/>
                  </w:tcBorders>
                  <w:shd w:val="clear" w:color="auto" w:fill="FFFFFF"/>
                  <w:vAlign w:val="center"/>
                </w:tcPr>
                <w:p w14:paraId="60872053">
                  <w:pPr>
                    <w:jc w:val="center"/>
                    <w:rPr>
                      <w:bCs/>
                      <w:color w:val="auto"/>
                      <w:sz w:val="18"/>
                      <w:szCs w:val="18"/>
                      <w:lang w:val="zh-CN"/>
                    </w:rPr>
                  </w:pPr>
                </w:p>
              </w:tc>
            </w:tr>
            <w:tr w14:paraId="751AB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751" w:type="pct"/>
                  <w:tcBorders>
                    <w:left w:val="nil"/>
                    <w:bottom w:val="single" w:color="000000" w:sz="12" w:space="0"/>
                  </w:tcBorders>
                  <w:shd w:val="clear" w:color="auto" w:fill="FFFFFF"/>
                  <w:noWrap/>
                  <w:vAlign w:val="center"/>
                </w:tcPr>
                <w:p w14:paraId="211BA502">
                  <w:pPr>
                    <w:jc w:val="center"/>
                    <w:rPr>
                      <w:bCs/>
                      <w:color w:val="auto"/>
                      <w:sz w:val="18"/>
                      <w:szCs w:val="18"/>
                      <w:lang w:val="zh-CN"/>
                    </w:rPr>
                  </w:pPr>
                </w:p>
              </w:tc>
              <w:tc>
                <w:tcPr>
                  <w:tcW w:w="736" w:type="pct"/>
                  <w:tcBorders>
                    <w:bottom w:val="single" w:color="000000" w:sz="12" w:space="0"/>
                  </w:tcBorders>
                  <w:shd w:val="clear" w:color="auto" w:fill="FFFFFF"/>
                  <w:noWrap/>
                  <w:vAlign w:val="center"/>
                </w:tcPr>
                <w:p w14:paraId="3C95FFAA">
                  <w:pPr>
                    <w:jc w:val="center"/>
                    <w:rPr>
                      <w:bCs/>
                      <w:color w:val="auto"/>
                      <w:sz w:val="18"/>
                      <w:szCs w:val="18"/>
                      <w:lang w:val="zh-CN"/>
                    </w:rPr>
                  </w:pPr>
                </w:p>
              </w:tc>
              <w:tc>
                <w:tcPr>
                  <w:tcW w:w="630" w:type="pct"/>
                  <w:tcBorders>
                    <w:bottom w:val="single" w:color="000000" w:sz="12" w:space="0"/>
                  </w:tcBorders>
                  <w:shd w:val="clear" w:color="auto" w:fill="FFFFFF"/>
                  <w:noWrap/>
                  <w:vAlign w:val="center"/>
                </w:tcPr>
                <w:p w14:paraId="617DF09A">
                  <w:pPr>
                    <w:jc w:val="center"/>
                    <w:rPr>
                      <w:bCs/>
                      <w:color w:val="auto"/>
                      <w:sz w:val="18"/>
                      <w:szCs w:val="18"/>
                      <w:lang w:val="zh-CN"/>
                    </w:rPr>
                  </w:pPr>
                </w:p>
              </w:tc>
              <w:tc>
                <w:tcPr>
                  <w:tcW w:w="1197" w:type="pct"/>
                  <w:tcBorders>
                    <w:bottom w:val="single" w:color="000000" w:sz="12" w:space="0"/>
                  </w:tcBorders>
                  <w:shd w:val="clear" w:color="auto" w:fill="FFFFFF"/>
                  <w:noWrap/>
                  <w:vAlign w:val="center"/>
                </w:tcPr>
                <w:p w14:paraId="3784279A">
                  <w:pPr>
                    <w:jc w:val="center"/>
                    <w:rPr>
                      <w:bCs/>
                      <w:color w:val="auto"/>
                      <w:sz w:val="18"/>
                      <w:szCs w:val="18"/>
                      <w:lang w:val="zh-CN"/>
                    </w:rPr>
                  </w:pPr>
                </w:p>
              </w:tc>
              <w:tc>
                <w:tcPr>
                  <w:tcW w:w="561" w:type="pct"/>
                  <w:tcBorders>
                    <w:bottom w:val="single" w:color="000000" w:sz="12" w:space="0"/>
                  </w:tcBorders>
                  <w:shd w:val="clear" w:color="auto" w:fill="FFFFFF"/>
                  <w:noWrap/>
                  <w:vAlign w:val="center"/>
                </w:tcPr>
                <w:p w14:paraId="63F008BF">
                  <w:pPr>
                    <w:jc w:val="center"/>
                    <w:rPr>
                      <w:bCs/>
                      <w:color w:val="auto"/>
                      <w:sz w:val="18"/>
                      <w:szCs w:val="18"/>
                    </w:rPr>
                  </w:pPr>
                </w:p>
              </w:tc>
              <w:tc>
                <w:tcPr>
                  <w:tcW w:w="561" w:type="pct"/>
                  <w:tcBorders>
                    <w:bottom w:val="single" w:color="000000" w:sz="12" w:space="0"/>
                  </w:tcBorders>
                  <w:shd w:val="clear" w:color="auto" w:fill="FFFFFF"/>
                  <w:noWrap/>
                  <w:vAlign w:val="center"/>
                </w:tcPr>
                <w:p w14:paraId="0A8C845F">
                  <w:pPr>
                    <w:jc w:val="center"/>
                    <w:rPr>
                      <w:bCs/>
                      <w:color w:val="auto"/>
                      <w:sz w:val="18"/>
                      <w:szCs w:val="18"/>
                      <w:lang w:val="zh-CN"/>
                    </w:rPr>
                  </w:pPr>
                </w:p>
              </w:tc>
              <w:tc>
                <w:tcPr>
                  <w:tcW w:w="561" w:type="pct"/>
                  <w:tcBorders>
                    <w:bottom w:val="single" w:color="000000" w:sz="12" w:space="0"/>
                    <w:right w:val="nil"/>
                  </w:tcBorders>
                  <w:shd w:val="clear" w:color="auto" w:fill="FFFFFF"/>
                  <w:noWrap/>
                  <w:vAlign w:val="center"/>
                </w:tcPr>
                <w:p w14:paraId="4BBEE317">
                  <w:pPr>
                    <w:jc w:val="center"/>
                    <w:rPr>
                      <w:bCs/>
                      <w:color w:val="auto"/>
                      <w:sz w:val="18"/>
                      <w:szCs w:val="18"/>
                      <w:lang w:val="zh-CN"/>
                    </w:rPr>
                  </w:pPr>
                </w:p>
              </w:tc>
            </w:tr>
          </w:tbl>
          <w:p w14:paraId="50F5F341">
            <w:pPr>
              <w:adjustRightInd w:val="0"/>
              <w:snapToGrid w:val="0"/>
              <w:rPr>
                <w:b/>
                <w:color w:val="auto"/>
                <w:sz w:val="20"/>
                <w:szCs w:val="20"/>
              </w:rPr>
            </w:pPr>
            <w:r>
              <w:rPr>
                <w:rFonts w:hint="eastAsia"/>
                <w:b/>
                <w:color w:val="auto"/>
                <w:sz w:val="20"/>
                <w:szCs w:val="20"/>
              </w:rPr>
              <w:t>注：ND表示未检出。</w:t>
            </w:r>
          </w:p>
          <w:p w14:paraId="52DF8D29">
            <w:pPr>
              <w:adjustRightInd w:val="0"/>
              <w:snapToGrid w:val="0"/>
              <w:spacing w:line="500" w:lineRule="exact"/>
              <w:ind w:firstLine="422" w:firstLineChars="200"/>
              <w:rPr>
                <w:b/>
                <w:bCs/>
                <w:color w:val="auto"/>
                <w:szCs w:val="21"/>
              </w:rPr>
            </w:pPr>
            <w:r>
              <w:rPr>
                <w:b/>
                <w:bCs/>
                <w:color w:val="auto"/>
                <w:szCs w:val="21"/>
              </w:rPr>
              <w:t>6.2</w:t>
            </w:r>
            <w:r>
              <w:rPr>
                <w:rFonts w:hint="eastAsia"/>
                <w:b/>
                <w:bCs/>
                <w:color w:val="auto"/>
                <w:szCs w:val="21"/>
              </w:rPr>
              <w:t>废水</w:t>
            </w:r>
          </w:p>
          <w:p w14:paraId="65372EF7">
            <w:pPr>
              <w:adjustRightInd w:val="0"/>
              <w:snapToGrid w:val="0"/>
              <w:spacing w:line="500" w:lineRule="exact"/>
              <w:ind w:firstLine="420" w:firstLineChars="200"/>
              <w:rPr>
                <w:color w:val="auto"/>
                <w:szCs w:val="21"/>
              </w:rPr>
            </w:pPr>
            <w:r>
              <w:rPr>
                <w:rFonts w:hint="eastAsia"/>
                <w:color w:val="auto"/>
                <w:szCs w:val="21"/>
              </w:rPr>
              <w:t>企业现有污水分为生产污水（工艺废水、初期雨水、</w:t>
            </w:r>
            <w:r>
              <w:rPr>
                <w:rFonts w:hint="eastAsia"/>
                <w:b/>
                <w:bCs/>
                <w:color w:val="auto"/>
                <w:szCs w:val="21"/>
              </w:rPr>
              <w:t>实验室废水</w:t>
            </w:r>
            <w:r>
              <w:rPr>
                <w:rFonts w:hint="eastAsia"/>
                <w:color w:val="auto"/>
                <w:szCs w:val="21"/>
              </w:rPr>
              <w:t>、生活污水等）和生产废水（循环冷却水排污水、纯水制备废水），生产污水经厂内污水处理站处理后，通过生产污水排口DW001接管至连云港石化基地工业废水综合治理中心（责任主体为江苏方洋水务有限公司）常规线污水处理区，处理后送至连云港石化基地工业废水综合治理中心再生水处理区（一期）污水再生水处理线处理后70%回用，剩余30%浓水进入连云港石化基地工业废水综合治理中心RO浓水处理区（一期）污水RO浓水处理线处理满足要求后，通过徐圩新区达标尾水排海工程深海排放。生产废水（循环冷却水排污水、纯水制备废水）通过生产废水排口DW002接管连云港石化基地工业废水综合治理中心再生水处理区（一期）低硬度线（一期）处理后70%回用，剩余30%浓水进入连云港石化基地工业废水综合治理中心RO浓水处理区（一期）废水RO浓水处理线处理满足要求后，通过徐圩新区达标尾水排海工程深海排放。</w:t>
            </w:r>
          </w:p>
          <w:p w14:paraId="034EACAD">
            <w:pPr>
              <w:adjustRightInd w:val="0"/>
              <w:snapToGrid w:val="0"/>
              <w:spacing w:line="500" w:lineRule="exact"/>
              <w:ind w:firstLine="420" w:firstLineChars="200"/>
              <w:rPr>
                <w:color w:val="auto"/>
                <w:szCs w:val="21"/>
              </w:rPr>
            </w:pPr>
            <w:r>
              <w:rPr>
                <w:rFonts w:hint="eastAsia"/>
                <w:color w:val="auto"/>
                <w:szCs w:val="21"/>
              </w:rPr>
              <w:t>现有项目废水治理措施和排放去向见表2-16。</w:t>
            </w:r>
          </w:p>
          <w:p w14:paraId="6C874C76">
            <w:pPr>
              <w:snapToGrid w:val="0"/>
              <w:spacing w:line="500" w:lineRule="exact"/>
              <w:jc w:val="center"/>
              <w:rPr>
                <w:b/>
                <w:color w:val="auto"/>
                <w:szCs w:val="21"/>
              </w:rPr>
            </w:pPr>
            <w:r>
              <w:rPr>
                <w:rFonts w:hint="eastAsia"/>
                <w:b/>
                <w:color w:val="auto"/>
                <w:szCs w:val="21"/>
              </w:rPr>
              <w:t>表2-16（1） 现有已建已验项目废水治理措施和排放去向</w:t>
            </w:r>
          </w:p>
          <w:tbl>
            <w:tblPr>
              <w:tblStyle w:val="21"/>
              <w:tblW w:w="4998" w:type="pct"/>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79"/>
              <w:gridCol w:w="848"/>
              <w:gridCol w:w="1276"/>
              <w:gridCol w:w="3487"/>
              <w:gridCol w:w="991"/>
              <w:gridCol w:w="942"/>
            </w:tblGrid>
            <w:tr w14:paraId="48E80D8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522" w:type="pct"/>
                  <w:tcBorders>
                    <w:top w:val="single" w:color="000000" w:sz="12" w:space="0"/>
                    <w:left w:val="nil"/>
                    <w:tl2br w:val="nil"/>
                  </w:tcBorders>
                  <w:shd w:val="clear" w:color="auto" w:fill="FFFFFF"/>
                  <w:vAlign w:val="center"/>
                </w:tcPr>
                <w:p w14:paraId="4DB33DBE">
                  <w:pPr>
                    <w:widowControl/>
                    <w:jc w:val="center"/>
                    <w:textAlignment w:val="center"/>
                    <w:rPr>
                      <w:rFonts w:cs="宋体"/>
                      <w:b/>
                      <w:color w:val="auto"/>
                      <w:sz w:val="18"/>
                      <w:szCs w:val="18"/>
                    </w:rPr>
                  </w:pPr>
                  <w:r>
                    <w:rPr>
                      <w:rFonts w:hint="eastAsia" w:cs="宋体"/>
                      <w:b/>
                      <w:color w:val="auto"/>
                      <w:kern w:val="0"/>
                      <w:sz w:val="18"/>
                      <w:szCs w:val="18"/>
                      <w:lang w:bidi="ar"/>
                    </w:rPr>
                    <w:t>项目名称/废水类别</w:t>
                  </w:r>
                </w:p>
              </w:tc>
              <w:tc>
                <w:tcPr>
                  <w:tcW w:w="1260" w:type="pct"/>
                  <w:gridSpan w:val="2"/>
                  <w:tcBorders>
                    <w:top w:val="single" w:color="000000" w:sz="12" w:space="0"/>
                  </w:tcBorders>
                  <w:shd w:val="clear" w:color="auto" w:fill="FFFFFF"/>
                  <w:vAlign w:val="center"/>
                </w:tcPr>
                <w:p w14:paraId="4E848061">
                  <w:pPr>
                    <w:widowControl/>
                    <w:jc w:val="center"/>
                    <w:textAlignment w:val="center"/>
                    <w:rPr>
                      <w:rFonts w:cs="宋体"/>
                      <w:b/>
                      <w:color w:val="auto"/>
                      <w:sz w:val="18"/>
                      <w:szCs w:val="18"/>
                    </w:rPr>
                  </w:pPr>
                  <w:r>
                    <w:rPr>
                      <w:rFonts w:hint="eastAsia" w:cs="宋体"/>
                      <w:b/>
                      <w:color w:val="auto"/>
                      <w:kern w:val="0"/>
                      <w:sz w:val="18"/>
                      <w:szCs w:val="18"/>
                      <w:lang w:bidi="ar"/>
                    </w:rPr>
                    <w:t>废水名称</w:t>
                  </w:r>
                </w:p>
              </w:tc>
              <w:tc>
                <w:tcPr>
                  <w:tcW w:w="2069" w:type="pct"/>
                  <w:tcBorders>
                    <w:top w:val="single" w:color="000000" w:sz="12" w:space="0"/>
                  </w:tcBorders>
                  <w:shd w:val="clear" w:color="auto" w:fill="FFFFFF"/>
                  <w:vAlign w:val="center"/>
                </w:tcPr>
                <w:p w14:paraId="53287A43">
                  <w:pPr>
                    <w:widowControl/>
                    <w:jc w:val="center"/>
                    <w:textAlignment w:val="center"/>
                    <w:rPr>
                      <w:rFonts w:cs="宋体"/>
                      <w:b/>
                      <w:color w:val="auto"/>
                      <w:sz w:val="18"/>
                      <w:szCs w:val="18"/>
                    </w:rPr>
                  </w:pPr>
                  <w:r>
                    <w:rPr>
                      <w:rFonts w:hint="eastAsia" w:cs="宋体"/>
                      <w:b/>
                      <w:color w:val="auto"/>
                      <w:kern w:val="0"/>
                      <w:sz w:val="18"/>
                      <w:szCs w:val="18"/>
                      <w:lang w:bidi="ar"/>
                    </w:rPr>
                    <w:t>治理措施</w:t>
                  </w:r>
                </w:p>
              </w:tc>
              <w:tc>
                <w:tcPr>
                  <w:tcW w:w="588" w:type="pct"/>
                  <w:tcBorders>
                    <w:top w:val="single" w:color="000000" w:sz="12" w:space="0"/>
                    <w:right w:val="nil"/>
                  </w:tcBorders>
                  <w:shd w:val="clear" w:color="auto" w:fill="FFFFFF"/>
                  <w:vAlign w:val="center"/>
                </w:tcPr>
                <w:p w14:paraId="1631CC5A">
                  <w:pPr>
                    <w:widowControl/>
                    <w:jc w:val="center"/>
                    <w:textAlignment w:val="center"/>
                    <w:rPr>
                      <w:rFonts w:cs="宋体"/>
                      <w:b/>
                      <w:color w:val="auto"/>
                      <w:kern w:val="0"/>
                      <w:sz w:val="18"/>
                      <w:szCs w:val="18"/>
                      <w:lang w:bidi="ar"/>
                    </w:rPr>
                  </w:pPr>
                  <w:r>
                    <w:rPr>
                      <w:rFonts w:hint="eastAsia" w:cs="宋体"/>
                      <w:b/>
                      <w:color w:val="auto"/>
                      <w:kern w:val="0"/>
                      <w:sz w:val="18"/>
                      <w:szCs w:val="18"/>
                      <w:lang w:bidi="ar"/>
                    </w:rPr>
                    <w:t>设计处理能力</w:t>
                  </w:r>
                </w:p>
              </w:tc>
              <w:tc>
                <w:tcPr>
                  <w:tcW w:w="559" w:type="pct"/>
                  <w:tcBorders>
                    <w:top w:val="single" w:color="000000" w:sz="12" w:space="0"/>
                    <w:right w:val="nil"/>
                  </w:tcBorders>
                  <w:shd w:val="clear" w:color="auto" w:fill="FFFFFF"/>
                  <w:vAlign w:val="center"/>
                </w:tcPr>
                <w:p w14:paraId="761D43E3">
                  <w:pPr>
                    <w:widowControl/>
                    <w:jc w:val="center"/>
                    <w:textAlignment w:val="center"/>
                    <w:rPr>
                      <w:rFonts w:cs="宋体"/>
                      <w:b/>
                      <w:color w:val="auto"/>
                      <w:sz w:val="18"/>
                      <w:szCs w:val="18"/>
                    </w:rPr>
                  </w:pPr>
                  <w:r>
                    <w:rPr>
                      <w:rFonts w:hint="eastAsia" w:cs="宋体"/>
                      <w:b/>
                      <w:color w:val="auto"/>
                      <w:kern w:val="0"/>
                      <w:sz w:val="18"/>
                      <w:szCs w:val="18"/>
                      <w:lang w:bidi="ar"/>
                    </w:rPr>
                    <w:t>排放去向</w:t>
                  </w:r>
                </w:p>
              </w:tc>
            </w:tr>
            <w:tr w14:paraId="61612149">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522" w:type="pct"/>
                  <w:vMerge w:val="restart"/>
                  <w:tcBorders>
                    <w:left w:val="nil"/>
                  </w:tcBorders>
                  <w:shd w:val="clear" w:color="auto" w:fill="FFFFFF"/>
                  <w:vAlign w:val="center"/>
                </w:tcPr>
                <w:p w14:paraId="6EF18191">
                  <w:pPr>
                    <w:widowControl/>
                    <w:jc w:val="center"/>
                    <w:textAlignment w:val="center"/>
                    <w:rPr>
                      <w:rFonts w:cs="宋体"/>
                      <w:color w:val="auto"/>
                      <w:sz w:val="18"/>
                      <w:szCs w:val="18"/>
                    </w:rPr>
                  </w:pPr>
                </w:p>
              </w:tc>
              <w:tc>
                <w:tcPr>
                  <w:tcW w:w="1260" w:type="pct"/>
                  <w:gridSpan w:val="2"/>
                  <w:shd w:val="clear" w:color="auto" w:fill="FFFFFF"/>
                  <w:vAlign w:val="center"/>
                </w:tcPr>
                <w:p w14:paraId="543C89C5">
                  <w:pPr>
                    <w:widowControl/>
                    <w:jc w:val="center"/>
                    <w:textAlignment w:val="center"/>
                    <w:rPr>
                      <w:rFonts w:cs="宋体"/>
                      <w:color w:val="auto"/>
                      <w:sz w:val="18"/>
                      <w:szCs w:val="18"/>
                    </w:rPr>
                  </w:pPr>
                </w:p>
              </w:tc>
              <w:tc>
                <w:tcPr>
                  <w:tcW w:w="2069" w:type="pct"/>
                  <w:vMerge w:val="restart"/>
                  <w:shd w:val="clear" w:color="auto" w:fill="FFFFFF"/>
                  <w:vAlign w:val="center"/>
                </w:tcPr>
                <w:p w14:paraId="070777E3">
                  <w:pPr>
                    <w:widowControl/>
                    <w:jc w:val="center"/>
                    <w:textAlignment w:val="center"/>
                    <w:rPr>
                      <w:rFonts w:cs="宋体"/>
                      <w:color w:val="auto"/>
                      <w:sz w:val="18"/>
                      <w:szCs w:val="18"/>
                    </w:rPr>
                  </w:pPr>
                </w:p>
              </w:tc>
              <w:tc>
                <w:tcPr>
                  <w:tcW w:w="588" w:type="pct"/>
                  <w:vMerge w:val="restart"/>
                  <w:tcBorders>
                    <w:right w:val="nil"/>
                  </w:tcBorders>
                  <w:shd w:val="clear" w:color="auto" w:fill="FFFFFF"/>
                  <w:vAlign w:val="center"/>
                </w:tcPr>
                <w:p w14:paraId="350A91BB">
                  <w:pPr>
                    <w:widowControl/>
                    <w:jc w:val="center"/>
                    <w:textAlignment w:val="center"/>
                    <w:rPr>
                      <w:rFonts w:cs="宋体"/>
                      <w:color w:val="auto"/>
                      <w:kern w:val="0"/>
                      <w:sz w:val="18"/>
                      <w:szCs w:val="18"/>
                      <w:lang w:bidi="ar"/>
                    </w:rPr>
                  </w:pPr>
                </w:p>
              </w:tc>
              <w:tc>
                <w:tcPr>
                  <w:tcW w:w="559" w:type="pct"/>
                  <w:vMerge w:val="restart"/>
                  <w:tcBorders>
                    <w:right w:val="nil"/>
                  </w:tcBorders>
                  <w:shd w:val="clear" w:color="auto" w:fill="FFFFFF"/>
                  <w:vAlign w:val="center"/>
                </w:tcPr>
                <w:p w14:paraId="20B1DE44">
                  <w:pPr>
                    <w:widowControl/>
                    <w:jc w:val="center"/>
                    <w:textAlignment w:val="center"/>
                    <w:rPr>
                      <w:rFonts w:cs="宋体"/>
                      <w:color w:val="auto"/>
                      <w:sz w:val="18"/>
                      <w:szCs w:val="18"/>
                    </w:rPr>
                  </w:pPr>
                </w:p>
              </w:tc>
            </w:tr>
            <w:tr w14:paraId="12D1490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522" w:type="pct"/>
                  <w:vMerge w:val="continue"/>
                  <w:tcBorders>
                    <w:left w:val="nil"/>
                  </w:tcBorders>
                  <w:shd w:val="clear" w:color="auto" w:fill="FFFFFF"/>
                  <w:vAlign w:val="center"/>
                </w:tcPr>
                <w:p w14:paraId="03AA93D4">
                  <w:pPr>
                    <w:widowControl/>
                    <w:jc w:val="center"/>
                    <w:rPr>
                      <w:rFonts w:cs="宋体"/>
                      <w:color w:val="auto"/>
                      <w:sz w:val="18"/>
                      <w:szCs w:val="18"/>
                    </w:rPr>
                  </w:pPr>
                </w:p>
              </w:tc>
              <w:tc>
                <w:tcPr>
                  <w:tcW w:w="1260" w:type="pct"/>
                  <w:gridSpan w:val="2"/>
                  <w:shd w:val="clear" w:color="auto" w:fill="FFFFFF"/>
                  <w:vAlign w:val="center"/>
                </w:tcPr>
                <w:p w14:paraId="0E0C2653">
                  <w:pPr>
                    <w:widowControl/>
                    <w:jc w:val="center"/>
                    <w:textAlignment w:val="center"/>
                    <w:rPr>
                      <w:rFonts w:cs="宋体"/>
                      <w:color w:val="auto"/>
                      <w:sz w:val="18"/>
                      <w:szCs w:val="18"/>
                    </w:rPr>
                  </w:pPr>
                </w:p>
              </w:tc>
              <w:tc>
                <w:tcPr>
                  <w:tcW w:w="2069" w:type="pct"/>
                  <w:vMerge w:val="continue"/>
                  <w:shd w:val="clear" w:color="auto" w:fill="FFFFFF"/>
                  <w:vAlign w:val="center"/>
                </w:tcPr>
                <w:p w14:paraId="25DFA211">
                  <w:pPr>
                    <w:widowControl/>
                    <w:jc w:val="center"/>
                    <w:rPr>
                      <w:rFonts w:cs="宋体"/>
                      <w:color w:val="auto"/>
                      <w:sz w:val="18"/>
                      <w:szCs w:val="18"/>
                    </w:rPr>
                  </w:pPr>
                </w:p>
              </w:tc>
              <w:tc>
                <w:tcPr>
                  <w:tcW w:w="588" w:type="pct"/>
                  <w:vMerge w:val="continue"/>
                  <w:tcBorders>
                    <w:right w:val="nil"/>
                  </w:tcBorders>
                  <w:shd w:val="clear" w:color="auto" w:fill="FFFFFF"/>
                  <w:vAlign w:val="center"/>
                </w:tcPr>
                <w:p w14:paraId="25735C6F">
                  <w:pPr>
                    <w:widowControl/>
                    <w:jc w:val="center"/>
                    <w:rPr>
                      <w:rFonts w:cs="宋体"/>
                      <w:color w:val="auto"/>
                      <w:sz w:val="18"/>
                      <w:szCs w:val="18"/>
                    </w:rPr>
                  </w:pPr>
                </w:p>
              </w:tc>
              <w:tc>
                <w:tcPr>
                  <w:tcW w:w="559" w:type="pct"/>
                  <w:vMerge w:val="continue"/>
                  <w:tcBorders>
                    <w:right w:val="nil"/>
                  </w:tcBorders>
                  <w:shd w:val="clear" w:color="auto" w:fill="FFFFFF"/>
                  <w:vAlign w:val="center"/>
                </w:tcPr>
                <w:p w14:paraId="54BECD26">
                  <w:pPr>
                    <w:widowControl/>
                    <w:jc w:val="center"/>
                    <w:rPr>
                      <w:rFonts w:cs="宋体"/>
                      <w:color w:val="auto"/>
                      <w:sz w:val="18"/>
                      <w:szCs w:val="18"/>
                    </w:rPr>
                  </w:pPr>
                </w:p>
              </w:tc>
            </w:tr>
            <w:tr w14:paraId="123E749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522" w:type="pct"/>
                  <w:vMerge w:val="restart"/>
                  <w:tcBorders>
                    <w:left w:val="nil"/>
                  </w:tcBorders>
                  <w:shd w:val="clear" w:color="auto" w:fill="FFFFFF"/>
                  <w:vAlign w:val="center"/>
                </w:tcPr>
                <w:p w14:paraId="27E4D8DB">
                  <w:pPr>
                    <w:widowControl/>
                    <w:jc w:val="center"/>
                    <w:textAlignment w:val="center"/>
                    <w:rPr>
                      <w:rFonts w:cs="宋体"/>
                      <w:color w:val="auto"/>
                      <w:sz w:val="18"/>
                      <w:szCs w:val="18"/>
                    </w:rPr>
                  </w:pPr>
                </w:p>
              </w:tc>
              <w:tc>
                <w:tcPr>
                  <w:tcW w:w="503" w:type="pct"/>
                  <w:vMerge w:val="restart"/>
                  <w:shd w:val="clear" w:color="auto" w:fill="FFFFFF"/>
                  <w:vAlign w:val="center"/>
                </w:tcPr>
                <w:p w14:paraId="67D65691">
                  <w:pPr>
                    <w:widowControl/>
                    <w:jc w:val="center"/>
                    <w:textAlignment w:val="center"/>
                    <w:rPr>
                      <w:rFonts w:cs="宋体"/>
                      <w:color w:val="auto"/>
                      <w:sz w:val="18"/>
                      <w:szCs w:val="18"/>
                    </w:rPr>
                  </w:pPr>
                </w:p>
              </w:tc>
              <w:tc>
                <w:tcPr>
                  <w:tcW w:w="757" w:type="pct"/>
                  <w:shd w:val="clear" w:color="auto" w:fill="FFFFFF"/>
                  <w:vAlign w:val="center"/>
                </w:tcPr>
                <w:p w14:paraId="5C08E390">
                  <w:pPr>
                    <w:widowControl/>
                    <w:jc w:val="center"/>
                    <w:textAlignment w:val="center"/>
                    <w:rPr>
                      <w:rFonts w:cs="宋体"/>
                      <w:color w:val="auto"/>
                      <w:sz w:val="18"/>
                      <w:szCs w:val="18"/>
                    </w:rPr>
                  </w:pPr>
                </w:p>
              </w:tc>
              <w:tc>
                <w:tcPr>
                  <w:tcW w:w="2069" w:type="pct"/>
                  <w:vMerge w:val="restart"/>
                  <w:shd w:val="clear" w:color="auto" w:fill="FFFFFF"/>
                  <w:vAlign w:val="center"/>
                </w:tcPr>
                <w:p w14:paraId="4FBEAFDD">
                  <w:pPr>
                    <w:widowControl/>
                    <w:jc w:val="center"/>
                    <w:textAlignment w:val="center"/>
                    <w:rPr>
                      <w:rFonts w:cs="宋体"/>
                      <w:color w:val="auto"/>
                      <w:sz w:val="18"/>
                      <w:szCs w:val="18"/>
                    </w:rPr>
                  </w:pPr>
                </w:p>
              </w:tc>
              <w:tc>
                <w:tcPr>
                  <w:tcW w:w="588" w:type="pct"/>
                  <w:vMerge w:val="continue"/>
                  <w:tcBorders>
                    <w:right w:val="nil"/>
                  </w:tcBorders>
                  <w:shd w:val="clear" w:color="auto" w:fill="FFFFFF"/>
                  <w:vAlign w:val="center"/>
                </w:tcPr>
                <w:p w14:paraId="776E8F9D">
                  <w:pPr>
                    <w:widowControl/>
                    <w:jc w:val="center"/>
                    <w:textAlignment w:val="center"/>
                    <w:rPr>
                      <w:rFonts w:cs="宋体"/>
                      <w:color w:val="auto"/>
                      <w:kern w:val="0"/>
                      <w:sz w:val="18"/>
                      <w:szCs w:val="18"/>
                      <w:lang w:bidi="ar"/>
                    </w:rPr>
                  </w:pPr>
                </w:p>
              </w:tc>
              <w:tc>
                <w:tcPr>
                  <w:tcW w:w="559" w:type="pct"/>
                  <w:vMerge w:val="continue"/>
                  <w:tcBorders>
                    <w:right w:val="nil"/>
                  </w:tcBorders>
                  <w:shd w:val="clear" w:color="auto" w:fill="FFFFFF"/>
                  <w:vAlign w:val="center"/>
                </w:tcPr>
                <w:p w14:paraId="18DCB6A4">
                  <w:pPr>
                    <w:widowControl/>
                    <w:jc w:val="center"/>
                    <w:textAlignment w:val="center"/>
                    <w:rPr>
                      <w:rFonts w:cs="宋体"/>
                      <w:color w:val="auto"/>
                      <w:sz w:val="18"/>
                      <w:szCs w:val="18"/>
                    </w:rPr>
                  </w:pPr>
                </w:p>
              </w:tc>
            </w:tr>
            <w:tr w14:paraId="72499F49">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522" w:type="pct"/>
                  <w:vMerge w:val="continue"/>
                  <w:tcBorders>
                    <w:left w:val="nil"/>
                  </w:tcBorders>
                  <w:shd w:val="clear" w:color="auto" w:fill="FFFFFF"/>
                  <w:vAlign w:val="center"/>
                </w:tcPr>
                <w:p w14:paraId="06EE3E92">
                  <w:pPr>
                    <w:widowControl/>
                    <w:jc w:val="center"/>
                    <w:rPr>
                      <w:rFonts w:cs="宋体"/>
                      <w:color w:val="auto"/>
                      <w:sz w:val="18"/>
                      <w:szCs w:val="18"/>
                    </w:rPr>
                  </w:pPr>
                </w:p>
              </w:tc>
              <w:tc>
                <w:tcPr>
                  <w:tcW w:w="503" w:type="pct"/>
                  <w:vMerge w:val="continue"/>
                  <w:shd w:val="clear" w:color="auto" w:fill="FFFFFF"/>
                  <w:vAlign w:val="center"/>
                </w:tcPr>
                <w:p w14:paraId="608EAEFE">
                  <w:pPr>
                    <w:widowControl/>
                    <w:jc w:val="center"/>
                    <w:rPr>
                      <w:rFonts w:cs="宋体"/>
                      <w:color w:val="auto"/>
                      <w:sz w:val="18"/>
                      <w:szCs w:val="18"/>
                    </w:rPr>
                  </w:pPr>
                </w:p>
              </w:tc>
              <w:tc>
                <w:tcPr>
                  <w:tcW w:w="757" w:type="pct"/>
                  <w:shd w:val="clear" w:color="auto" w:fill="FFFFFF"/>
                  <w:vAlign w:val="center"/>
                </w:tcPr>
                <w:p w14:paraId="11DD9199">
                  <w:pPr>
                    <w:widowControl/>
                    <w:jc w:val="center"/>
                    <w:textAlignment w:val="center"/>
                    <w:rPr>
                      <w:rFonts w:cs="宋体"/>
                      <w:color w:val="auto"/>
                      <w:sz w:val="18"/>
                      <w:szCs w:val="18"/>
                    </w:rPr>
                  </w:pPr>
                </w:p>
              </w:tc>
              <w:tc>
                <w:tcPr>
                  <w:tcW w:w="2069" w:type="pct"/>
                  <w:vMerge w:val="continue"/>
                  <w:shd w:val="clear" w:color="auto" w:fill="FFFFFF"/>
                  <w:vAlign w:val="center"/>
                </w:tcPr>
                <w:p w14:paraId="38E1D013">
                  <w:pPr>
                    <w:widowControl/>
                    <w:jc w:val="center"/>
                    <w:rPr>
                      <w:rFonts w:cs="宋体"/>
                      <w:color w:val="auto"/>
                      <w:sz w:val="18"/>
                      <w:szCs w:val="18"/>
                    </w:rPr>
                  </w:pPr>
                </w:p>
              </w:tc>
              <w:tc>
                <w:tcPr>
                  <w:tcW w:w="588" w:type="pct"/>
                  <w:vMerge w:val="continue"/>
                  <w:tcBorders>
                    <w:right w:val="nil"/>
                  </w:tcBorders>
                  <w:shd w:val="clear" w:color="auto" w:fill="FFFFFF"/>
                  <w:vAlign w:val="center"/>
                </w:tcPr>
                <w:p w14:paraId="2BFE2395">
                  <w:pPr>
                    <w:widowControl/>
                    <w:jc w:val="center"/>
                    <w:rPr>
                      <w:rFonts w:cs="宋体"/>
                      <w:color w:val="auto"/>
                      <w:sz w:val="18"/>
                      <w:szCs w:val="18"/>
                    </w:rPr>
                  </w:pPr>
                </w:p>
              </w:tc>
              <w:tc>
                <w:tcPr>
                  <w:tcW w:w="559" w:type="pct"/>
                  <w:vMerge w:val="continue"/>
                  <w:tcBorders>
                    <w:right w:val="nil"/>
                  </w:tcBorders>
                  <w:shd w:val="clear" w:color="auto" w:fill="FFFFFF"/>
                  <w:vAlign w:val="center"/>
                </w:tcPr>
                <w:p w14:paraId="6BB0B08C">
                  <w:pPr>
                    <w:widowControl/>
                    <w:jc w:val="center"/>
                    <w:rPr>
                      <w:rFonts w:cs="宋体"/>
                      <w:color w:val="auto"/>
                      <w:sz w:val="18"/>
                      <w:szCs w:val="18"/>
                    </w:rPr>
                  </w:pPr>
                </w:p>
              </w:tc>
            </w:tr>
            <w:tr w14:paraId="6DD3181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522" w:type="pct"/>
                  <w:vMerge w:val="continue"/>
                  <w:tcBorders>
                    <w:left w:val="nil"/>
                  </w:tcBorders>
                  <w:shd w:val="clear" w:color="auto" w:fill="FFFFFF"/>
                  <w:vAlign w:val="center"/>
                </w:tcPr>
                <w:p w14:paraId="22A60AC7">
                  <w:pPr>
                    <w:widowControl/>
                    <w:jc w:val="center"/>
                    <w:rPr>
                      <w:rFonts w:cs="宋体"/>
                      <w:color w:val="auto"/>
                      <w:sz w:val="18"/>
                      <w:szCs w:val="18"/>
                    </w:rPr>
                  </w:pPr>
                </w:p>
              </w:tc>
              <w:tc>
                <w:tcPr>
                  <w:tcW w:w="503" w:type="pct"/>
                  <w:vMerge w:val="continue"/>
                  <w:shd w:val="clear" w:color="auto" w:fill="FFFFFF"/>
                  <w:vAlign w:val="center"/>
                </w:tcPr>
                <w:p w14:paraId="5403B8BC">
                  <w:pPr>
                    <w:widowControl/>
                    <w:jc w:val="center"/>
                    <w:rPr>
                      <w:rFonts w:cs="宋体"/>
                      <w:color w:val="auto"/>
                      <w:sz w:val="18"/>
                      <w:szCs w:val="18"/>
                    </w:rPr>
                  </w:pPr>
                </w:p>
              </w:tc>
              <w:tc>
                <w:tcPr>
                  <w:tcW w:w="757" w:type="pct"/>
                  <w:shd w:val="clear" w:color="auto" w:fill="FFFFFF"/>
                  <w:vAlign w:val="center"/>
                </w:tcPr>
                <w:p w14:paraId="5E1C9924">
                  <w:pPr>
                    <w:widowControl/>
                    <w:jc w:val="center"/>
                    <w:textAlignment w:val="center"/>
                    <w:rPr>
                      <w:rFonts w:cs="宋体"/>
                      <w:color w:val="auto"/>
                      <w:sz w:val="18"/>
                      <w:szCs w:val="18"/>
                    </w:rPr>
                  </w:pPr>
                </w:p>
              </w:tc>
              <w:tc>
                <w:tcPr>
                  <w:tcW w:w="2069" w:type="pct"/>
                  <w:vMerge w:val="continue"/>
                  <w:shd w:val="clear" w:color="auto" w:fill="FFFFFF"/>
                  <w:vAlign w:val="center"/>
                </w:tcPr>
                <w:p w14:paraId="0C0C77CA">
                  <w:pPr>
                    <w:widowControl/>
                    <w:jc w:val="center"/>
                    <w:rPr>
                      <w:rFonts w:cs="宋体"/>
                      <w:color w:val="auto"/>
                      <w:sz w:val="18"/>
                      <w:szCs w:val="18"/>
                    </w:rPr>
                  </w:pPr>
                </w:p>
              </w:tc>
              <w:tc>
                <w:tcPr>
                  <w:tcW w:w="588" w:type="pct"/>
                  <w:vMerge w:val="continue"/>
                  <w:tcBorders>
                    <w:right w:val="nil"/>
                  </w:tcBorders>
                  <w:shd w:val="clear" w:color="auto" w:fill="FFFFFF"/>
                  <w:vAlign w:val="center"/>
                </w:tcPr>
                <w:p w14:paraId="377D7BCD">
                  <w:pPr>
                    <w:widowControl/>
                    <w:jc w:val="center"/>
                    <w:rPr>
                      <w:rFonts w:cs="宋体"/>
                      <w:color w:val="auto"/>
                      <w:sz w:val="18"/>
                      <w:szCs w:val="18"/>
                    </w:rPr>
                  </w:pPr>
                </w:p>
              </w:tc>
              <w:tc>
                <w:tcPr>
                  <w:tcW w:w="559" w:type="pct"/>
                  <w:vMerge w:val="continue"/>
                  <w:tcBorders>
                    <w:right w:val="nil"/>
                  </w:tcBorders>
                  <w:shd w:val="clear" w:color="auto" w:fill="FFFFFF"/>
                  <w:vAlign w:val="center"/>
                </w:tcPr>
                <w:p w14:paraId="329617B1">
                  <w:pPr>
                    <w:widowControl/>
                    <w:jc w:val="center"/>
                    <w:rPr>
                      <w:rFonts w:cs="宋体"/>
                      <w:color w:val="auto"/>
                      <w:sz w:val="18"/>
                      <w:szCs w:val="18"/>
                    </w:rPr>
                  </w:pPr>
                </w:p>
              </w:tc>
            </w:tr>
            <w:tr w14:paraId="7E64674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522" w:type="pct"/>
                  <w:vMerge w:val="continue"/>
                  <w:tcBorders>
                    <w:left w:val="nil"/>
                  </w:tcBorders>
                  <w:shd w:val="clear" w:color="auto" w:fill="FFFFFF"/>
                  <w:vAlign w:val="center"/>
                </w:tcPr>
                <w:p w14:paraId="74353BD4">
                  <w:pPr>
                    <w:widowControl/>
                    <w:jc w:val="center"/>
                    <w:rPr>
                      <w:rFonts w:cs="宋体"/>
                      <w:color w:val="auto"/>
                      <w:sz w:val="18"/>
                      <w:szCs w:val="18"/>
                    </w:rPr>
                  </w:pPr>
                </w:p>
              </w:tc>
              <w:tc>
                <w:tcPr>
                  <w:tcW w:w="503" w:type="pct"/>
                  <w:vMerge w:val="continue"/>
                  <w:shd w:val="clear" w:color="auto" w:fill="FFFFFF"/>
                  <w:vAlign w:val="center"/>
                </w:tcPr>
                <w:p w14:paraId="4E8D0AF7">
                  <w:pPr>
                    <w:widowControl/>
                    <w:jc w:val="center"/>
                    <w:rPr>
                      <w:rFonts w:cs="宋体"/>
                      <w:color w:val="auto"/>
                      <w:sz w:val="18"/>
                      <w:szCs w:val="18"/>
                    </w:rPr>
                  </w:pPr>
                </w:p>
              </w:tc>
              <w:tc>
                <w:tcPr>
                  <w:tcW w:w="757" w:type="pct"/>
                  <w:shd w:val="clear" w:color="auto" w:fill="FFFFFF"/>
                  <w:vAlign w:val="center"/>
                </w:tcPr>
                <w:p w14:paraId="5C885EEF">
                  <w:pPr>
                    <w:widowControl/>
                    <w:jc w:val="center"/>
                    <w:textAlignment w:val="center"/>
                    <w:rPr>
                      <w:rFonts w:cs="宋体"/>
                      <w:color w:val="auto"/>
                      <w:sz w:val="18"/>
                      <w:szCs w:val="18"/>
                    </w:rPr>
                  </w:pPr>
                </w:p>
              </w:tc>
              <w:tc>
                <w:tcPr>
                  <w:tcW w:w="2069" w:type="pct"/>
                  <w:vMerge w:val="continue"/>
                  <w:shd w:val="clear" w:color="auto" w:fill="FFFFFF"/>
                  <w:vAlign w:val="center"/>
                </w:tcPr>
                <w:p w14:paraId="69D1542A">
                  <w:pPr>
                    <w:widowControl/>
                    <w:jc w:val="center"/>
                    <w:rPr>
                      <w:rFonts w:cs="宋体"/>
                      <w:color w:val="auto"/>
                      <w:sz w:val="18"/>
                      <w:szCs w:val="18"/>
                    </w:rPr>
                  </w:pPr>
                </w:p>
              </w:tc>
              <w:tc>
                <w:tcPr>
                  <w:tcW w:w="588" w:type="pct"/>
                  <w:vMerge w:val="continue"/>
                  <w:tcBorders>
                    <w:right w:val="nil"/>
                  </w:tcBorders>
                  <w:shd w:val="clear" w:color="auto" w:fill="FFFFFF"/>
                  <w:vAlign w:val="center"/>
                </w:tcPr>
                <w:p w14:paraId="7F4BCAB6">
                  <w:pPr>
                    <w:widowControl/>
                    <w:jc w:val="center"/>
                    <w:rPr>
                      <w:rFonts w:cs="宋体"/>
                      <w:color w:val="auto"/>
                      <w:sz w:val="18"/>
                      <w:szCs w:val="18"/>
                    </w:rPr>
                  </w:pPr>
                </w:p>
              </w:tc>
              <w:tc>
                <w:tcPr>
                  <w:tcW w:w="559" w:type="pct"/>
                  <w:vMerge w:val="continue"/>
                  <w:tcBorders>
                    <w:right w:val="nil"/>
                  </w:tcBorders>
                  <w:shd w:val="clear" w:color="auto" w:fill="FFFFFF"/>
                  <w:vAlign w:val="center"/>
                </w:tcPr>
                <w:p w14:paraId="0D9C98E7">
                  <w:pPr>
                    <w:widowControl/>
                    <w:jc w:val="center"/>
                    <w:rPr>
                      <w:rFonts w:cs="宋体"/>
                      <w:color w:val="auto"/>
                      <w:sz w:val="18"/>
                      <w:szCs w:val="18"/>
                    </w:rPr>
                  </w:pPr>
                </w:p>
              </w:tc>
            </w:tr>
            <w:tr w14:paraId="63DF78F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PrEx>
              <w:trPr>
                <w:trHeight w:val="57" w:hRule="atLeast"/>
              </w:trPr>
              <w:tc>
                <w:tcPr>
                  <w:tcW w:w="522" w:type="pct"/>
                  <w:vMerge w:val="restart"/>
                  <w:tcBorders>
                    <w:left w:val="nil"/>
                  </w:tcBorders>
                  <w:shd w:val="clear" w:color="auto" w:fill="FFFFFF"/>
                  <w:vAlign w:val="center"/>
                </w:tcPr>
                <w:p w14:paraId="3F937A04">
                  <w:pPr>
                    <w:widowControl/>
                    <w:jc w:val="center"/>
                    <w:textAlignment w:val="center"/>
                    <w:rPr>
                      <w:rFonts w:cs="宋体"/>
                      <w:color w:val="auto"/>
                      <w:sz w:val="18"/>
                      <w:szCs w:val="18"/>
                    </w:rPr>
                  </w:pPr>
                </w:p>
              </w:tc>
              <w:tc>
                <w:tcPr>
                  <w:tcW w:w="1260" w:type="pct"/>
                  <w:gridSpan w:val="2"/>
                  <w:shd w:val="clear" w:color="auto" w:fill="FFFFFF"/>
                  <w:vAlign w:val="center"/>
                </w:tcPr>
                <w:p w14:paraId="43ACEC7B">
                  <w:pPr>
                    <w:widowControl/>
                    <w:jc w:val="center"/>
                    <w:textAlignment w:val="center"/>
                    <w:rPr>
                      <w:rFonts w:cs="宋体"/>
                      <w:color w:val="auto"/>
                      <w:sz w:val="18"/>
                      <w:szCs w:val="18"/>
                    </w:rPr>
                  </w:pPr>
                </w:p>
              </w:tc>
              <w:tc>
                <w:tcPr>
                  <w:tcW w:w="2069" w:type="pct"/>
                  <w:vMerge w:val="restart"/>
                  <w:shd w:val="clear" w:color="auto" w:fill="FFFFFF"/>
                  <w:vAlign w:val="center"/>
                </w:tcPr>
                <w:p w14:paraId="6591949C">
                  <w:pPr>
                    <w:widowControl/>
                    <w:jc w:val="center"/>
                    <w:textAlignment w:val="center"/>
                    <w:rPr>
                      <w:rFonts w:cs="宋体"/>
                      <w:color w:val="auto"/>
                      <w:sz w:val="18"/>
                      <w:szCs w:val="18"/>
                    </w:rPr>
                  </w:pPr>
                </w:p>
              </w:tc>
              <w:tc>
                <w:tcPr>
                  <w:tcW w:w="588" w:type="pct"/>
                  <w:vMerge w:val="continue"/>
                  <w:tcBorders>
                    <w:right w:val="nil"/>
                  </w:tcBorders>
                  <w:shd w:val="clear" w:color="auto" w:fill="FFFFFF"/>
                  <w:noWrap/>
                  <w:vAlign w:val="center"/>
                </w:tcPr>
                <w:p w14:paraId="78DAA7CA">
                  <w:pPr>
                    <w:widowControl/>
                    <w:jc w:val="center"/>
                    <w:textAlignment w:val="center"/>
                    <w:rPr>
                      <w:rFonts w:cs="宋体"/>
                      <w:color w:val="auto"/>
                      <w:kern w:val="0"/>
                      <w:sz w:val="18"/>
                      <w:szCs w:val="18"/>
                      <w:lang w:bidi="ar"/>
                    </w:rPr>
                  </w:pPr>
                </w:p>
              </w:tc>
              <w:tc>
                <w:tcPr>
                  <w:tcW w:w="559" w:type="pct"/>
                  <w:vMerge w:val="continue"/>
                  <w:tcBorders>
                    <w:right w:val="nil"/>
                  </w:tcBorders>
                  <w:shd w:val="clear" w:color="auto" w:fill="FFFFFF"/>
                  <w:noWrap/>
                  <w:vAlign w:val="center"/>
                </w:tcPr>
                <w:p w14:paraId="2EFA2FA7">
                  <w:pPr>
                    <w:widowControl/>
                    <w:jc w:val="center"/>
                    <w:textAlignment w:val="center"/>
                    <w:rPr>
                      <w:rFonts w:cs="宋体"/>
                      <w:color w:val="auto"/>
                      <w:sz w:val="18"/>
                      <w:szCs w:val="18"/>
                    </w:rPr>
                  </w:pPr>
                </w:p>
              </w:tc>
            </w:tr>
            <w:tr w14:paraId="24F871F9">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522" w:type="pct"/>
                  <w:vMerge w:val="continue"/>
                  <w:tcBorders>
                    <w:left w:val="nil"/>
                  </w:tcBorders>
                  <w:shd w:val="clear" w:color="auto" w:fill="FFFFFF"/>
                  <w:vAlign w:val="center"/>
                </w:tcPr>
                <w:p w14:paraId="7B9EB696">
                  <w:pPr>
                    <w:widowControl/>
                    <w:jc w:val="center"/>
                    <w:rPr>
                      <w:rFonts w:cs="宋体"/>
                      <w:color w:val="auto"/>
                      <w:sz w:val="18"/>
                      <w:szCs w:val="18"/>
                    </w:rPr>
                  </w:pPr>
                </w:p>
              </w:tc>
              <w:tc>
                <w:tcPr>
                  <w:tcW w:w="1260" w:type="pct"/>
                  <w:gridSpan w:val="2"/>
                  <w:shd w:val="clear" w:color="auto" w:fill="FFFFFF"/>
                  <w:vAlign w:val="center"/>
                </w:tcPr>
                <w:p w14:paraId="282D057E">
                  <w:pPr>
                    <w:widowControl/>
                    <w:jc w:val="center"/>
                    <w:textAlignment w:val="center"/>
                    <w:rPr>
                      <w:rFonts w:cs="宋体"/>
                      <w:color w:val="auto"/>
                      <w:sz w:val="18"/>
                      <w:szCs w:val="18"/>
                    </w:rPr>
                  </w:pPr>
                </w:p>
              </w:tc>
              <w:tc>
                <w:tcPr>
                  <w:tcW w:w="2069" w:type="pct"/>
                  <w:vMerge w:val="continue"/>
                  <w:shd w:val="clear" w:color="auto" w:fill="FFFFFF"/>
                  <w:vAlign w:val="center"/>
                </w:tcPr>
                <w:p w14:paraId="4418D272">
                  <w:pPr>
                    <w:widowControl/>
                    <w:jc w:val="center"/>
                    <w:rPr>
                      <w:rFonts w:cs="宋体"/>
                      <w:color w:val="auto"/>
                      <w:sz w:val="18"/>
                      <w:szCs w:val="18"/>
                    </w:rPr>
                  </w:pPr>
                </w:p>
              </w:tc>
              <w:tc>
                <w:tcPr>
                  <w:tcW w:w="588" w:type="pct"/>
                  <w:vMerge w:val="continue"/>
                  <w:tcBorders>
                    <w:right w:val="nil"/>
                  </w:tcBorders>
                  <w:shd w:val="clear" w:color="auto" w:fill="FFFFFF"/>
                  <w:noWrap/>
                  <w:vAlign w:val="center"/>
                </w:tcPr>
                <w:p w14:paraId="09EB5804">
                  <w:pPr>
                    <w:widowControl/>
                    <w:jc w:val="center"/>
                    <w:rPr>
                      <w:rFonts w:cs="宋体"/>
                      <w:color w:val="auto"/>
                      <w:sz w:val="18"/>
                      <w:szCs w:val="18"/>
                    </w:rPr>
                  </w:pPr>
                </w:p>
              </w:tc>
              <w:tc>
                <w:tcPr>
                  <w:tcW w:w="559" w:type="pct"/>
                  <w:vMerge w:val="continue"/>
                  <w:tcBorders>
                    <w:right w:val="nil"/>
                  </w:tcBorders>
                  <w:shd w:val="clear" w:color="auto" w:fill="FFFFFF"/>
                  <w:noWrap/>
                  <w:vAlign w:val="center"/>
                </w:tcPr>
                <w:p w14:paraId="5FAB9E71">
                  <w:pPr>
                    <w:widowControl/>
                    <w:jc w:val="center"/>
                    <w:rPr>
                      <w:rFonts w:cs="宋体"/>
                      <w:color w:val="auto"/>
                      <w:sz w:val="18"/>
                      <w:szCs w:val="18"/>
                    </w:rPr>
                  </w:pPr>
                </w:p>
              </w:tc>
            </w:tr>
            <w:tr w14:paraId="08C9D97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522" w:type="pct"/>
                  <w:vMerge w:val="continue"/>
                  <w:tcBorders>
                    <w:left w:val="nil"/>
                  </w:tcBorders>
                  <w:shd w:val="clear" w:color="auto" w:fill="FFFFFF"/>
                  <w:vAlign w:val="center"/>
                </w:tcPr>
                <w:p w14:paraId="7AECB45F">
                  <w:pPr>
                    <w:widowControl/>
                    <w:jc w:val="center"/>
                    <w:rPr>
                      <w:rFonts w:cs="宋体"/>
                      <w:color w:val="auto"/>
                      <w:sz w:val="18"/>
                      <w:szCs w:val="18"/>
                    </w:rPr>
                  </w:pPr>
                </w:p>
              </w:tc>
              <w:tc>
                <w:tcPr>
                  <w:tcW w:w="1260" w:type="pct"/>
                  <w:gridSpan w:val="2"/>
                  <w:shd w:val="clear" w:color="auto" w:fill="FFFFFF"/>
                  <w:vAlign w:val="center"/>
                </w:tcPr>
                <w:p w14:paraId="4E670CEF">
                  <w:pPr>
                    <w:widowControl/>
                    <w:jc w:val="center"/>
                    <w:textAlignment w:val="center"/>
                    <w:rPr>
                      <w:rFonts w:cs="宋体"/>
                      <w:color w:val="auto"/>
                      <w:sz w:val="18"/>
                      <w:szCs w:val="18"/>
                    </w:rPr>
                  </w:pPr>
                </w:p>
              </w:tc>
              <w:tc>
                <w:tcPr>
                  <w:tcW w:w="2069" w:type="pct"/>
                  <w:shd w:val="clear" w:color="auto" w:fill="FFFFFF"/>
                  <w:noWrap/>
                  <w:vAlign w:val="center"/>
                </w:tcPr>
                <w:p w14:paraId="51FACB38">
                  <w:pPr>
                    <w:widowControl/>
                    <w:jc w:val="center"/>
                    <w:textAlignment w:val="center"/>
                    <w:rPr>
                      <w:rFonts w:cs="宋体"/>
                      <w:color w:val="auto"/>
                      <w:sz w:val="18"/>
                      <w:szCs w:val="18"/>
                    </w:rPr>
                  </w:pPr>
                </w:p>
              </w:tc>
              <w:tc>
                <w:tcPr>
                  <w:tcW w:w="588" w:type="pct"/>
                  <w:tcBorders>
                    <w:right w:val="nil"/>
                  </w:tcBorders>
                  <w:shd w:val="clear" w:color="auto" w:fill="FFFFFF"/>
                  <w:noWrap/>
                  <w:vAlign w:val="center"/>
                </w:tcPr>
                <w:p w14:paraId="4919BBBD">
                  <w:pPr>
                    <w:widowControl/>
                    <w:jc w:val="center"/>
                    <w:textAlignment w:val="center"/>
                    <w:rPr>
                      <w:rFonts w:cs="宋体"/>
                      <w:color w:val="auto"/>
                      <w:kern w:val="0"/>
                      <w:sz w:val="18"/>
                      <w:szCs w:val="18"/>
                      <w:lang w:bidi="ar"/>
                    </w:rPr>
                  </w:pPr>
                </w:p>
              </w:tc>
              <w:tc>
                <w:tcPr>
                  <w:tcW w:w="559" w:type="pct"/>
                  <w:vMerge w:val="continue"/>
                  <w:tcBorders>
                    <w:right w:val="nil"/>
                  </w:tcBorders>
                  <w:shd w:val="clear" w:color="auto" w:fill="FFFFFF"/>
                  <w:noWrap/>
                  <w:vAlign w:val="center"/>
                </w:tcPr>
                <w:p w14:paraId="3AE47851">
                  <w:pPr>
                    <w:widowControl/>
                    <w:jc w:val="center"/>
                    <w:rPr>
                      <w:rFonts w:cs="宋体"/>
                      <w:color w:val="auto"/>
                      <w:sz w:val="18"/>
                      <w:szCs w:val="18"/>
                    </w:rPr>
                  </w:pPr>
                </w:p>
              </w:tc>
            </w:tr>
            <w:tr w14:paraId="15BB6E0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522" w:type="pct"/>
                  <w:vMerge w:val="continue"/>
                  <w:tcBorders>
                    <w:left w:val="nil"/>
                  </w:tcBorders>
                  <w:shd w:val="clear" w:color="auto" w:fill="FFFFFF"/>
                  <w:vAlign w:val="center"/>
                </w:tcPr>
                <w:p w14:paraId="28701B01">
                  <w:pPr>
                    <w:widowControl/>
                    <w:jc w:val="center"/>
                    <w:rPr>
                      <w:rFonts w:cs="宋体"/>
                      <w:color w:val="auto"/>
                      <w:sz w:val="18"/>
                      <w:szCs w:val="18"/>
                    </w:rPr>
                  </w:pPr>
                </w:p>
              </w:tc>
              <w:tc>
                <w:tcPr>
                  <w:tcW w:w="1260" w:type="pct"/>
                  <w:gridSpan w:val="2"/>
                  <w:shd w:val="clear" w:color="auto" w:fill="FFFFFF"/>
                  <w:vAlign w:val="center"/>
                </w:tcPr>
                <w:p w14:paraId="3B563CD2">
                  <w:pPr>
                    <w:widowControl/>
                    <w:jc w:val="center"/>
                    <w:textAlignment w:val="center"/>
                    <w:rPr>
                      <w:rFonts w:cs="宋体"/>
                      <w:color w:val="auto"/>
                      <w:sz w:val="18"/>
                      <w:szCs w:val="18"/>
                    </w:rPr>
                  </w:pPr>
                </w:p>
              </w:tc>
              <w:tc>
                <w:tcPr>
                  <w:tcW w:w="2069" w:type="pct"/>
                  <w:shd w:val="clear" w:color="auto" w:fill="FFFFFF"/>
                  <w:vAlign w:val="center"/>
                </w:tcPr>
                <w:p w14:paraId="21DC5058">
                  <w:pPr>
                    <w:widowControl/>
                    <w:jc w:val="center"/>
                    <w:textAlignment w:val="center"/>
                    <w:rPr>
                      <w:rFonts w:cs="宋体"/>
                      <w:color w:val="auto"/>
                      <w:sz w:val="18"/>
                      <w:szCs w:val="18"/>
                    </w:rPr>
                  </w:pPr>
                </w:p>
              </w:tc>
              <w:tc>
                <w:tcPr>
                  <w:tcW w:w="588" w:type="pct"/>
                  <w:vMerge w:val="restart"/>
                  <w:tcBorders>
                    <w:right w:val="nil"/>
                  </w:tcBorders>
                  <w:shd w:val="clear" w:color="auto" w:fill="FFFFFF"/>
                  <w:vAlign w:val="center"/>
                </w:tcPr>
                <w:p w14:paraId="7B08E087">
                  <w:pPr>
                    <w:widowControl/>
                    <w:jc w:val="center"/>
                    <w:textAlignment w:val="center"/>
                    <w:rPr>
                      <w:rFonts w:cs="宋体"/>
                      <w:color w:val="auto"/>
                      <w:kern w:val="0"/>
                      <w:sz w:val="18"/>
                      <w:szCs w:val="18"/>
                      <w:lang w:bidi="ar"/>
                    </w:rPr>
                  </w:pPr>
                </w:p>
              </w:tc>
              <w:tc>
                <w:tcPr>
                  <w:tcW w:w="559" w:type="pct"/>
                  <w:vMerge w:val="restart"/>
                  <w:tcBorders>
                    <w:right w:val="nil"/>
                  </w:tcBorders>
                  <w:shd w:val="clear" w:color="auto" w:fill="FFFFFF"/>
                  <w:vAlign w:val="center"/>
                </w:tcPr>
                <w:p w14:paraId="245DEC34">
                  <w:pPr>
                    <w:widowControl/>
                    <w:jc w:val="center"/>
                    <w:textAlignment w:val="center"/>
                    <w:rPr>
                      <w:rFonts w:cs="宋体"/>
                      <w:color w:val="auto"/>
                      <w:sz w:val="18"/>
                      <w:szCs w:val="18"/>
                    </w:rPr>
                  </w:pPr>
                </w:p>
              </w:tc>
            </w:tr>
            <w:tr w14:paraId="14CE9BC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522" w:type="pct"/>
                  <w:vMerge w:val="continue"/>
                  <w:tcBorders>
                    <w:left w:val="nil"/>
                    <w:bottom w:val="single" w:color="000000" w:sz="12" w:space="0"/>
                  </w:tcBorders>
                  <w:shd w:val="clear" w:color="auto" w:fill="FFFFFF"/>
                  <w:vAlign w:val="center"/>
                </w:tcPr>
                <w:p w14:paraId="313C7E5E">
                  <w:pPr>
                    <w:widowControl/>
                    <w:jc w:val="center"/>
                    <w:rPr>
                      <w:rFonts w:cs="宋体"/>
                      <w:color w:val="auto"/>
                      <w:sz w:val="18"/>
                      <w:szCs w:val="18"/>
                    </w:rPr>
                  </w:pPr>
                </w:p>
              </w:tc>
              <w:tc>
                <w:tcPr>
                  <w:tcW w:w="1260" w:type="pct"/>
                  <w:gridSpan w:val="2"/>
                  <w:tcBorders>
                    <w:bottom w:val="single" w:color="000000" w:sz="12" w:space="0"/>
                  </w:tcBorders>
                  <w:shd w:val="clear" w:color="auto" w:fill="FFFFFF"/>
                  <w:vAlign w:val="center"/>
                </w:tcPr>
                <w:p w14:paraId="022BC0EA">
                  <w:pPr>
                    <w:widowControl/>
                    <w:jc w:val="center"/>
                    <w:textAlignment w:val="center"/>
                    <w:rPr>
                      <w:rFonts w:cs="宋体"/>
                      <w:color w:val="auto"/>
                      <w:sz w:val="18"/>
                      <w:szCs w:val="18"/>
                    </w:rPr>
                  </w:pPr>
                </w:p>
              </w:tc>
              <w:tc>
                <w:tcPr>
                  <w:tcW w:w="2069" w:type="pct"/>
                  <w:tcBorders>
                    <w:bottom w:val="single" w:color="000000" w:sz="12" w:space="0"/>
                  </w:tcBorders>
                  <w:shd w:val="clear" w:color="auto" w:fill="FFFFFF"/>
                  <w:vAlign w:val="center"/>
                </w:tcPr>
                <w:p w14:paraId="79BB35B6">
                  <w:pPr>
                    <w:widowControl/>
                    <w:jc w:val="center"/>
                    <w:textAlignment w:val="center"/>
                    <w:rPr>
                      <w:rFonts w:cs="宋体"/>
                      <w:color w:val="auto"/>
                      <w:sz w:val="18"/>
                      <w:szCs w:val="18"/>
                    </w:rPr>
                  </w:pPr>
                </w:p>
              </w:tc>
              <w:tc>
                <w:tcPr>
                  <w:tcW w:w="588" w:type="pct"/>
                  <w:vMerge w:val="continue"/>
                  <w:tcBorders>
                    <w:bottom w:val="single" w:color="000000" w:sz="12" w:space="0"/>
                    <w:right w:val="nil"/>
                  </w:tcBorders>
                  <w:shd w:val="clear" w:color="auto" w:fill="FFFFFF"/>
                  <w:vAlign w:val="center"/>
                </w:tcPr>
                <w:p w14:paraId="1FDFC69A">
                  <w:pPr>
                    <w:widowControl/>
                    <w:jc w:val="center"/>
                    <w:textAlignment w:val="center"/>
                    <w:rPr>
                      <w:rFonts w:cs="宋体"/>
                      <w:color w:val="auto"/>
                      <w:kern w:val="0"/>
                      <w:sz w:val="18"/>
                      <w:szCs w:val="18"/>
                      <w:lang w:bidi="ar"/>
                    </w:rPr>
                  </w:pPr>
                </w:p>
              </w:tc>
              <w:tc>
                <w:tcPr>
                  <w:tcW w:w="559" w:type="pct"/>
                  <w:vMerge w:val="continue"/>
                  <w:tcBorders>
                    <w:bottom w:val="single" w:color="000000" w:sz="12" w:space="0"/>
                    <w:right w:val="nil"/>
                  </w:tcBorders>
                  <w:shd w:val="clear" w:color="auto" w:fill="FFFFFF"/>
                  <w:vAlign w:val="center"/>
                </w:tcPr>
                <w:p w14:paraId="0573C9A6">
                  <w:pPr>
                    <w:widowControl/>
                    <w:jc w:val="center"/>
                    <w:rPr>
                      <w:rFonts w:cs="宋体"/>
                      <w:color w:val="auto"/>
                      <w:sz w:val="18"/>
                      <w:szCs w:val="18"/>
                    </w:rPr>
                  </w:pPr>
                </w:p>
              </w:tc>
            </w:tr>
          </w:tbl>
          <w:p w14:paraId="1DBA9EE4">
            <w:pPr>
              <w:snapToGrid w:val="0"/>
              <w:spacing w:line="500" w:lineRule="exact"/>
              <w:jc w:val="center"/>
              <w:rPr>
                <w:b/>
                <w:color w:val="auto"/>
                <w:szCs w:val="21"/>
              </w:rPr>
            </w:pPr>
            <w:r>
              <w:rPr>
                <w:rFonts w:hint="eastAsia"/>
                <w:b/>
                <w:color w:val="auto"/>
                <w:szCs w:val="21"/>
              </w:rPr>
              <w:t>表2-16（2） 现有已批在建项目废水治理措施和排放去向</w:t>
            </w:r>
          </w:p>
          <w:tbl>
            <w:tblPr>
              <w:tblStyle w:val="21"/>
              <w:tblW w:w="4998" w:type="pct"/>
              <w:tblInd w:w="0" w:type="dxa"/>
              <w:tblBorders>
                <w:top w:val="none" w:color="auto" w:sz="0"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80"/>
              <w:gridCol w:w="2123"/>
              <w:gridCol w:w="3487"/>
              <w:gridCol w:w="991"/>
              <w:gridCol w:w="942"/>
            </w:tblGrid>
            <w:tr w14:paraId="359CB961">
              <w:tblPrEx>
                <w:tblBorders>
                  <w:top w:val="none" w:color="auto" w:sz="0"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522" w:type="pct"/>
                  <w:tcBorders>
                    <w:top w:val="single" w:color="000000" w:sz="12" w:space="0"/>
                    <w:left w:val="nil"/>
                    <w:tl2br w:val="nil"/>
                  </w:tcBorders>
                  <w:shd w:val="clear" w:color="auto" w:fill="FFFFFF"/>
                  <w:vAlign w:val="center"/>
                </w:tcPr>
                <w:p w14:paraId="55713A13">
                  <w:pPr>
                    <w:widowControl/>
                    <w:jc w:val="center"/>
                    <w:textAlignment w:val="center"/>
                    <w:rPr>
                      <w:rFonts w:cs="宋体"/>
                      <w:b/>
                      <w:color w:val="auto"/>
                      <w:sz w:val="18"/>
                      <w:szCs w:val="18"/>
                    </w:rPr>
                  </w:pPr>
                  <w:r>
                    <w:rPr>
                      <w:rFonts w:hint="eastAsia" w:cs="宋体"/>
                      <w:b/>
                      <w:color w:val="auto"/>
                      <w:kern w:val="0"/>
                      <w:sz w:val="18"/>
                      <w:szCs w:val="18"/>
                      <w:lang w:bidi="ar"/>
                    </w:rPr>
                    <w:t>项目名称/废水类别</w:t>
                  </w:r>
                </w:p>
              </w:tc>
              <w:tc>
                <w:tcPr>
                  <w:tcW w:w="1260" w:type="pct"/>
                  <w:tcBorders>
                    <w:top w:val="single" w:color="000000" w:sz="12" w:space="0"/>
                  </w:tcBorders>
                  <w:shd w:val="clear" w:color="auto" w:fill="FFFFFF"/>
                  <w:vAlign w:val="center"/>
                </w:tcPr>
                <w:p w14:paraId="329983A6">
                  <w:pPr>
                    <w:widowControl/>
                    <w:jc w:val="center"/>
                    <w:textAlignment w:val="center"/>
                    <w:rPr>
                      <w:rFonts w:cs="宋体"/>
                      <w:b/>
                      <w:color w:val="auto"/>
                      <w:sz w:val="18"/>
                      <w:szCs w:val="18"/>
                    </w:rPr>
                  </w:pPr>
                  <w:r>
                    <w:rPr>
                      <w:rFonts w:hint="eastAsia" w:cs="宋体"/>
                      <w:b/>
                      <w:color w:val="auto"/>
                      <w:kern w:val="0"/>
                      <w:sz w:val="18"/>
                      <w:szCs w:val="18"/>
                      <w:lang w:bidi="ar"/>
                    </w:rPr>
                    <w:t>废水名称</w:t>
                  </w:r>
                </w:p>
              </w:tc>
              <w:tc>
                <w:tcPr>
                  <w:tcW w:w="2069" w:type="pct"/>
                  <w:tcBorders>
                    <w:top w:val="single" w:color="000000" w:sz="12" w:space="0"/>
                  </w:tcBorders>
                  <w:shd w:val="clear" w:color="auto" w:fill="FFFFFF"/>
                  <w:vAlign w:val="center"/>
                </w:tcPr>
                <w:p w14:paraId="14A033E5">
                  <w:pPr>
                    <w:widowControl/>
                    <w:jc w:val="center"/>
                    <w:textAlignment w:val="center"/>
                    <w:rPr>
                      <w:rFonts w:cs="宋体"/>
                      <w:b/>
                      <w:color w:val="auto"/>
                      <w:sz w:val="18"/>
                      <w:szCs w:val="18"/>
                    </w:rPr>
                  </w:pPr>
                  <w:r>
                    <w:rPr>
                      <w:rFonts w:hint="eastAsia" w:cs="宋体"/>
                      <w:b/>
                      <w:color w:val="auto"/>
                      <w:kern w:val="0"/>
                      <w:sz w:val="18"/>
                      <w:szCs w:val="18"/>
                      <w:lang w:bidi="ar"/>
                    </w:rPr>
                    <w:t>治理措施</w:t>
                  </w:r>
                </w:p>
              </w:tc>
              <w:tc>
                <w:tcPr>
                  <w:tcW w:w="588" w:type="pct"/>
                  <w:tcBorders>
                    <w:top w:val="single" w:color="000000" w:sz="12" w:space="0"/>
                    <w:right w:val="nil"/>
                  </w:tcBorders>
                  <w:shd w:val="clear" w:color="auto" w:fill="FFFFFF"/>
                  <w:vAlign w:val="center"/>
                </w:tcPr>
                <w:p w14:paraId="3A7380C0">
                  <w:pPr>
                    <w:widowControl/>
                    <w:jc w:val="center"/>
                    <w:textAlignment w:val="center"/>
                    <w:rPr>
                      <w:rFonts w:cs="宋体"/>
                      <w:b/>
                      <w:color w:val="auto"/>
                      <w:kern w:val="0"/>
                      <w:sz w:val="18"/>
                      <w:szCs w:val="18"/>
                      <w:lang w:bidi="ar"/>
                    </w:rPr>
                  </w:pPr>
                  <w:r>
                    <w:rPr>
                      <w:rFonts w:hint="eastAsia" w:cs="宋体"/>
                      <w:b/>
                      <w:color w:val="auto"/>
                      <w:kern w:val="0"/>
                      <w:sz w:val="18"/>
                      <w:szCs w:val="18"/>
                      <w:lang w:bidi="ar"/>
                    </w:rPr>
                    <w:t>设计处理能力</w:t>
                  </w:r>
                </w:p>
              </w:tc>
              <w:tc>
                <w:tcPr>
                  <w:tcW w:w="559" w:type="pct"/>
                  <w:tcBorders>
                    <w:top w:val="single" w:color="000000" w:sz="12" w:space="0"/>
                    <w:right w:val="nil"/>
                  </w:tcBorders>
                  <w:shd w:val="clear" w:color="auto" w:fill="FFFFFF"/>
                  <w:vAlign w:val="center"/>
                </w:tcPr>
                <w:p w14:paraId="75C65A0D">
                  <w:pPr>
                    <w:widowControl/>
                    <w:jc w:val="center"/>
                    <w:textAlignment w:val="center"/>
                    <w:rPr>
                      <w:rFonts w:cs="宋体"/>
                      <w:b/>
                      <w:color w:val="auto"/>
                      <w:sz w:val="18"/>
                      <w:szCs w:val="18"/>
                    </w:rPr>
                  </w:pPr>
                  <w:r>
                    <w:rPr>
                      <w:rFonts w:hint="eastAsia" w:cs="宋体"/>
                      <w:b/>
                      <w:color w:val="auto"/>
                      <w:kern w:val="0"/>
                      <w:sz w:val="18"/>
                      <w:szCs w:val="18"/>
                      <w:lang w:bidi="ar"/>
                    </w:rPr>
                    <w:t>排放去向</w:t>
                  </w:r>
                </w:p>
              </w:tc>
            </w:tr>
            <w:tr w14:paraId="1D205556">
              <w:tblPrEx>
                <w:tblBorders>
                  <w:top w:val="none" w:color="auto" w:sz="0"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522" w:type="pct"/>
                  <w:vMerge w:val="restart"/>
                  <w:tcBorders>
                    <w:left w:val="nil"/>
                  </w:tcBorders>
                  <w:shd w:val="clear" w:color="auto" w:fill="FFFFFF"/>
                  <w:vAlign w:val="center"/>
                </w:tcPr>
                <w:p w14:paraId="51368B48">
                  <w:pPr>
                    <w:widowControl/>
                    <w:jc w:val="center"/>
                    <w:textAlignment w:val="center"/>
                    <w:rPr>
                      <w:rFonts w:cs="宋体"/>
                      <w:color w:val="auto"/>
                      <w:kern w:val="0"/>
                      <w:sz w:val="18"/>
                      <w:szCs w:val="18"/>
                      <w:lang w:bidi="ar"/>
                    </w:rPr>
                  </w:pPr>
                </w:p>
              </w:tc>
              <w:tc>
                <w:tcPr>
                  <w:tcW w:w="1260" w:type="pct"/>
                  <w:shd w:val="clear" w:color="auto" w:fill="FFFFFF"/>
                  <w:vAlign w:val="center"/>
                </w:tcPr>
                <w:p w14:paraId="233943F3">
                  <w:pPr>
                    <w:widowControl/>
                    <w:jc w:val="center"/>
                    <w:textAlignment w:val="center"/>
                    <w:rPr>
                      <w:rFonts w:cs="宋体"/>
                      <w:color w:val="auto"/>
                      <w:sz w:val="18"/>
                      <w:szCs w:val="18"/>
                    </w:rPr>
                  </w:pPr>
                </w:p>
              </w:tc>
              <w:tc>
                <w:tcPr>
                  <w:tcW w:w="2069" w:type="pct"/>
                  <w:shd w:val="clear" w:color="auto" w:fill="FFFFFF"/>
                  <w:vAlign w:val="center"/>
                </w:tcPr>
                <w:p w14:paraId="2421F8E0">
                  <w:pPr>
                    <w:widowControl/>
                    <w:jc w:val="center"/>
                    <w:textAlignment w:val="center"/>
                    <w:rPr>
                      <w:rFonts w:cs="宋体"/>
                      <w:color w:val="auto"/>
                      <w:kern w:val="0"/>
                      <w:sz w:val="18"/>
                      <w:szCs w:val="18"/>
                      <w:lang w:bidi="ar"/>
                    </w:rPr>
                  </w:pPr>
                </w:p>
              </w:tc>
              <w:tc>
                <w:tcPr>
                  <w:tcW w:w="588" w:type="pct"/>
                  <w:tcBorders>
                    <w:right w:val="nil"/>
                  </w:tcBorders>
                  <w:shd w:val="clear" w:color="auto" w:fill="FFFFFF"/>
                  <w:vAlign w:val="center"/>
                </w:tcPr>
                <w:p w14:paraId="0CEE01F6">
                  <w:pPr>
                    <w:widowControl/>
                    <w:jc w:val="center"/>
                    <w:textAlignment w:val="center"/>
                    <w:rPr>
                      <w:rFonts w:cs="宋体"/>
                      <w:color w:val="auto"/>
                      <w:kern w:val="0"/>
                      <w:sz w:val="18"/>
                      <w:szCs w:val="18"/>
                      <w:lang w:bidi="ar"/>
                    </w:rPr>
                  </w:pPr>
                </w:p>
              </w:tc>
              <w:tc>
                <w:tcPr>
                  <w:tcW w:w="559" w:type="pct"/>
                  <w:vMerge w:val="restart"/>
                  <w:tcBorders>
                    <w:right w:val="nil"/>
                  </w:tcBorders>
                  <w:shd w:val="clear" w:color="auto" w:fill="FFFFFF"/>
                  <w:vAlign w:val="center"/>
                </w:tcPr>
                <w:p w14:paraId="42FCB71C">
                  <w:pPr>
                    <w:widowControl/>
                    <w:jc w:val="center"/>
                    <w:textAlignment w:val="center"/>
                    <w:rPr>
                      <w:rFonts w:cs="宋体"/>
                      <w:color w:val="auto"/>
                      <w:kern w:val="0"/>
                      <w:sz w:val="18"/>
                      <w:szCs w:val="18"/>
                      <w:lang w:bidi="ar"/>
                    </w:rPr>
                  </w:pPr>
                </w:p>
              </w:tc>
            </w:tr>
            <w:tr w14:paraId="095371CF">
              <w:tblPrEx>
                <w:tblBorders>
                  <w:top w:val="none" w:color="auto" w:sz="0"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522" w:type="pct"/>
                  <w:vMerge w:val="continue"/>
                  <w:tcBorders>
                    <w:left w:val="nil"/>
                  </w:tcBorders>
                  <w:shd w:val="clear" w:color="auto" w:fill="FFFFFF"/>
                  <w:vAlign w:val="center"/>
                </w:tcPr>
                <w:p w14:paraId="4A553372">
                  <w:pPr>
                    <w:widowControl/>
                    <w:jc w:val="center"/>
                    <w:textAlignment w:val="center"/>
                    <w:rPr>
                      <w:rFonts w:cs="宋体"/>
                      <w:color w:val="auto"/>
                      <w:kern w:val="0"/>
                      <w:sz w:val="18"/>
                      <w:szCs w:val="18"/>
                      <w:lang w:bidi="ar"/>
                    </w:rPr>
                  </w:pPr>
                </w:p>
              </w:tc>
              <w:tc>
                <w:tcPr>
                  <w:tcW w:w="1260" w:type="pct"/>
                  <w:shd w:val="clear" w:color="auto" w:fill="FFFFFF"/>
                  <w:vAlign w:val="center"/>
                </w:tcPr>
                <w:p w14:paraId="691E23B4">
                  <w:pPr>
                    <w:widowControl/>
                    <w:jc w:val="center"/>
                    <w:textAlignment w:val="center"/>
                    <w:rPr>
                      <w:rFonts w:cs="宋体"/>
                      <w:color w:val="auto"/>
                      <w:sz w:val="18"/>
                      <w:szCs w:val="18"/>
                    </w:rPr>
                  </w:pPr>
                </w:p>
              </w:tc>
              <w:tc>
                <w:tcPr>
                  <w:tcW w:w="2069" w:type="pct"/>
                  <w:shd w:val="clear" w:color="auto" w:fill="FFFFFF"/>
                  <w:vAlign w:val="center"/>
                </w:tcPr>
                <w:p w14:paraId="66C24911">
                  <w:pPr>
                    <w:widowControl/>
                    <w:jc w:val="center"/>
                    <w:textAlignment w:val="center"/>
                    <w:rPr>
                      <w:rFonts w:cs="宋体"/>
                      <w:color w:val="auto"/>
                      <w:kern w:val="0"/>
                      <w:sz w:val="18"/>
                      <w:szCs w:val="18"/>
                      <w:lang w:bidi="ar"/>
                    </w:rPr>
                  </w:pPr>
                </w:p>
              </w:tc>
              <w:tc>
                <w:tcPr>
                  <w:tcW w:w="588" w:type="pct"/>
                  <w:tcBorders>
                    <w:right w:val="nil"/>
                  </w:tcBorders>
                  <w:shd w:val="clear" w:color="auto" w:fill="FFFFFF"/>
                  <w:vAlign w:val="center"/>
                </w:tcPr>
                <w:p w14:paraId="12C4C879">
                  <w:pPr>
                    <w:widowControl/>
                    <w:jc w:val="center"/>
                    <w:textAlignment w:val="center"/>
                    <w:rPr>
                      <w:rFonts w:cs="宋体"/>
                      <w:color w:val="auto"/>
                      <w:kern w:val="0"/>
                      <w:sz w:val="18"/>
                      <w:szCs w:val="18"/>
                      <w:lang w:bidi="ar"/>
                    </w:rPr>
                  </w:pPr>
                </w:p>
              </w:tc>
              <w:tc>
                <w:tcPr>
                  <w:tcW w:w="559" w:type="pct"/>
                  <w:vMerge w:val="continue"/>
                  <w:tcBorders>
                    <w:right w:val="nil"/>
                  </w:tcBorders>
                  <w:shd w:val="clear" w:color="auto" w:fill="FFFFFF"/>
                  <w:vAlign w:val="center"/>
                </w:tcPr>
                <w:p w14:paraId="32CA89C6">
                  <w:pPr>
                    <w:widowControl/>
                    <w:jc w:val="center"/>
                    <w:textAlignment w:val="center"/>
                    <w:rPr>
                      <w:rFonts w:cs="宋体"/>
                      <w:color w:val="auto"/>
                      <w:kern w:val="0"/>
                      <w:sz w:val="18"/>
                      <w:szCs w:val="18"/>
                      <w:lang w:bidi="ar"/>
                    </w:rPr>
                  </w:pPr>
                </w:p>
              </w:tc>
            </w:tr>
            <w:tr w14:paraId="00561826">
              <w:tblPrEx>
                <w:tblBorders>
                  <w:top w:val="none" w:color="auto" w:sz="0"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522" w:type="pct"/>
                  <w:vMerge w:val="continue"/>
                  <w:tcBorders>
                    <w:left w:val="nil"/>
                  </w:tcBorders>
                  <w:shd w:val="clear" w:color="auto" w:fill="FFFFFF"/>
                  <w:vAlign w:val="center"/>
                </w:tcPr>
                <w:p w14:paraId="4CBD8E0B">
                  <w:pPr>
                    <w:widowControl/>
                    <w:jc w:val="center"/>
                    <w:textAlignment w:val="center"/>
                    <w:rPr>
                      <w:rFonts w:cs="宋体"/>
                      <w:color w:val="auto"/>
                      <w:kern w:val="0"/>
                      <w:sz w:val="18"/>
                      <w:szCs w:val="18"/>
                      <w:lang w:bidi="ar"/>
                    </w:rPr>
                  </w:pPr>
                </w:p>
              </w:tc>
              <w:tc>
                <w:tcPr>
                  <w:tcW w:w="1260" w:type="pct"/>
                  <w:shd w:val="clear" w:color="auto" w:fill="FFFFFF"/>
                  <w:vAlign w:val="center"/>
                </w:tcPr>
                <w:p w14:paraId="7FEC654F">
                  <w:pPr>
                    <w:widowControl/>
                    <w:jc w:val="center"/>
                    <w:textAlignment w:val="center"/>
                    <w:rPr>
                      <w:rFonts w:cs="宋体"/>
                      <w:color w:val="auto"/>
                      <w:sz w:val="18"/>
                      <w:szCs w:val="18"/>
                    </w:rPr>
                  </w:pPr>
                </w:p>
              </w:tc>
              <w:tc>
                <w:tcPr>
                  <w:tcW w:w="2069" w:type="pct"/>
                  <w:shd w:val="clear" w:color="auto" w:fill="FFFFFF"/>
                  <w:vAlign w:val="center"/>
                </w:tcPr>
                <w:p w14:paraId="0654F108">
                  <w:pPr>
                    <w:widowControl/>
                    <w:jc w:val="center"/>
                    <w:textAlignment w:val="center"/>
                    <w:rPr>
                      <w:rFonts w:cs="宋体"/>
                      <w:color w:val="auto"/>
                      <w:kern w:val="0"/>
                      <w:sz w:val="18"/>
                      <w:szCs w:val="18"/>
                      <w:lang w:bidi="ar"/>
                    </w:rPr>
                  </w:pPr>
                </w:p>
              </w:tc>
              <w:tc>
                <w:tcPr>
                  <w:tcW w:w="588" w:type="pct"/>
                  <w:tcBorders>
                    <w:right w:val="nil"/>
                  </w:tcBorders>
                  <w:shd w:val="clear" w:color="auto" w:fill="FFFFFF"/>
                  <w:vAlign w:val="center"/>
                </w:tcPr>
                <w:p w14:paraId="0C0782CF">
                  <w:pPr>
                    <w:widowControl/>
                    <w:jc w:val="center"/>
                    <w:textAlignment w:val="center"/>
                    <w:rPr>
                      <w:rFonts w:cs="宋体"/>
                      <w:color w:val="auto"/>
                      <w:kern w:val="0"/>
                      <w:sz w:val="18"/>
                      <w:szCs w:val="18"/>
                      <w:lang w:bidi="ar"/>
                    </w:rPr>
                  </w:pPr>
                </w:p>
              </w:tc>
              <w:tc>
                <w:tcPr>
                  <w:tcW w:w="559" w:type="pct"/>
                  <w:vMerge w:val="continue"/>
                  <w:tcBorders>
                    <w:right w:val="nil"/>
                  </w:tcBorders>
                  <w:shd w:val="clear" w:color="auto" w:fill="FFFFFF"/>
                  <w:vAlign w:val="center"/>
                </w:tcPr>
                <w:p w14:paraId="3DD9AF7B">
                  <w:pPr>
                    <w:widowControl/>
                    <w:jc w:val="center"/>
                    <w:textAlignment w:val="center"/>
                    <w:rPr>
                      <w:rFonts w:cs="宋体"/>
                      <w:color w:val="auto"/>
                      <w:kern w:val="0"/>
                      <w:sz w:val="18"/>
                      <w:szCs w:val="18"/>
                      <w:lang w:bidi="ar"/>
                    </w:rPr>
                  </w:pPr>
                </w:p>
              </w:tc>
            </w:tr>
            <w:tr w14:paraId="582169FA">
              <w:tblPrEx>
                <w:tblBorders>
                  <w:top w:val="none" w:color="auto" w:sz="0"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522" w:type="pct"/>
                  <w:vMerge w:val="restart"/>
                  <w:tcBorders>
                    <w:left w:val="nil"/>
                  </w:tcBorders>
                  <w:shd w:val="clear" w:color="auto" w:fill="FFFFFF"/>
                  <w:vAlign w:val="center"/>
                </w:tcPr>
                <w:p w14:paraId="048D0861">
                  <w:pPr>
                    <w:widowControl/>
                    <w:jc w:val="center"/>
                    <w:textAlignment w:val="center"/>
                    <w:rPr>
                      <w:rFonts w:cs="宋体"/>
                      <w:color w:val="auto"/>
                      <w:sz w:val="18"/>
                      <w:szCs w:val="18"/>
                    </w:rPr>
                  </w:pPr>
                </w:p>
              </w:tc>
              <w:tc>
                <w:tcPr>
                  <w:tcW w:w="1260" w:type="pct"/>
                  <w:shd w:val="clear" w:color="auto" w:fill="FFFFFF"/>
                  <w:vAlign w:val="center"/>
                </w:tcPr>
                <w:p w14:paraId="070F8E8A">
                  <w:pPr>
                    <w:widowControl/>
                    <w:jc w:val="center"/>
                    <w:textAlignment w:val="center"/>
                    <w:rPr>
                      <w:rFonts w:cs="宋体"/>
                      <w:color w:val="auto"/>
                      <w:sz w:val="18"/>
                      <w:szCs w:val="18"/>
                    </w:rPr>
                  </w:pPr>
                </w:p>
              </w:tc>
              <w:tc>
                <w:tcPr>
                  <w:tcW w:w="2069" w:type="pct"/>
                  <w:vMerge w:val="restart"/>
                  <w:shd w:val="clear" w:color="auto" w:fill="FFFFFF"/>
                  <w:vAlign w:val="center"/>
                </w:tcPr>
                <w:p w14:paraId="121C8981">
                  <w:pPr>
                    <w:widowControl/>
                    <w:jc w:val="center"/>
                    <w:textAlignment w:val="center"/>
                    <w:rPr>
                      <w:rFonts w:cs="宋体"/>
                      <w:color w:val="auto"/>
                      <w:sz w:val="18"/>
                      <w:szCs w:val="18"/>
                    </w:rPr>
                  </w:pPr>
                </w:p>
              </w:tc>
              <w:tc>
                <w:tcPr>
                  <w:tcW w:w="588" w:type="pct"/>
                  <w:vMerge w:val="restart"/>
                  <w:tcBorders>
                    <w:right w:val="nil"/>
                  </w:tcBorders>
                  <w:shd w:val="clear" w:color="auto" w:fill="FFFFFF"/>
                  <w:vAlign w:val="center"/>
                </w:tcPr>
                <w:p w14:paraId="7EFF60DA">
                  <w:pPr>
                    <w:widowControl/>
                    <w:jc w:val="center"/>
                    <w:textAlignment w:val="center"/>
                    <w:rPr>
                      <w:rFonts w:cs="宋体"/>
                      <w:color w:val="auto"/>
                      <w:kern w:val="0"/>
                      <w:sz w:val="18"/>
                      <w:szCs w:val="18"/>
                      <w:lang w:bidi="ar"/>
                    </w:rPr>
                  </w:pPr>
                </w:p>
              </w:tc>
              <w:tc>
                <w:tcPr>
                  <w:tcW w:w="559" w:type="pct"/>
                  <w:vMerge w:val="continue"/>
                  <w:tcBorders>
                    <w:right w:val="nil"/>
                  </w:tcBorders>
                  <w:shd w:val="clear" w:color="auto" w:fill="FFFFFF"/>
                  <w:vAlign w:val="center"/>
                </w:tcPr>
                <w:p w14:paraId="5FCC8849">
                  <w:pPr>
                    <w:widowControl/>
                    <w:jc w:val="center"/>
                    <w:textAlignment w:val="center"/>
                    <w:rPr>
                      <w:rFonts w:cs="宋体"/>
                      <w:color w:val="auto"/>
                      <w:sz w:val="18"/>
                      <w:szCs w:val="18"/>
                    </w:rPr>
                  </w:pPr>
                </w:p>
              </w:tc>
            </w:tr>
            <w:tr w14:paraId="4B91CE52">
              <w:tblPrEx>
                <w:tblBorders>
                  <w:top w:val="none" w:color="auto" w:sz="0"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522" w:type="pct"/>
                  <w:vMerge w:val="continue"/>
                  <w:tcBorders>
                    <w:left w:val="nil"/>
                  </w:tcBorders>
                  <w:shd w:val="clear" w:color="auto" w:fill="FFFFFF"/>
                  <w:vAlign w:val="center"/>
                </w:tcPr>
                <w:p w14:paraId="0915B350">
                  <w:pPr>
                    <w:widowControl/>
                    <w:jc w:val="center"/>
                    <w:textAlignment w:val="center"/>
                    <w:rPr>
                      <w:rFonts w:cs="宋体"/>
                      <w:color w:val="auto"/>
                      <w:kern w:val="0"/>
                      <w:sz w:val="18"/>
                      <w:szCs w:val="18"/>
                      <w:lang w:bidi="ar"/>
                    </w:rPr>
                  </w:pPr>
                </w:p>
              </w:tc>
              <w:tc>
                <w:tcPr>
                  <w:tcW w:w="1260" w:type="pct"/>
                  <w:shd w:val="clear" w:color="auto" w:fill="FFFFFF"/>
                  <w:vAlign w:val="center"/>
                </w:tcPr>
                <w:p w14:paraId="7FA20C6C">
                  <w:pPr>
                    <w:widowControl/>
                    <w:jc w:val="center"/>
                    <w:textAlignment w:val="center"/>
                    <w:rPr>
                      <w:rFonts w:cs="宋体"/>
                      <w:color w:val="auto"/>
                      <w:sz w:val="18"/>
                      <w:szCs w:val="18"/>
                    </w:rPr>
                  </w:pPr>
                </w:p>
              </w:tc>
              <w:tc>
                <w:tcPr>
                  <w:tcW w:w="2069" w:type="pct"/>
                  <w:vMerge w:val="continue"/>
                  <w:shd w:val="clear" w:color="auto" w:fill="FFFFFF"/>
                  <w:vAlign w:val="center"/>
                </w:tcPr>
                <w:p w14:paraId="43FCBC2F">
                  <w:pPr>
                    <w:widowControl/>
                    <w:jc w:val="center"/>
                    <w:textAlignment w:val="center"/>
                    <w:rPr>
                      <w:rFonts w:cs="宋体"/>
                      <w:color w:val="auto"/>
                      <w:kern w:val="0"/>
                      <w:sz w:val="18"/>
                      <w:szCs w:val="18"/>
                      <w:lang w:bidi="ar"/>
                    </w:rPr>
                  </w:pPr>
                </w:p>
              </w:tc>
              <w:tc>
                <w:tcPr>
                  <w:tcW w:w="588" w:type="pct"/>
                  <w:vMerge w:val="continue"/>
                  <w:tcBorders>
                    <w:right w:val="nil"/>
                  </w:tcBorders>
                  <w:shd w:val="clear" w:color="auto" w:fill="FFFFFF"/>
                  <w:vAlign w:val="center"/>
                </w:tcPr>
                <w:p w14:paraId="08ED6293">
                  <w:pPr>
                    <w:widowControl/>
                    <w:jc w:val="center"/>
                    <w:textAlignment w:val="center"/>
                    <w:rPr>
                      <w:rFonts w:cs="宋体"/>
                      <w:color w:val="auto"/>
                      <w:kern w:val="0"/>
                      <w:sz w:val="18"/>
                      <w:szCs w:val="18"/>
                      <w:lang w:bidi="ar"/>
                    </w:rPr>
                  </w:pPr>
                </w:p>
              </w:tc>
              <w:tc>
                <w:tcPr>
                  <w:tcW w:w="559" w:type="pct"/>
                  <w:vMerge w:val="continue"/>
                  <w:tcBorders>
                    <w:right w:val="nil"/>
                  </w:tcBorders>
                  <w:shd w:val="clear" w:color="auto" w:fill="FFFFFF"/>
                  <w:vAlign w:val="center"/>
                </w:tcPr>
                <w:p w14:paraId="1355583D">
                  <w:pPr>
                    <w:widowControl/>
                    <w:jc w:val="center"/>
                    <w:textAlignment w:val="center"/>
                    <w:rPr>
                      <w:rFonts w:cs="宋体"/>
                      <w:color w:val="auto"/>
                      <w:kern w:val="0"/>
                      <w:sz w:val="18"/>
                      <w:szCs w:val="18"/>
                      <w:lang w:bidi="ar"/>
                    </w:rPr>
                  </w:pPr>
                </w:p>
              </w:tc>
            </w:tr>
            <w:tr w14:paraId="0777728E">
              <w:tblPrEx>
                <w:tblBorders>
                  <w:top w:val="none" w:color="auto" w:sz="0"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522" w:type="pct"/>
                  <w:vMerge w:val="continue"/>
                  <w:tcBorders>
                    <w:left w:val="nil"/>
                  </w:tcBorders>
                  <w:shd w:val="clear" w:color="auto" w:fill="FFFFFF"/>
                  <w:vAlign w:val="center"/>
                </w:tcPr>
                <w:p w14:paraId="2EEA261E">
                  <w:pPr>
                    <w:widowControl/>
                    <w:jc w:val="center"/>
                    <w:textAlignment w:val="center"/>
                    <w:rPr>
                      <w:rFonts w:cs="宋体"/>
                      <w:color w:val="auto"/>
                      <w:kern w:val="0"/>
                      <w:sz w:val="18"/>
                      <w:szCs w:val="18"/>
                      <w:lang w:bidi="ar"/>
                    </w:rPr>
                  </w:pPr>
                </w:p>
              </w:tc>
              <w:tc>
                <w:tcPr>
                  <w:tcW w:w="1260" w:type="pct"/>
                  <w:shd w:val="clear" w:color="auto" w:fill="FFFFFF"/>
                  <w:vAlign w:val="center"/>
                </w:tcPr>
                <w:p w14:paraId="240D8445">
                  <w:pPr>
                    <w:widowControl/>
                    <w:jc w:val="center"/>
                    <w:textAlignment w:val="center"/>
                    <w:rPr>
                      <w:rFonts w:cs="宋体"/>
                      <w:color w:val="auto"/>
                      <w:sz w:val="18"/>
                      <w:szCs w:val="18"/>
                    </w:rPr>
                  </w:pPr>
                </w:p>
              </w:tc>
              <w:tc>
                <w:tcPr>
                  <w:tcW w:w="2069" w:type="pct"/>
                  <w:vMerge w:val="continue"/>
                  <w:shd w:val="clear" w:color="auto" w:fill="FFFFFF"/>
                  <w:vAlign w:val="center"/>
                </w:tcPr>
                <w:p w14:paraId="7903F631">
                  <w:pPr>
                    <w:widowControl/>
                    <w:jc w:val="center"/>
                    <w:textAlignment w:val="center"/>
                    <w:rPr>
                      <w:rFonts w:cs="宋体"/>
                      <w:color w:val="auto"/>
                      <w:kern w:val="0"/>
                      <w:sz w:val="18"/>
                      <w:szCs w:val="18"/>
                      <w:lang w:bidi="ar"/>
                    </w:rPr>
                  </w:pPr>
                </w:p>
              </w:tc>
              <w:tc>
                <w:tcPr>
                  <w:tcW w:w="588" w:type="pct"/>
                  <w:vMerge w:val="continue"/>
                  <w:tcBorders>
                    <w:right w:val="nil"/>
                  </w:tcBorders>
                  <w:shd w:val="clear" w:color="auto" w:fill="FFFFFF"/>
                  <w:vAlign w:val="center"/>
                </w:tcPr>
                <w:p w14:paraId="0789A3D3">
                  <w:pPr>
                    <w:widowControl/>
                    <w:jc w:val="center"/>
                    <w:textAlignment w:val="center"/>
                    <w:rPr>
                      <w:rFonts w:cs="宋体"/>
                      <w:color w:val="auto"/>
                      <w:kern w:val="0"/>
                      <w:sz w:val="18"/>
                      <w:szCs w:val="18"/>
                      <w:lang w:bidi="ar"/>
                    </w:rPr>
                  </w:pPr>
                </w:p>
              </w:tc>
              <w:tc>
                <w:tcPr>
                  <w:tcW w:w="559" w:type="pct"/>
                  <w:vMerge w:val="continue"/>
                  <w:tcBorders>
                    <w:right w:val="nil"/>
                  </w:tcBorders>
                  <w:shd w:val="clear" w:color="auto" w:fill="FFFFFF"/>
                  <w:vAlign w:val="center"/>
                </w:tcPr>
                <w:p w14:paraId="7310A80E">
                  <w:pPr>
                    <w:widowControl/>
                    <w:jc w:val="center"/>
                    <w:textAlignment w:val="center"/>
                    <w:rPr>
                      <w:rFonts w:cs="宋体"/>
                      <w:color w:val="auto"/>
                      <w:kern w:val="0"/>
                      <w:sz w:val="18"/>
                      <w:szCs w:val="18"/>
                      <w:lang w:bidi="ar"/>
                    </w:rPr>
                  </w:pPr>
                </w:p>
              </w:tc>
            </w:tr>
            <w:tr w14:paraId="03B600D7">
              <w:tblPrEx>
                <w:tblBorders>
                  <w:top w:val="none" w:color="auto" w:sz="0"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522" w:type="pct"/>
                  <w:vMerge w:val="continue"/>
                  <w:tcBorders>
                    <w:left w:val="nil"/>
                  </w:tcBorders>
                  <w:shd w:val="clear" w:color="auto" w:fill="FFFFFF"/>
                  <w:vAlign w:val="center"/>
                </w:tcPr>
                <w:p w14:paraId="373AEC7D">
                  <w:pPr>
                    <w:widowControl/>
                    <w:jc w:val="center"/>
                    <w:rPr>
                      <w:rFonts w:cs="宋体"/>
                      <w:color w:val="auto"/>
                      <w:sz w:val="18"/>
                      <w:szCs w:val="18"/>
                    </w:rPr>
                  </w:pPr>
                </w:p>
              </w:tc>
              <w:tc>
                <w:tcPr>
                  <w:tcW w:w="1260" w:type="pct"/>
                  <w:shd w:val="clear" w:color="auto" w:fill="FFFFFF"/>
                  <w:vAlign w:val="center"/>
                </w:tcPr>
                <w:p w14:paraId="004B7535">
                  <w:pPr>
                    <w:widowControl/>
                    <w:jc w:val="center"/>
                    <w:textAlignment w:val="center"/>
                    <w:rPr>
                      <w:rFonts w:cs="宋体"/>
                      <w:color w:val="auto"/>
                      <w:sz w:val="18"/>
                      <w:szCs w:val="18"/>
                    </w:rPr>
                  </w:pPr>
                </w:p>
              </w:tc>
              <w:tc>
                <w:tcPr>
                  <w:tcW w:w="2069" w:type="pct"/>
                  <w:vMerge w:val="continue"/>
                  <w:shd w:val="clear" w:color="auto" w:fill="FFFFFF"/>
                  <w:vAlign w:val="center"/>
                </w:tcPr>
                <w:p w14:paraId="603E0B34">
                  <w:pPr>
                    <w:widowControl/>
                    <w:jc w:val="center"/>
                    <w:rPr>
                      <w:rFonts w:cs="宋体"/>
                      <w:color w:val="auto"/>
                      <w:sz w:val="18"/>
                      <w:szCs w:val="18"/>
                    </w:rPr>
                  </w:pPr>
                </w:p>
              </w:tc>
              <w:tc>
                <w:tcPr>
                  <w:tcW w:w="588" w:type="pct"/>
                  <w:vMerge w:val="continue"/>
                  <w:tcBorders>
                    <w:right w:val="nil"/>
                  </w:tcBorders>
                  <w:shd w:val="clear" w:color="auto" w:fill="FFFFFF"/>
                  <w:vAlign w:val="center"/>
                </w:tcPr>
                <w:p w14:paraId="55FC786E">
                  <w:pPr>
                    <w:widowControl/>
                    <w:jc w:val="center"/>
                    <w:rPr>
                      <w:rFonts w:cs="宋体"/>
                      <w:color w:val="auto"/>
                      <w:sz w:val="18"/>
                      <w:szCs w:val="18"/>
                    </w:rPr>
                  </w:pPr>
                </w:p>
              </w:tc>
              <w:tc>
                <w:tcPr>
                  <w:tcW w:w="559" w:type="pct"/>
                  <w:vMerge w:val="continue"/>
                  <w:tcBorders>
                    <w:right w:val="nil"/>
                  </w:tcBorders>
                  <w:shd w:val="clear" w:color="auto" w:fill="FFFFFF"/>
                  <w:vAlign w:val="center"/>
                </w:tcPr>
                <w:p w14:paraId="07093B93">
                  <w:pPr>
                    <w:widowControl/>
                    <w:jc w:val="center"/>
                    <w:rPr>
                      <w:rFonts w:cs="宋体"/>
                      <w:color w:val="auto"/>
                      <w:sz w:val="18"/>
                      <w:szCs w:val="18"/>
                    </w:rPr>
                  </w:pPr>
                </w:p>
              </w:tc>
            </w:tr>
            <w:tr w14:paraId="382586A6">
              <w:tblPrEx>
                <w:tblBorders>
                  <w:top w:val="none" w:color="auto" w:sz="0"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522" w:type="pct"/>
                  <w:vMerge w:val="continue"/>
                  <w:tcBorders>
                    <w:left w:val="nil"/>
                  </w:tcBorders>
                  <w:shd w:val="clear" w:color="auto" w:fill="FFFFFF"/>
                  <w:vAlign w:val="center"/>
                </w:tcPr>
                <w:p w14:paraId="2032DFAA">
                  <w:pPr>
                    <w:widowControl/>
                    <w:jc w:val="center"/>
                    <w:rPr>
                      <w:rFonts w:cs="宋体"/>
                      <w:color w:val="auto"/>
                      <w:sz w:val="18"/>
                      <w:szCs w:val="18"/>
                    </w:rPr>
                  </w:pPr>
                </w:p>
              </w:tc>
              <w:tc>
                <w:tcPr>
                  <w:tcW w:w="1260" w:type="pct"/>
                  <w:shd w:val="clear" w:color="auto" w:fill="FFFFFF"/>
                  <w:vAlign w:val="center"/>
                </w:tcPr>
                <w:p w14:paraId="3339DDB8">
                  <w:pPr>
                    <w:widowControl/>
                    <w:jc w:val="center"/>
                    <w:textAlignment w:val="center"/>
                    <w:rPr>
                      <w:rFonts w:cs="宋体"/>
                      <w:color w:val="auto"/>
                      <w:sz w:val="18"/>
                      <w:szCs w:val="18"/>
                    </w:rPr>
                  </w:pPr>
                </w:p>
              </w:tc>
              <w:tc>
                <w:tcPr>
                  <w:tcW w:w="2069" w:type="pct"/>
                  <w:shd w:val="clear" w:color="auto" w:fill="FFFFFF"/>
                  <w:vAlign w:val="center"/>
                </w:tcPr>
                <w:p w14:paraId="7B8BA57C">
                  <w:pPr>
                    <w:widowControl/>
                    <w:jc w:val="center"/>
                    <w:textAlignment w:val="center"/>
                    <w:rPr>
                      <w:rFonts w:cs="宋体"/>
                      <w:color w:val="auto"/>
                      <w:sz w:val="18"/>
                      <w:szCs w:val="18"/>
                    </w:rPr>
                  </w:pPr>
                </w:p>
              </w:tc>
              <w:tc>
                <w:tcPr>
                  <w:tcW w:w="588" w:type="pct"/>
                  <w:tcBorders>
                    <w:right w:val="nil"/>
                  </w:tcBorders>
                  <w:shd w:val="clear" w:color="auto" w:fill="FFFFFF"/>
                  <w:vAlign w:val="center"/>
                </w:tcPr>
                <w:p w14:paraId="781FE17E">
                  <w:pPr>
                    <w:widowControl/>
                    <w:jc w:val="center"/>
                    <w:textAlignment w:val="center"/>
                    <w:rPr>
                      <w:rFonts w:cs="宋体"/>
                      <w:color w:val="auto"/>
                      <w:kern w:val="0"/>
                      <w:sz w:val="18"/>
                      <w:szCs w:val="18"/>
                      <w:lang w:bidi="ar"/>
                    </w:rPr>
                  </w:pPr>
                </w:p>
              </w:tc>
              <w:tc>
                <w:tcPr>
                  <w:tcW w:w="559" w:type="pct"/>
                  <w:tcBorders>
                    <w:right w:val="nil"/>
                  </w:tcBorders>
                  <w:shd w:val="clear" w:color="auto" w:fill="FFFFFF"/>
                  <w:vAlign w:val="center"/>
                </w:tcPr>
                <w:p w14:paraId="2D7E1DF3">
                  <w:pPr>
                    <w:widowControl/>
                    <w:jc w:val="center"/>
                    <w:textAlignment w:val="center"/>
                    <w:rPr>
                      <w:rFonts w:cs="宋体"/>
                      <w:color w:val="auto"/>
                      <w:sz w:val="18"/>
                      <w:szCs w:val="18"/>
                    </w:rPr>
                  </w:pPr>
                </w:p>
              </w:tc>
            </w:tr>
          </w:tbl>
          <w:p w14:paraId="6D6AB646">
            <w:pPr>
              <w:adjustRightInd w:val="0"/>
              <w:snapToGrid w:val="0"/>
              <w:spacing w:line="500" w:lineRule="exact"/>
              <w:ind w:firstLine="420" w:firstLineChars="200"/>
              <w:rPr>
                <w:b/>
                <w:color w:val="auto"/>
                <w:szCs w:val="21"/>
              </w:rPr>
            </w:pPr>
            <w:r>
              <w:rPr>
                <w:rFonts w:hint="eastAsia"/>
                <w:color w:val="auto"/>
                <w:szCs w:val="21"/>
              </w:rPr>
              <w:t>现有已建已验项目废水经厂区污水处理站处理达接管标准后接管至连云港石化基地工业废水综合治理中心。根据企业监测数据，现有项目废水均能达标排放，监测数据统计见表</w:t>
            </w:r>
            <w:r>
              <w:rPr>
                <w:color w:val="auto"/>
                <w:szCs w:val="21"/>
              </w:rPr>
              <w:t>2</w:t>
            </w:r>
            <w:r>
              <w:rPr>
                <w:rFonts w:hint="eastAsia"/>
                <w:color w:val="auto"/>
                <w:szCs w:val="21"/>
              </w:rPr>
              <w:t>-1</w:t>
            </w:r>
            <w:r>
              <w:rPr>
                <w:color w:val="auto"/>
                <w:szCs w:val="21"/>
              </w:rPr>
              <w:t>7</w:t>
            </w:r>
            <w:r>
              <w:rPr>
                <w:rFonts w:hint="eastAsia"/>
                <w:color w:val="auto"/>
                <w:szCs w:val="21"/>
              </w:rPr>
              <w:t>。</w:t>
            </w:r>
          </w:p>
          <w:p w14:paraId="2F4016D2">
            <w:pPr>
              <w:snapToGrid w:val="0"/>
              <w:spacing w:line="500" w:lineRule="exact"/>
              <w:jc w:val="center"/>
              <w:rPr>
                <w:b/>
                <w:color w:val="auto"/>
                <w:szCs w:val="21"/>
              </w:rPr>
            </w:pPr>
            <w:r>
              <w:rPr>
                <w:rFonts w:hint="eastAsia"/>
                <w:b/>
                <w:color w:val="auto"/>
                <w:szCs w:val="21"/>
              </w:rPr>
              <w:t>表2-17（1）  2026年废水总排口DW001监测结果  单位：mg/L</w:t>
            </w:r>
          </w:p>
          <w:tbl>
            <w:tblPr>
              <w:tblStyle w:val="21"/>
              <w:tblW w:w="4996"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287"/>
              <w:gridCol w:w="1914"/>
              <w:gridCol w:w="2303"/>
              <w:gridCol w:w="1915"/>
            </w:tblGrid>
            <w:tr w14:paraId="692CBF5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358" w:type="pct"/>
                  <w:noWrap/>
                  <w:vAlign w:val="center"/>
                </w:tcPr>
                <w:p w14:paraId="48B84A95">
                  <w:pPr>
                    <w:adjustRightInd w:val="0"/>
                    <w:snapToGrid w:val="0"/>
                    <w:jc w:val="center"/>
                    <w:rPr>
                      <w:b/>
                      <w:color w:val="auto"/>
                      <w:sz w:val="18"/>
                      <w:szCs w:val="18"/>
                      <w:lang w:val="zh-CN"/>
                    </w:rPr>
                  </w:pPr>
                  <w:r>
                    <w:rPr>
                      <w:b/>
                      <w:color w:val="auto"/>
                      <w:sz w:val="18"/>
                      <w:szCs w:val="18"/>
                      <w:lang w:val="zh-CN"/>
                    </w:rPr>
                    <w:t>监测因子</w:t>
                  </w:r>
                </w:p>
              </w:tc>
              <w:tc>
                <w:tcPr>
                  <w:tcW w:w="1137" w:type="pct"/>
                  <w:noWrap/>
                  <w:vAlign w:val="center"/>
                </w:tcPr>
                <w:p w14:paraId="61121D3B">
                  <w:pPr>
                    <w:adjustRightInd w:val="0"/>
                    <w:snapToGrid w:val="0"/>
                    <w:jc w:val="center"/>
                    <w:rPr>
                      <w:b/>
                      <w:color w:val="auto"/>
                      <w:sz w:val="18"/>
                      <w:szCs w:val="18"/>
                      <w:lang w:val="zh-CN"/>
                    </w:rPr>
                  </w:pPr>
                  <w:r>
                    <w:rPr>
                      <w:b/>
                      <w:color w:val="auto"/>
                      <w:sz w:val="18"/>
                      <w:szCs w:val="18"/>
                      <w:lang w:val="zh-CN"/>
                    </w:rPr>
                    <w:t>执行标准</w:t>
                  </w:r>
                </w:p>
              </w:tc>
              <w:tc>
                <w:tcPr>
                  <w:tcW w:w="1368" w:type="pct"/>
                  <w:vAlign w:val="center"/>
                </w:tcPr>
                <w:p w14:paraId="0EF837E1">
                  <w:pPr>
                    <w:adjustRightInd w:val="0"/>
                    <w:snapToGrid w:val="0"/>
                    <w:jc w:val="center"/>
                    <w:rPr>
                      <w:b/>
                      <w:color w:val="auto"/>
                      <w:sz w:val="18"/>
                      <w:szCs w:val="18"/>
                    </w:rPr>
                  </w:pPr>
                  <w:r>
                    <w:rPr>
                      <w:b/>
                      <w:color w:val="auto"/>
                      <w:sz w:val="18"/>
                      <w:szCs w:val="18"/>
                      <w:lang w:val="zh-CN"/>
                    </w:rPr>
                    <w:t>202</w:t>
                  </w:r>
                  <w:r>
                    <w:rPr>
                      <w:rFonts w:hint="eastAsia"/>
                      <w:b/>
                      <w:color w:val="auto"/>
                      <w:sz w:val="18"/>
                      <w:szCs w:val="18"/>
                    </w:rPr>
                    <w:t>6</w:t>
                  </w:r>
                  <w:r>
                    <w:rPr>
                      <w:b/>
                      <w:color w:val="auto"/>
                      <w:sz w:val="18"/>
                      <w:szCs w:val="18"/>
                      <w:lang w:val="zh-CN"/>
                    </w:rPr>
                    <w:t>.</w:t>
                  </w:r>
                  <w:r>
                    <w:rPr>
                      <w:rFonts w:hint="eastAsia"/>
                      <w:b/>
                      <w:color w:val="auto"/>
                      <w:sz w:val="18"/>
                      <w:szCs w:val="18"/>
                    </w:rPr>
                    <w:t>6</w:t>
                  </w:r>
                  <w:r>
                    <w:rPr>
                      <w:b/>
                      <w:color w:val="auto"/>
                      <w:sz w:val="18"/>
                      <w:szCs w:val="18"/>
                      <w:lang w:val="zh-CN"/>
                    </w:rPr>
                    <w:t>.</w:t>
                  </w:r>
                  <w:r>
                    <w:rPr>
                      <w:rFonts w:hint="eastAsia"/>
                      <w:b/>
                      <w:color w:val="auto"/>
                      <w:sz w:val="18"/>
                      <w:szCs w:val="18"/>
                    </w:rPr>
                    <w:t>27</w:t>
                  </w:r>
                </w:p>
              </w:tc>
              <w:tc>
                <w:tcPr>
                  <w:tcW w:w="1137" w:type="pct"/>
                  <w:vAlign w:val="center"/>
                </w:tcPr>
                <w:p w14:paraId="6384653D">
                  <w:pPr>
                    <w:adjustRightInd w:val="0"/>
                    <w:snapToGrid w:val="0"/>
                    <w:jc w:val="center"/>
                    <w:rPr>
                      <w:b/>
                      <w:color w:val="auto"/>
                      <w:sz w:val="18"/>
                      <w:szCs w:val="18"/>
                      <w:lang w:val="zh-CN"/>
                    </w:rPr>
                  </w:pPr>
                  <w:r>
                    <w:rPr>
                      <w:rFonts w:hint="eastAsia"/>
                      <w:b/>
                      <w:color w:val="auto"/>
                      <w:sz w:val="18"/>
                      <w:szCs w:val="18"/>
                      <w:lang w:val="zh-CN"/>
                    </w:rPr>
                    <w:t>达标判定</w:t>
                  </w:r>
                </w:p>
              </w:tc>
            </w:tr>
            <w:tr w14:paraId="057E61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358" w:type="pct"/>
                  <w:noWrap/>
                  <w:vAlign w:val="center"/>
                </w:tcPr>
                <w:p w14:paraId="7D581131">
                  <w:pPr>
                    <w:adjustRightInd w:val="0"/>
                    <w:snapToGrid w:val="0"/>
                    <w:jc w:val="center"/>
                    <w:rPr>
                      <w:bCs/>
                      <w:color w:val="auto"/>
                      <w:sz w:val="18"/>
                      <w:szCs w:val="18"/>
                      <w:lang w:val="zh-CN"/>
                    </w:rPr>
                  </w:pPr>
                </w:p>
              </w:tc>
              <w:tc>
                <w:tcPr>
                  <w:tcW w:w="1137" w:type="pct"/>
                  <w:noWrap/>
                  <w:vAlign w:val="center"/>
                </w:tcPr>
                <w:p w14:paraId="369880E2">
                  <w:pPr>
                    <w:adjustRightInd w:val="0"/>
                    <w:snapToGrid w:val="0"/>
                    <w:jc w:val="center"/>
                    <w:rPr>
                      <w:bCs/>
                      <w:color w:val="auto"/>
                      <w:sz w:val="18"/>
                      <w:szCs w:val="18"/>
                      <w:lang w:val="zh-CN"/>
                    </w:rPr>
                  </w:pPr>
                </w:p>
              </w:tc>
              <w:tc>
                <w:tcPr>
                  <w:tcW w:w="1368" w:type="pct"/>
                  <w:vAlign w:val="center"/>
                </w:tcPr>
                <w:p w14:paraId="13953027">
                  <w:pPr>
                    <w:adjustRightInd w:val="0"/>
                    <w:snapToGrid w:val="0"/>
                    <w:jc w:val="center"/>
                    <w:rPr>
                      <w:bCs/>
                      <w:color w:val="auto"/>
                      <w:sz w:val="18"/>
                      <w:szCs w:val="18"/>
                    </w:rPr>
                  </w:pPr>
                </w:p>
              </w:tc>
              <w:tc>
                <w:tcPr>
                  <w:tcW w:w="1137" w:type="pct"/>
                  <w:vAlign w:val="center"/>
                </w:tcPr>
                <w:p w14:paraId="5D64F7AC">
                  <w:pPr>
                    <w:adjustRightInd w:val="0"/>
                    <w:snapToGrid w:val="0"/>
                    <w:jc w:val="center"/>
                    <w:rPr>
                      <w:bCs/>
                      <w:color w:val="auto"/>
                      <w:sz w:val="18"/>
                      <w:szCs w:val="18"/>
                      <w:lang w:val="zh-CN"/>
                    </w:rPr>
                  </w:pPr>
                </w:p>
              </w:tc>
            </w:tr>
            <w:tr w14:paraId="2AE10B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358" w:type="pct"/>
                  <w:noWrap/>
                  <w:vAlign w:val="center"/>
                </w:tcPr>
                <w:p w14:paraId="6221F004">
                  <w:pPr>
                    <w:adjustRightInd w:val="0"/>
                    <w:snapToGrid w:val="0"/>
                    <w:jc w:val="center"/>
                    <w:rPr>
                      <w:bCs/>
                      <w:color w:val="auto"/>
                      <w:sz w:val="18"/>
                      <w:szCs w:val="18"/>
                      <w:lang w:val="zh-CN"/>
                    </w:rPr>
                  </w:pPr>
                </w:p>
              </w:tc>
              <w:tc>
                <w:tcPr>
                  <w:tcW w:w="1137" w:type="pct"/>
                  <w:noWrap/>
                  <w:vAlign w:val="center"/>
                </w:tcPr>
                <w:p w14:paraId="4B01ABE9">
                  <w:pPr>
                    <w:adjustRightInd w:val="0"/>
                    <w:snapToGrid w:val="0"/>
                    <w:jc w:val="center"/>
                    <w:rPr>
                      <w:bCs/>
                      <w:color w:val="auto"/>
                      <w:sz w:val="18"/>
                      <w:szCs w:val="18"/>
                    </w:rPr>
                  </w:pPr>
                </w:p>
              </w:tc>
              <w:tc>
                <w:tcPr>
                  <w:tcW w:w="1368" w:type="pct"/>
                  <w:vAlign w:val="center"/>
                </w:tcPr>
                <w:p w14:paraId="1A2CD70C">
                  <w:pPr>
                    <w:adjustRightInd w:val="0"/>
                    <w:snapToGrid w:val="0"/>
                    <w:jc w:val="center"/>
                    <w:rPr>
                      <w:bCs/>
                      <w:color w:val="auto"/>
                      <w:sz w:val="18"/>
                      <w:szCs w:val="18"/>
                    </w:rPr>
                  </w:pPr>
                </w:p>
              </w:tc>
              <w:tc>
                <w:tcPr>
                  <w:tcW w:w="1137" w:type="pct"/>
                  <w:vAlign w:val="center"/>
                </w:tcPr>
                <w:p w14:paraId="4542B330">
                  <w:pPr>
                    <w:adjustRightInd w:val="0"/>
                    <w:snapToGrid w:val="0"/>
                    <w:jc w:val="center"/>
                    <w:rPr>
                      <w:bCs/>
                      <w:color w:val="auto"/>
                      <w:sz w:val="18"/>
                      <w:szCs w:val="18"/>
                      <w:lang w:val="zh-CN"/>
                    </w:rPr>
                  </w:pPr>
                </w:p>
              </w:tc>
            </w:tr>
            <w:tr w14:paraId="47A7F9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358" w:type="pct"/>
                  <w:noWrap/>
                  <w:vAlign w:val="center"/>
                </w:tcPr>
                <w:p w14:paraId="167E8B5E">
                  <w:pPr>
                    <w:adjustRightInd w:val="0"/>
                    <w:snapToGrid w:val="0"/>
                    <w:jc w:val="center"/>
                    <w:rPr>
                      <w:bCs/>
                      <w:color w:val="auto"/>
                      <w:sz w:val="18"/>
                      <w:szCs w:val="18"/>
                      <w:lang w:val="zh-CN"/>
                    </w:rPr>
                  </w:pPr>
                </w:p>
              </w:tc>
              <w:tc>
                <w:tcPr>
                  <w:tcW w:w="1137" w:type="pct"/>
                  <w:noWrap/>
                  <w:vAlign w:val="center"/>
                </w:tcPr>
                <w:p w14:paraId="0FB543AF">
                  <w:pPr>
                    <w:adjustRightInd w:val="0"/>
                    <w:snapToGrid w:val="0"/>
                    <w:jc w:val="center"/>
                    <w:rPr>
                      <w:bCs/>
                      <w:color w:val="auto"/>
                      <w:sz w:val="18"/>
                      <w:szCs w:val="18"/>
                    </w:rPr>
                  </w:pPr>
                </w:p>
              </w:tc>
              <w:tc>
                <w:tcPr>
                  <w:tcW w:w="1368" w:type="pct"/>
                  <w:vAlign w:val="center"/>
                </w:tcPr>
                <w:p w14:paraId="37F23C55">
                  <w:pPr>
                    <w:adjustRightInd w:val="0"/>
                    <w:snapToGrid w:val="0"/>
                    <w:jc w:val="center"/>
                    <w:rPr>
                      <w:bCs/>
                      <w:color w:val="auto"/>
                      <w:sz w:val="18"/>
                      <w:szCs w:val="18"/>
                    </w:rPr>
                  </w:pPr>
                </w:p>
              </w:tc>
              <w:tc>
                <w:tcPr>
                  <w:tcW w:w="1137" w:type="pct"/>
                  <w:vAlign w:val="center"/>
                </w:tcPr>
                <w:p w14:paraId="630165B7">
                  <w:pPr>
                    <w:adjustRightInd w:val="0"/>
                    <w:snapToGrid w:val="0"/>
                    <w:jc w:val="center"/>
                    <w:rPr>
                      <w:bCs/>
                      <w:color w:val="auto"/>
                      <w:sz w:val="18"/>
                      <w:szCs w:val="18"/>
                      <w:lang w:val="zh-CN"/>
                    </w:rPr>
                  </w:pPr>
                </w:p>
              </w:tc>
            </w:tr>
            <w:tr w14:paraId="1C0132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00" w:hRule="atLeast"/>
              </w:trPr>
              <w:tc>
                <w:tcPr>
                  <w:tcW w:w="1358" w:type="pct"/>
                  <w:noWrap/>
                  <w:vAlign w:val="center"/>
                </w:tcPr>
                <w:p w14:paraId="121572F9">
                  <w:pPr>
                    <w:adjustRightInd w:val="0"/>
                    <w:snapToGrid w:val="0"/>
                    <w:jc w:val="center"/>
                    <w:rPr>
                      <w:bCs/>
                      <w:color w:val="auto"/>
                      <w:sz w:val="18"/>
                      <w:szCs w:val="18"/>
                    </w:rPr>
                  </w:pPr>
                </w:p>
              </w:tc>
              <w:tc>
                <w:tcPr>
                  <w:tcW w:w="1137" w:type="pct"/>
                  <w:noWrap/>
                  <w:vAlign w:val="center"/>
                </w:tcPr>
                <w:p w14:paraId="5BE8714E">
                  <w:pPr>
                    <w:adjustRightInd w:val="0"/>
                    <w:snapToGrid w:val="0"/>
                    <w:jc w:val="center"/>
                    <w:rPr>
                      <w:bCs/>
                      <w:color w:val="auto"/>
                      <w:sz w:val="18"/>
                      <w:szCs w:val="18"/>
                    </w:rPr>
                  </w:pPr>
                </w:p>
              </w:tc>
              <w:tc>
                <w:tcPr>
                  <w:tcW w:w="1368" w:type="pct"/>
                  <w:vAlign w:val="center"/>
                </w:tcPr>
                <w:p w14:paraId="7F4F95AC">
                  <w:pPr>
                    <w:adjustRightInd w:val="0"/>
                    <w:snapToGrid w:val="0"/>
                    <w:jc w:val="center"/>
                    <w:rPr>
                      <w:bCs/>
                      <w:color w:val="auto"/>
                      <w:sz w:val="18"/>
                      <w:szCs w:val="18"/>
                    </w:rPr>
                  </w:pPr>
                </w:p>
              </w:tc>
              <w:tc>
                <w:tcPr>
                  <w:tcW w:w="1137" w:type="pct"/>
                  <w:vAlign w:val="center"/>
                </w:tcPr>
                <w:p w14:paraId="2B2DED9C">
                  <w:pPr>
                    <w:adjustRightInd w:val="0"/>
                    <w:snapToGrid w:val="0"/>
                    <w:jc w:val="center"/>
                    <w:rPr>
                      <w:bCs/>
                      <w:color w:val="auto"/>
                      <w:sz w:val="18"/>
                      <w:szCs w:val="18"/>
                      <w:lang w:val="zh-CN"/>
                    </w:rPr>
                  </w:pPr>
                </w:p>
              </w:tc>
            </w:tr>
            <w:tr w14:paraId="410A96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358" w:type="pct"/>
                  <w:noWrap/>
                  <w:vAlign w:val="center"/>
                </w:tcPr>
                <w:p w14:paraId="3A7FAC48">
                  <w:pPr>
                    <w:adjustRightInd w:val="0"/>
                    <w:snapToGrid w:val="0"/>
                    <w:jc w:val="center"/>
                    <w:rPr>
                      <w:bCs/>
                      <w:color w:val="auto"/>
                      <w:sz w:val="18"/>
                      <w:szCs w:val="18"/>
                    </w:rPr>
                  </w:pPr>
                </w:p>
              </w:tc>
              <w:tc>
                <w:tcPr>
                  <w:tcW w:w="1137" w:type="pct"/>
                  <w:noWrap/>
                  <w:vAlign w:val="center"/>
                </w:tcPr>
                <w:p w14:paraId="4F01155B">
                  <w:pPr>
                    <w:adjustRightInd w:val="0"/>
                    <w:snapToGrid w:val="0"/>
                    <w:jc w:val="center"/>
                    <w:rPr>
                      <w:bCs/>
                      <w:color w:val="auto"/>
                      <w:sz w:val="18"/>
                      <w:szCs w:val="18"/>
                    </w:rPr>
                  </w:pPr>
                </w:p>
              </w:tc>
              <w:tc>
                <w:tcPr>
                  <w:tcW w:w="1368" w:type="pct"/>
                  <w:vAlign w:val="center"/>
                </w:tcPr>
                <w:p w14:paraId="779D1DAB">
                  <w:pPr>
                    <w:adjustRightInd w:val="0"/>
                    <w:snapToGrid w:val="0"/>
                    <w:jc w:val="center"/>
                    <w:rPr>
                      <w:bCs/>
                      <w:color w:val="auto"/>
                      <w:sz w:val="18"/>
                      <w:szCs w:val="18"/>
                    </w:rPr>
                  </w:pPr>
                </w:p>
              </w:tc>
              <w:tc>
                <w:tcPr>
                  <w:tcW w:w="1137" w:type="pct"/>
                  <w:vAlign w:val="center"/>
                </w:tcPr>
                <w:p w14:paraId="6188329D">
                  <w:pPr>
                    <w:adjustRightInd w:val="0"/>
                    <w:snapToGrid w:val="0"/>
                    <w:jc w:val="center"/>
                    <w:rPr>
                      <w:bCs/>
                      <w:color w:val="auto"/>
                      <w:sz w:val="18"/>
                      <w:szCs w:val="18"/>
                      <w:lang w:val="zh-CN"/>
                    </w:rPr>
                  </w:pPr>
                </w:p>
              </w:tc>
            </w:tr>
            <w:tr w14:paraId="5644D76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358" w:type="pct"/>
                  <w:noWrap/>
                  <w:vAlign w:val="center"/>
                </w:tcPr>
                <w:p w14:paraId="4E4A705B">
                  <w:pPr>
                    <w:adjustRightInd w:val="0"/>
                    <w:snapToGrid w:val="0"/>
                    <w:jc w:val="center"/>
                    <w:rPr>
                      <w:bCs/>
                      <w:color w:val="auto"/>
                      <w:sz w:val="18"/>
                      <w:szCs w:val="18"/>
                    </w:rPr>
                  </w:pPr>
                </w:p>
              </w:tc>
              <w:tc>
                <w:tcPr>
                  <w:tcW w:w="1137" w:type="pct"/>
                  <w:noWrap/>
                  <w:vAlign w:val="center"/>
                </w:tcPr>
                <w:p w14:paraId="18C52542">
                  <w:pPr>
                    <w:adjustRightInd w:val="0"/>
                    <w:snapToGrid w:val="0"/>
                    <w:jc w:val="center"/>
                    <w:rPr>
                      <w:bCs/>
                      <w:color w:val="auto"/>
                      <w:sz w:val="18"/>
                      <w:szCs w:val="18"/>
                    </w:rPr>
                  </w:pPr>
                </w:p>
              </w:tc>
              <w:tc>
                <w:tcPr>
                  <w:tcW w:w="1368" w:type="pct"/>
                  <w:vAlign w:val="center"/>
                </w:tcPr>
                <w:p w14:paraId="5E33126B">
                  <w:pPr>
                    <w:adjustRightInd w:val="0"/>
                    <w:snapToGrid w:val="0"/>
                    <w:jc w:val="center"/>
                    <w:rPr>
                      <w:bCs/>
                      <w:color w:val="auto"/>
                      <w:sz w:val="18"/>
                      <w:szCs w:val="18"/>
                    </w:rPr>
                  </w:pPr>
                </w:p>
              </w:tc>
              <w:tc>
                <w:tcPr>
                  <w:tcW w:w="1137" w:type="pct"/>
                  <w:vAlign w:val="center"/>
                </w:tcPr>
                <w:p w14:paraId="68566A9C">
                  <w:pPr>
                    <w:adjustRightInd w:val="0"/>
                    <w:snapToGrid w:val="0"/>
                    <w:jc w:val="center"/>
                    <w:rPr>
                      <w:bCs/>
                      <w:color w:val="auto"/>
                      <w:sz w:val="18"/>
                      <w:szCs w:val="18"/>
                      <w:lang w:val="zh-CN"/>
                    </w:rPr>
                  </w:pPr>
                </w:p>
              </w:tc>
            </w:tr>
            <w:tr w14:paraId="20E081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358" w:type="pct"/>
                  <w:noWrap/>
                  <w:vAlign w:val="center"/>
                </w:tcPr>
                <w:p w14:paraId="2A08B0D6">
                  <w:pPr>
                    <w:adjustRightInd w:val="0"/>
                    <w:snapToGrid w:val="0"/>
                    <w:jc w:val="center"/>
                    <w:rPr>
                      <w:bCs/>
                      <w:color w:val="auto"/>
                      <w:sz w:val="18"/>
                      <w:szCs w:val="18"/>
                    </w:rPr>
                  </w:pPr>
                </w:p>
              </w:tc>
              <w:tc>
                <w:tcPr>
                  <w:tcW w:w="1137" w:type="pct"/>
                  <w:noWrap/>
                  <w:vAlign w:val="center"/>
                </w:tcPr>
                <w:p w14:paraId="2A74C57B">
                  <w:pPr>
                    <w:adjustRightInd w:val="0"/>
                    <w:snapToGrid w:val="0"/>
                    <w:jc w:val="center"/>
                    <w:rPr>
                      <w:bCs/>
                      <w:color w:val="auto"/>
                      <w:sz w:val="18"/>
                      <w:szCs w:val="18"/>
                    </w:rPr>
                  </w:pPr>
                </w:p>
              </w:tc>
              <w:tc>
                <w:tcPr>
                  <w:tcW w:w="1368" w:type="pct"/>
                  <w:vAlign w:val="center"/>
                </w:tcPr>
                <w:p w14:paraId="5CC8BAF3">
                  <w:pPr>
                    <w:adjustRightInd w:val="0"/>
                    <w:snapToGrid w:val="0"/>
                    <w:jc w:val="center"/>
                    <w:rPr>
                      <w:bCs/>
                      <w:color w:val="auto"/>
                      <w:sz w:val="18"/>
                      <w:szCs w:val="18"/>
                    </w:rPr>
                  </w:pPr>
                </w:p>
              </w:tc>
              <w:tc>
                <w:tcPr>
                  <w:tcW w:w="1137" w:type="pct"/>
                  <w:vAlign w:val="center"/>
                </w:tcPr>
                <w:p w14:paraId="1BB8F01E">
                  <w:pPr>
                    <w:adjustRightInd w:val="0"/>
                    <w:snapToGrid w:val="0"/>
                    <w:jc w:val="center"/>
                    <w:rPr>
                      <w:bCs/>
                      <w:color w:val="auto"/>
                      <w:sz w:val="18"/>
                      <w:szCs w:val="18"/>
                      <w:lang w:val="zh-CN"/>
                    </w:rPr>
                  </w:pPr>
                </w:p>
              </w:tc>
            </w:tr>
            <w:tr w14:paraId="098EC6C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358" w:type="pct"/>
                  <w:noWrap/>
                  <w:vAlign w:val="center"/>
                </w:tcPr>
                <w:p w14:paraId="5FDC587D">
                  <w:pPr>
                    <w:adjustRightInd w:val="0"/>
                    <w:snapToGrid w:val="0"/>
                    <w:jc w:val="center"/>
                    <w:rPr>
                      <w:bCs/>
                      <w:color w:val="auto"/>
                      <w:sz w:val="18"/>
                      <w:szCs w:val="18"/>
                    </w:rPr>
                  </w:pPr>
                </w:p>
              </w:tc>
              <w:tc>
                <w:tcPr>
                  <w:tcW w:w="1137" w:type="pct"/>
                  <w:noWrap/>
                  <w:vAlign w:val="center"/>
                </w:tcPr>
                <w:p w14:paraId="233B908C">
                  <w:pPr>
                    <w:adjustRightInd w:val="0"/>
                    <w:snapToGrid w:val="0"/>
                    <w:jc w:val="center"/>
                    <w:rPr>
                      <w:bCs/>
                      <w:color w:val="auto"/>
                      <w:sz w:val="18"/>
                      <w:szCs w:val="18"/>
                    </w:rPr>
                  </w:pPr>
                </w:p>
              </w:tc>
              <w:tc>
                <w:tcPr>
                  <w:tcW w:w="1368" w:type="pct"/>
                  <w:vAlign w:val="center"/>
                </w:tcPr>
                <w:p w14:paraId="3F251C3B">
                  <w:pPr>
                    <w:adjustRightInd w:val="0"/>
                    <w:snapToGrid w:val="0"/>
                    <w:jc w:val="center"/>
                    <w:rPr>
                      <w:bCs/>
                      <w:color w:val="auto"/>
                      <w:sz w:val="18"/>
                      <w:szCs w:val="18"/>
                    </w:rPr>
                  </w:pPr>
                </w:p>
              </w:tc>
              <w:tc>
                <w:tcPr>
                  <w:tcW w:w="1137" w:type="pct"/>
                  <w:vAlign w:val="center"/>
                </w:tcPr>
                <w:p w14:paraId="0DB8E751">
                  <w:pPr>
                    <w:adjustRightInd w:val="0"/>
                    <w:snapToGrid w:val="0"/>
                    <w:jc w:val="center"/>
                    <w:rPr>
                      <w:bCs/>
                      <w:color w:val="auto"/>
                      <w:sz w:val="18"/>
                      <w:szCs w:val="18"/>
                      <w:lang w:val="zh-CN"/>
                    </w:rPr>
                  </w:pPr>
                </w:p>
              </w:tc>
            </w:tr>
            <w:tr w14:paraId="60E418C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358" w:type="pct"/>
                  <w:noWrap/>
                  <w:vAlign w:val="center"/>
                </w:tcPr>
                <w:p w14:paraId="456C642F">
                  <w:pPr>
                    <w:adjustRightInd w:val="0"/>
                    <w:snapToGrid w:val="0"/>
                    <w:jc w:val="center"/>
                    <w:rPr>
                      <w:bCs/>
                      <w:color w:val="auto"/>
                      <w:sz w:val="18"/>
                      <w:szCs w:val="18"/>
                    </w:rPr>
                  </w:pPr>
                </w:p>
              </w:tc>
              <w:tc>
                <w:tcPr>
                  <w:tcW w:w="1137" w:type="pct"/>
                  <w:noWrap/>
                  <w:vAlign w:val="center"/>
                </w:tcPr>
                <w:p w14:paraId="6A4C3923">
                  <w:pPr>
                    <w:adjustRightInd w:val="0"/>
                    <w:snapToGrid w:val="0"/>
                    <w:jc w:val="center"/>
                    <w:rPr>
                      <w:bCs/>
                      <w:color w:val="auto"/>
                      <w:sz w:val="18"/>
                      <w:szCs w:val="18"/>
                    </w:rPr>
                  </w:pPr>
                </w:p>
              </w:tc>
              <w:tc>
                <w:tcPr>
                  <w:tcW w:w="1368" w:type="pct"/>
                  <w:vAlign w:val="center"/>
                </w:tcPr>
                <w:p w14:paraId="0938DA4C">
                  <w:pPr>
                    <w:adjustRightInd w:val="0"/>
                    <w:snapToGrid w:val="0"/>
                    <w:jc w:val="center"/>
                    <w:rPr>
                      <w:bCs/>
                      <w:color w:val="auto"/>
                      <w:sz w:val="18"/>
                      <w:szCs w:val="18"/>
                    </w:rPr>
                  </w:pPr>
                </w:p>
              </w:tc>
              <w:tc>
                <w:tcPr>
                  <w:tcW w:w="1137" w:type="pct"/>
                  <w:vAlign w:val="center"/>
                </w:tcPr>
                <w:p w14:paraId="651B3C45">
                  <w:pPr>
                    <w:adjustRightInd w:val="0"/>
                    <w:snapToGrid w:val="0"/>
                    <w:jc w:val="center"/>
                    <w:rPr>
                      <w:bCs/>
                      <w:color w:val="auto"/>
                      <w:sz w:val="18"/>
                      <w:szCs w:val="18"/>
                      <w:lang w:val="zh-CN"/>
                    </w:rPr>
                  </w:pPr>
                </w:p>
              </w:tc>
            </w:tr>
            <w:tr w14:paraId="0070B1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358" w:type="pct"/>
                  <w:noWrap/>
                  <w:vAlign w:val="center"/>
                </w:tcPr>
                <w:p w14:paraId="299771D8">
                  <w:pPr>
                    <w:adjustRightInd w:val="0"/>
                    <w:snapToGrid w:val="0"/>
                    <w:jc w:val="center"/>
                    <w:rPr>
                      <w:bCs/>
                      <w:color w:val="auto"/>
                      <w:sz w:val="18"/>
                      <w:szCs w:val="18"/>
                    </w:rPr>
                  </w:pPr>
                </w:p>
              </w:tc>
              <w:tc>
                <w:tcPr>
                  <w:tcW w:w="1137" w:type="pct"/>
                  <w:noWrap/>
                  <w:vAlign w:val="center"/>
                </w:tcPr>
                <w:p w14:paraId="31F7465C">
                  <w:pPr>
                    <w:adjustRightInd w:val="0"/>
                    <w:snapToGrid w:val="0"/>
                    <w:jc w:val="center"/>
                    <w:rPr>
                      <w:bCs/>
                      <w:color w:val="auto"/>
                      <w:sz w:val="18"/>
                      <w:szCs w:val="18"/>
                    </w:rPr>
                  </w:pPr>
                </w:p>
              </w:tc>
              <w:tc>
                <w:tcPr>
                  <w:tcW w:w="1368" w:type="pct"/>
                  <w:vAlign w:val="center"/>
                </w:tcPr>
                <w:p w14:paraId="7652F78F">
                  <w:pPr>
                    <w:adjustRightInd w:val="0"/>
                    <w:snapToGrid w:val="0"/>
                    <w:jc w:val="center"/>
                    <w:rPr>
                      <w:bCs/>
                      <w:color w:val="auto"/>
                      <w:sz w:val="18"/>
                      <w:szCs w:val="18"/>
                    </w:rPr>
                  </w:pPr>
                </w:p>
              </w:tc>
              <w:tc>
                <w:tcPr>
                  <w:tcW w:w="1137" w:type="pct"/>
                  <w:vAlign w:val="center"/>
                </w:tcPr>
                <w:p w14:paraId="67F0155E">
                  <w:pPr>
                    <w:adjustRightInd w:val="0"/>
                    <w:snapToGrid w:val="0"/>
                    <w:jc w:val="center"/>
                    <w:rPr>
                      <w:bCs/>
                      <w:color w:val="auto"/>
                      <w:sz w:val="18"/>
                      <w:szCs w:val="18"/>
                      <w:lang w:val="zh-CN"/>
                    </w:rPr>
                  </w:pPr>
                </w:p>
              </w:tc>
            </w:tr>
            <w:tr w14:paraId="089BF4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358" w:type="pct"/>
                  <w:noWrap/>
                  <w:vAlign w:val="center"/>
                </w:tcPr>
                <w:p w14:paraId="7E45543A">
                  <w:pPr>
                    <w:adjustRightInd w:val="0"/>
                    <w:snapToGrid w:val="0"/>
                    <w:jc w:val="center"/>
                    <w:rPr>
                      <w:bCs/>
                      <w:color w:val="auto"/>
                      <w:sz w:val="18"/>
                      <w:szCs w:val="18"/>
                    </w:rPr>
                  </w:pPr>
                </w:p>
              </w:tc>
              <w:tc>
                <w:tcPr>
                  <w:tcW w:w="1137" w:type="pct"/>
                  <w:noWrap/>
                  <w:vAlign w:val="center"/>
                </w:tcPr>
                <w:p w14:paraId="44BD35B9">
                  <w:pPr>
                    <w:adjustRightInd w:val="0"/>
                    <w:snapToGrid w:val="0"/>
                    <w:jc w:val="center"/>
                    <w:rPr>
                      <w:bCs/>
                      <w:color w:val="auto"/>
                      <w:sz w:val="18"/>
                      <w:szCs w:val="18"/>
                    </w:rPr>
                  </w:pPr>
                </w:p>
              </w:tc>
              <w:tc>
                <w:tcPr>
                  <w:tcW w:w="1368" w:type="pct"/>
                  <w:vAlign w:val="center"/>
                </w:tcPr>
                <w:p w14:paraId="29C2DAF1">
                  <w:pPr>
                    <w:adjustRightInd w:val="0"/>
                    <w:snapToGrid w:val="0"/>
                    <w:jc w:val="center"/>
                    <w:rPr>
                      <w:bCs/>
                      <w:color w:val="auto"/>
                      <w:sz w:val="18"/>
                      <w:szCs w:val="18"/>
                    </w:rPr>
                  </w:pPr>
                </w:p>
              </w:tc>
              <w:tc>
                <w:tcPr>
                  <w:tcW w:w="1137" w:type="pct"/>
                  <w:vAlign w:val="center"/>
                </w:tcPr>
                <w:p w14:paraId="33561622">
                  <w:pPr>
                    <w:adjustRightInd w:val="0"/>
                    <w:snapToGrid w:val="0"/>
                    <w:jc w:val="center"/>
                    <w:rPr>
                      <w:bCs/>
                      <w:color w:val="auto"/>
                      <w:sz w:val="18"/>
                      <w:szCs w:val="18"/>
                      <w:lang w:val="zh-CN"/>
                    </w:rPr>
                  </w:pPr>
                </w:p>
              </w:tc>
            </w:tr>
            <w:tr w14:paraId="51FD6B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00" w:hRule="atLeast"/>
              </w:trPr>
              <w:tc>
                <w:tcPr>
                  <w:tcW w:w="1358" w:type="pct"/>
                  <w:noWrap/>
                  <w:vAlign w:val="center"/>
                </w:tcPr>
                <w:p w14:paraId="61F5927D">
                  <w:pPr>
                    <w:adjustRightInd w:val="0"/>
                    <w:snapToGrid w:val="0"/>
                    <w:jc w:val="center"/>
                    <w:rPr>
                      <w:bCs/>
                      <w:color w:val="auto"/>
                      <w:sz w:val="18"/>
                      <w:szCs w:val="18"/>
                    </w:rPr>
                  </w:pPr>
                </w:p>
              </w:tc>
              <w:tc>
                <w:tcPr>
                  <w:tcW w:w="1137" w:type="pct"/>
                  <w:noWrap/>
                  <w:vAlign w:val="center"/>
                </w:tcPr>
                <w:p w14:paraId="2501A672">
                  <w:pPr>
                    <w:adjustRightInd w:val="0"/>
                    <w:snapToGrid w:val="0"/>
                    <w:jc w:val="center"/>
                    <w:rPr>
                      <w:bCs/>
                      <w:color w:val="auto"/>
                      <w:sz w:val="18"/>
                      <w:szCs w:val="18"/>
                    </w:rPr>
                  </w:pPr>
                </w:p>
              </w:tc>
              <w:tc>
                <w:tcPr>
                  <w:tcW w:w="1368" w:type="pct"/>
                  <w:vAlign w:val="center"/>
                </w:tcPr>
                <w:p w14:paraId="4B5B1F82">
                  <w:pPr>
                    <w:adjustRightInd w:val="0"/>
                    <w:snapToGrid w:val="0"/>
                    <w:jc w:val="center"/>
                    <w:rPr>
                      <w:bCs/>
                      <w:color w:val="auto"/>
                      <w:sz w:val="18"/>
                      <w:szCs w:val="18"/>
                    </w:rPr>
                  </w:pPr>
                </w:p>
              </w:tc>
              <w:tc>
                <w:tcPr>
                  <w:tcW w:w="1137" w:type="pct"/>
                  <w:vAlign w:val="center"/>
                </w:tcPr>
                <w:p w14:paraId="01D48BA2">
                  <w:pPr>
                    <w:adjustRightInd w:val="0"/>
                    <w:snapToGrid w:val="0"/>
                    <w:jc w:val="center"/>
                    <w:rPr>
                      <w:bCs/>
                      <w:color w:val="auto"/>
                      <w:sz w:val="18"/>
                      <w:szCs w:val="18"/>
                    </w:rPr>
                  </w:pPr>
                </w:p>
              </w:tc>
            </w:tr>
          </w:tbl>
          <w:p w14:paraId="020AD561">
            <w:pPr>
              <w:snapToGrid w:val="0"/>
              <w:spacing w:line="500" w:lineRule="exact"/>
              <w:jc w:val="center"/>
              <w:rPr>
                <w:b/>
                <w:color w:val="auto"/>
                <w:szCs w:val="21"/>
              </w:rPr>
            </w:pPr>
            <w:r>
              <w:rPr>
                <w:rFonts w:hint="eastAsia"/>
                <w:b/>
                <w:color w:val="auto"/>
                <w:szCs w:val="21"/>
              </w:rPr>
              <w:t>表2-17（2）  2026年车间排口DW004排口监测结果  单位：mg/L</w:t>
            </w:r>
          </w:p>
          <w:tbl>
            <w:tblPr>
              <w:tblStyle w:val="21"/>
              <w:tblW w:w="4999"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057"/>
              <w:gridCol w:w="2057"/>
              <w:gridCol w:w="2254"/>
              <w:gridCol w:w="2056"/>
            </w:tblGrid>
            <w:tr w14:paraId="503D88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221" w:type="pct"/>
                  <w:noWrap/>
                  <w:vAlign w:val="center"/>
                </w:tcPr>
                <w:p w14:paraId="74A89146">
                  <w:pPr>
                    <w:adjustRightInd w:val="0"/>
                    <w:snapToGrid w:val="0"/>
                    <w:jc w:val="center"/>
                    <w:rPr>
                      <w:b/>
                      <w:color w:val="auto"/>
                      <w:sz w:val="18"/>
                      <w:szCs w:val="18"/>
                      <w:lang w:val="zh-CN"/>
                    </w:rPr>
                  </w:pPr>
                  <w:r>
                    <w:rPr>
                      <w:b/>
                      <w:color w:val="auto"/>
                      <w:sz w:val="18"/>
                      <w:szCs w:val="18"/>
                      <w:lang w:val="zh-CN"/>
                    </w:rPr>
                    <w:t>监测因子</w:t>
                  </w:r>
                </w:p>
              </w:tc>
              <w:tc>
                <w:tcPr>
                  <w:tcW w:w="1221" w:type="pct"/>
                  <w:noWrap/>
                  <w:vAlign w:val="center"/>
                </w:tcPr>
                <w:p w14:paraId="01DA1CA0">
                  <w:pPr>
                    <w:adjustRightInd w:val="0"/>
                    <w:snapToGrid w:val="0"/>
                    <w:jc w:val="center"/>
                    <w:rPr>
                      <w:b/>
                      <w:color w:val="auto"/>
                      <w:sz w:val="18"/>
                      <w:szCs w:val="18"/>
                      <w:lang w:val="zh-CN"/>
                    </w:rPr>
                  </w:pPr>
                  <w:r>
                    <w:rPr>
                      <w:b/>
                      <w:color w:val="auto"/>
                      <w:sz w:val="18"/>
                      <w:szCs w:val="18"/>
                      <w:lang w:val="zh-CN"/>
                    </w:rPr>
                    <w:t>执行标准</w:t>
                  </w:r>
                </w:p>
              </w:tc>
              <w:tc>
                <w:tcPr>
                  <w:tcW w:w="1338" w:type="pct"/>
                  <w:vAlign w:val="center"/>
                </w:tcPr>
                <w:p w14:paraId="2788E9C9">
                  <w:pPr>
                    <w:adjustRightInd w:val="0"/>
                    <w:snapToGrid w:val="0"/>
                    <w:jc w:val="center"/>
                    <w:rPr>
                      <w:b/>
                      <w:color w:val="auto"/>
                      <w:sz w:val="18"/>
                      <w:szCs w:val="18"/>
                    </w:rPr>
                  </w:pPr>
                  <w:r>
                    <w:rPr>
                      <w:b/>
                      <w:color w:val="auto"/>
                      <w:sz w:val="18"/>
                      <w:szCs w:val="18"/>
                      <w:lang w:val="zh-CN"/>
                    </w:rPr>
                    <w:t>202</w:t>
                  </w:r>
                  <w:r>
                    <w:rPr>
                      <w:rFonts w:hint="eastAsia"/>
                      <w:b/>
                      <w:color w:val="auto"/>
                      <w:sz w:val="18"/>
                      <w:szCs w:val="18"/>
                    </w:rPr>
                    <w:t>6</w:t>
                  </w:r>
                  <w:r>
                    <w:rPr>
                      <w:b/>
                      <w:color w:val="auto"/>
                      <w:sz w:val="18"/>
                      <w:szCs w:val="18"/>
                      <w:lang w:val="zh-CN"/>
                    </w:rPr>
                    <w:t>.</w:t>
                  </w:r>
                  <w:r>
                    <w:rPr>
                      <w:rFonts w:hint="eastAsia"/>
                      <w:b/>
                      <w:color w:val="auto"/>
                      <w:sz w:val="18"/>
                      <w:szCs w:val="18"/>
                    </w:rPr>
                    <w:t>6</w:t>
                  </w:r>
                  <w:r>
                    <w:rPr>
                      <w:b/>
                      <w:color w:val="auto"/>
                      <w:sz w:val="18"/>
                      <w:szCs w:val="18"/>
                      <w:lang w:val="zh-CN"/>
                    </w:rPr>
                    <w:t>.</w:t>
                  </w:r>
                  <w:r>
                    <w:rPr>
                      <w:rFonts w:hint="eastAsia"/>
                      <w:b/>
                      <w:color w:val="auto"/>
                      <w:sz w:val="18"/>
                      <w:szCs w:val="18"/>
                    </w:rPr>
                    <w:t>27</w:t>
                  </w:r>
                </w:p>
              </w:tc>
              <w:tc>
                <w:tcPr>
                  <w:tcW w:w="1221" w:type="pct"/>
                  <w:vAlign w:val="center"/>
                </w:tcPr>
                <w:p w14:paraId="4A7D9EAF">
                  <w:pPr>
                    <w:adjustRightInd w:val="0"/>
                    <w:snapToGrid w:val="0"/>
                    <w:jc w:val="center"/>
                    <w:rPr>
                      <w:b/>
                      <w:color w:val="auto"/>
                      <w:sz w:val="18"/>
                      <w:szCs w:val="18"/>
                      <w:lang w:val="zh-CN"/>
                    </w:rPr>
                  </w:pPr>
                  <w:r>
                    <w:rPr>
                      <w:rFonts w:hint="eastAsia"/>
                      <w:b/>
                      <w:color w:val="auto"/>
                      <w:sz w:val="18"/>
                      <w:szCs w:val="18"/>
                      <w:lang w:val="zh-CN"/>
                    </w:rPr>
                    <w:t>达标判定</w:t>
                  </w:r>
                </w:p>
              </w:tc>
            </w:tr>
            <w:tr w14:paraId="722CB0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221" w:type="pct"/>
                  <w:noWrap/>
                  <w:vAlign w:val="center"/>
                </w:tcPr>
                <w:p w14:paraId="639DEFB3">
                  <w:pPr>
                    <w:adjustRightInd w:val="0"/>
                    <w:snapToGrid w:val="0"/>
                    <w:jc w:val="center"/>
                    <w:rPr>
                      <w:bCs/>
                      <w:color w:val="auto"/>
                      <w:sz w:val="18"/>
                      <w:szCs w:val="18"/>
                    </w:rPr>
                  </w:pPr>
                </w:p>
              </w:tc>
              <w:tc>
                <w:tcPr>
                  <w:tcW w:w="1221" w:type="pct"/>
                  <w:noWrap/>
                  <w:vAlign w:val="center"/>
                </w:tcPr>
                <w:p w14:paraId="3D019F90">
                  <w:pPr>
                    <w:adjustRightInd w:val="0"/>
                    <w:snapToGrid w:val="0"/>
                    <w:jc w:val="center"/>
                    <w:rPr>
                      <w:bCs/>
                      <w:color w:val="auto"/>
                      <w:sz w:val="18"/>
                      <w:szCs w:val="18"/>
                    </w:rPr>
                  </w:pPr>
                </w:p>
              </w:tc>
              <w:tc>
                <w:tcPr>
                  <w:tcW w:w="1338" w:type="pct"/>
                  <w:vAlign w:val="center"/>
                </w:tcPr>
                <w:p w14:paraId="0253229F">
                  <w:pPr>
                    <w:adjustRightInd w:val="0"/>
                    <w:snapToGrid w:val="0"/>
                    <w:jc w:val="center"/>
                    <w:rPr>
                      <w:bCs/>
                      <w:color w:val="auto"/>
                      <w:sz w:val="18"/>
                      <w:szCs w:val="18"/>
                    </w:rPr>
                  </w:pPr>
                </w:p>
              </w:tc>
              <w:tc>
                <w:tcPr>
                  <w:tcW w:w="1221" w:type="pct"/>
                  <w:vAlign w:val="center"/>
                </w:tcPr>
                <w:p w14:paraId="4A63CFEE">
                  <w:pPr>
                    <w:adjustRightInd w:val="0"/>
                    <w:snapToGrid w:val="0"/>
                    <w:jc w:val="center"/>
                    <w:rPr>
                      <w:bCs/>
                      <w:color w:val="auto"/>
                      <w:sz w:val="18"/>
                      <w:szCs w:val="18"/>
                      <w:lang w:val="zh-CN"/>
                    </w:rPr>
                  </w:pPr>
                </w:p>
              </w:tc>
            </w:tr>
            <w:tr w14:paraId="1DBBCA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221" w:type="pct"/>
                  <w:noWrap/>
                  <w:vAlign w:val="center"/>
                </w:tcPr>
                <w:p w14:paraId="3783F907">
                  <w:pPr>
                    <w:adjustRightInd w:val="0"/>
                    <w:snapToGrid w:val="0"/>
                    <w:jc w:val="center"/>
                    <w:rPr>
                      <w:bCs/>
                      <w:color w:val="auto"/>
                      <w:sz w:val="18"/>
                      <w:szCs w:val="18"/>
                    </w:rPr>
                  </w:pPr>
                </w:p>
              </w:tc>
              <w:tc>
                <w:tcPr>
                  <w:tcW w:w="1221" w:type="pct"/>
                  <w:noWrap/>
                  <w:vAlign w:val="center"/>
                </w:tcPr>
                <w:p w14:paraId="5CF56353">
                  <w:pPr>
                    <w:adjustRightInd w:val="0"/>
                    <w:snapToGrid w:val="0"/>
                    <w:jc w:val="center"/>
                    <w:rPr>
                      <w:bCs/>
                      <w:color w:val="auto"/>
                      <w:sz w:val="18"/>
                      <w:szCs w:val="18"/>
                    </w:rPr>
                  </w:pPr>
                </w:p>
              </w:tc>
              <w:tc>
                <w:tcPr>
                  <w:tcW w:w="1338" w:type="pct"/>
                  <w:vAlign w:val="center"/>
                </w:tcPr>
                <w:p w14:paraId="4CF04290">
                  <w:pPr>
                    <w:adjustRightInd w:val="0"/>
                    <w:snapToGrid w:val="0"/>
                    <w:jc w:val="center"/>
                    <w:rPr>
                      <w:bCs/>
                      <w:color w:val="auto"/>
                      <w:sz w:val="18"/>
                      <w:szCs w:val="18"/>
                    </w:rPr>
                  </w:pPr>
                </w:p>
              </w:tc>
              <w:tc>
                <w:tcPr>
                  <w:tcW w:w="1221" w:type="pct"/>
                  <w:vAlign w:val="center"/>
                </w:tcPr>
                <w:p w14:paraId="38367F3B">
                  <w:pPr>
                    <w:adjustRightInd w:val="0"/>
                    <w:snapToGrid w:val="0"/>
                    <w:jc w:val="center"/>
                    <w:rPr>
                      <w:bCs/>
                      <w:color w:val="auto"/>
                      <w:sz w:val="18"/>
                      <w:szCs w:val="18"/>
                      <w:lang w:val="zh-CN"/>
                    </w:rPr>
                  </w:pPr>
                </w:p>
              </w:tc>
            </w:tr>
            <w:tr w14:paraId="22FD13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221" w:type="pct"/>
                  <w:noWrap/>
                  <w:vAlign w:val="center"/>
                </w:tcPr>
                <w:p w14:paraId="484184D2">
                  <w:pPr>
                    <w:adjustRightInd w:val="0"/>
                    <w:snapToGrid w:val="0"/>
                    <w:jc w:val="center"/>
                    <w:rPr>
                      <w:bCs/>
                      <w:color w:val="auto"/>
                      <w:sz w:val="18"/>
                      <w:szCs w:val="18"/>
                    </w:rPr>
                  </w:pPr>
                </w:p>
              </w:tc>
              <w:tc>
                <w:tcPr>
                  <w:tcW w:w="1221" w:type="pct"/>
                  <w:noWrap/>
                  <w:vAlign w:val="center"/>
                </w:tcPr>
                <w:p w14:paraId="14913AD1">
                  <w:pPr>
                    <w:adjustRightInd w:val="0"/>
                    <w:snapToGrid w:val="0"/>
                    <w:jc w:val="center"/>
                    <w:rPr>
                      <w:bCs/>
                      <w:color w:val="auto"/>
                      <w:sz w:val="18"/>
                      <w:szCs w:val="18"/>
                    </w:rPr>
                  </w:pPr>
                </w:p>
              </w:tc>
              <w:tc>
                <w:tcPr>
                  <w:tcW w:w="1338" w:type="pct"/>
                  <w:vAlign w:val="center"/>
                </w:tcPr>
                <w:p w14:paraId="228A2531">
                  <w:pPr>
                    <w:adjustRightInd w:val="0"/>
                    <w:snapToGrid w:val="0"/>
                    <w:jc w:val="center"/>
                    <w:rPr>
                      <w:bCs/>
                      <w:color w:val="auto"/>
                      <w:sz w:val="18"/>
                      <w:szCs w:val="18"/>
                    </w:rPr>
                  </w:pPr>
                </w:p>
              </w:tc>
              <w:tc>
                <w:tcPr>
                  <w:tcW w:w="1221" w:type="pct"/>
                  <w:vAlign w:val="center"/>
                </w:tcPr>
                <w:p w14:paraId="28C1844C">
                  <w:pPr>
                    <w:adjustRightInd w:val="0"/>
                    <w:snapToGrid w:val="0"/>
                    <w:jc w:val="center"/>
                    <w:rPr>
                      <w:bCs/>
                      <w:color w:val="auto"/>
                      <w:sz w:val="18"/>
                      <w:szCs w:val="18"/>
                      <w:lang w:val="zh-CN"/>
                    </w:rPr>
                  </w:pPr>
                </w:p>
              </w:tc>
            </w:tr>
          </w:tbl>
          <w:p w14:paraId="61E6CDEB">
            <w:pPr>
              <w:snapToGrid w:val="0"/>
              <w:spacing w:line="500" w:lineRule="exact"/>
              <w:jc w:val="center"/>
              <w:rPr>
                <w:b/>
                <w:color w:val="auto"/>
                <w:szCs w:val="21"/>
              </w:rPr>
            </w:pPr>
            <w:r>
              <w:rPr>
                <w:rFonts w:hint="eastAsia"/>
                <w:b/>
                <w:color w:val="auto"/>
                <w:szCs w:val="21"/>
              </w:rPr>
              <w:t>表2-17（3）  2026年生产废水排口DW002监测结果  单位：mg/L</w:t>
            </w:r>
          </w:p>
          <w:tbl>
            <w:tblPr>
              <w:tblStyle w:val="21"/>
              <w:tblW w:w="4999"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056"/>
              <w:gridCol w:w="2057"/>
              <w:gridCol w:w="2254"/>
              <w:gridCol w:w="2057"/>
            </w:tblGrid>
            <w:tr w14:paraId="25C362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220" w:type="pct"/>
                  <w:noWrap/>
                  <w:vAlign w:val="center"/>
                </w:tcPr>
                <w:p w14:paraId="6E76A6AE">
                  <w:pPr>
                    <w:jc w:val="center"/>
                    <w:rPr>
                      <w:b/>
                      <w:color w:val="auto"/>
                      <w:sz w:val="18"/>
                      <w:szCs w:val="18"/>
                      <w:lang w:val="zh-CN"/>
                    </w:rPr>
                  </w:pPr>
                  <w:r>
                    <w:rPr>
                      <w:b/>
                      <w:color w:val="auto"/>
                      <w:sz w:val="18"/>
                      <w:szCs w:val="18"/>
                      <w:lang w:val="zh-CN"/>
                    </w:rPr>
                    <w:t>监测因子</w:t>
                  </w:r>
                </w:p>
              </w:tc>
              <w:tc>
                <w:tcPr>
                  <w:tcW w:w="1220" w:type="pct"/>
                  <w:noWrap/>
                  <w:vAlign w:val="center"/>
                </w:tcPr>
                <w:p w14:paraId="58E55A25">
                  <w:pPr>
                    <w:jc w:val="center"/>
                    <w:rPr>
                      <w:b/>
                      <w:color w:val="auto"/>
                      <w:sz w:val="18"/>
                      <w:szCs w:val="18"/>
                      <w:lang w:val="zh-CN"/>
                    </w:rPr>
                  </w:pPr>
                  <w:r>
                    <w:rPr>
                      <w:b/>
                      <w:color w:val="auto"/>
                      <w:sz w:val="18"/>
                      <w:szCs w:val="18"/>
                      <w:lang w:val="zh-CN"/>
                    </w:rPr>
                    <w:t>执行标准</w:t>
                  </w:r>
                </w:p>
              </w:tc>
              <w:tc>
                <w:tcPr>
                  <w:tcW w:w="1337" w:type="pct"/>
                  <w:vAlign w:val="center"/>
                </w:tcPr>
                <w:p w14:paraId="71C01DDF">
                  <w:pPr>
                    <w:jc w:val="center"/>
                    <w:rPr>
                      <w:b/>
                      <w:color w:val="auto"/>
                      <w:sz w:val="18"/>
                      <w:szCs w:val="18"/>
                      <w:lang w:val="zh-CN"/>
                    </w:rPr>
                  </w:pPr>
                  <w:r>
                    <w:rPr>
                      <w:b/>
                      <w:color w:val="auto"/>
                      <w:sz w:val="18"/>
                      <w:szCs w:val="18"/>
                      <w:lang w:val="zh-CN"/>
                    </w:rPr>
                    <w:t>202</w:t>
                  </w:r>
                  <w:r>
                    <w:rPr>
                      <w:rFonts w:hint="eastAsia"/>
                      <w:b/>
                      <w:color w:val="auto"/>
                      <w:sz w:val="18"/>
                      <w:szCs w:val="18"/>
                    </w:rPr>
                    <w:t>6</w:t>
                  </w:r>
                  <w:r>
                    <w:rPr>
                      <w:b/>
                      <w:color w:val="auto"/>
                      <w:sz w:val="18"/>
                      <w:szCs w:val="18"/>
                      <w:lang w:val="zh-CN"/>
                    </w:rPr>
                    <w:t>.</w:t>
                  </w:r>
                  <w:r>
                    <w:rPr>
                      <w:rFonts w:hint="eastAsia"/>
                      <w:b/>
                      <w:color w:val="auto"/>
                      <w:sz w:val="18"/>
                      <w:szCs w:val="18"/>
                    </w:rPr>
                    <w:t>6</w:t>
                  </w:r>
                  <w:r>
                    <w:rPr>
                      <w:b/>
                      <w:color w:val="auto"/>
                      <w:sz w:val="18"/>
                      <w:szCs w:val="18"/>
                      <w:lang w:val="zh-CN"/>
                    </w:rPr>
                    <w:t>.</w:t>
                  </w:r>
                  <w:r>
                    <w:rPr>
                      <w:rFonts w:hint="eastAsia"/>
                      <w:b/>
                      <w:color w:val="auto"/>
                      <w:sz w:val="18"/>
                      <w:szCs w:val="18"/>
                    </w:rPr>
                    <w:t>27</w:t>
                  </w:r>
                </w:p>
              </w:tc>
              <w:tc>
                <w:tcPr>
                  <w:tcW w:w="1220" w:type="pct"/>
                  <w:vAlign w:val="center"/>
                </w:tcPr>
                <w:p w14:paraId="7246EB72">
                  <w:pPr>
                    <w:jc w:val="center"/>
                    <w:rPr>
                      <w:b/>
                      <w:color w:val="auto"/>
                      <w:sz w:val="18"/>
                      <w:szCs w:val="18"/>
                      <w:lang w:val="zh-CN"/>
                    </w:rPr>
                  </w:pPr>
                  <w:r>
                    <w:rPr>
                      <w:rFonts w:hint="eastAsia"/>
                      <w:b/>
                      <w:color w:val="auto"/>
                      <w:sz w:val="18"/>
                      <w:szCs w:val="18"/>
                      <w:lang w:val="zh-CN"/>
                    </w:rPr>
                    <w:t>达标判定</w:t>
                  </w:r>
                </w:p>
              </w:tc>
            </w:tr>
            <w:tr w14:paraId="06B21C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220" w:type="pct"/>
                  <w:noWrap/>
                  <w:vAlign w:val="center"/>
                </w:tcPr>
                <w:p w14:paraId="53B741AA">
                  <w:pPr>
                    <w:jc w:val="center"/>
                    <w:rPr>
                      <w:bCs/>
                      <w:color w:val="auto"/>
                      <w:sz w:val="18"/>
                      <w:szCs w:val="18"/>
                      <w:lang w:val="zh-CN"/>
                    </w:rPr>
                  </w:pPr>
                </w:p>
              </w:tc>
              <w:tc>
                <w:tcPr>
                  <w:tcW w:w="1220" w:type="pct"/>
                  <w:noWrap/>
                  <w:vAlign w:val="center"/>
                </w:tcPr>
                <w:p w14:paraId="385F049A">
                  <w:pPr>
                    <w:jc w:val="center"/>
                    <w:rPr>
                      <w:bCs/>
                      <w:color w:val="auto"/>
                      <w:sz w:val="18"/>
                      <w:szCs w:val="18"/>
                    </w:rPr>
                  </w:pPr>
                </w:p>
              </w:tc>
              <w:tc>
                <w:tcPr>
                  <w:tcW w:w="1337" w:type="pct"/>
                  <w:vAlign w:val="center"/>
                </w:tcPr>
                <w:p w14:paraId="30406CBA">
                  <w:pPr>
                    <w:jc w:val="center"/>
                    <w:rPr>
                      <w:bCs/>
                      <w:color w:val="auto"/>
                      <w:sz w:val="18"/>
                      <w:szCs w:val="18"/>
                    </w:rPr>
                  </w:pPr>
                </w:p>
              </w:tc>
              <w:tc>
                <w:tcPr>
                  <w:tcW w:w="1220" w:type="pct"/>
                  <w:vAlign w:val="center"/>
                </w:tcPr>
                <w:p w14:paraId="3297DAD0">
                  <w:pPr>
                    <w:jc w:val="center"/>
                    <w:rPr>
                      <w:bCs/>
                      <w:color w:val="auto"/>
                      <w:sz w:val="18"/>
                      <w:szCs w:val="18"/>
                      <w:lang w:val="zh-CN"/>
                    </w:rPr>
                  </w:pPr>
                </w:p>
              </w:tc>
            </w:tr>
          </w:tbl>
          <w:p w14:paraId="7A04EA20">
            <w:pPr>
              <w:snapToGrid w:val="0"/>
              <w:spacing w:line="500" w:lineRule="exact"/>
              <w:jc w:val="center"/>
              <w:rPr>
                <w:b/>
                <w:color w:val="auto"/>
                <w:szCs w:val="21"/>
              </w:rPr>
            </w:pPr>
            <w:r>
              <w:rPr>
                <w:rFonts w:hint="eastAsia"/>
                <w:b/>
                <w:color w:val="auto"/>
                <w:szCs w:val="21"/>
              </w:rPr>
              <w:t>表2-17（4）  2024年雨水排口DW003监测结果  单位：mg/L</w:t>
            </w:r>
          </w:p>
          <w:tbl>
            <w:tblPr>
              <w:tblStyle w:val="21"/>
              <w:tblW w:w="4999"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592"/>
              <w:gridCol w:w="1596"/>
              <w:gridCol w:w="1745"/>
              <w:gridCol w:w="1745"/>
              <w:gridCol w:w="1746"/>
            </w:tblGrid>
            <w:tr w14:paraId="3CFBE0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45" w:type="pct"/>
                  <w:noWrap/>
                  <w:vAlign w:val="center"/>
                </w:tcPr>
                <w:p w14:paraId="2996D6AC">
                  <w:pPr>
                    <w:jc w:val="center"/>
                    <w:rPr>
                      <w:b/>
                      <w:color w:val="auto"/>
                      <w:sz w:val="18"/>
                      <w:szCs w:val="18"/>
                      <w:lang w:val="zh-CN"/>
                    </w:rPr>
                  </w:pPr>
                  <w:r>
                    <w:rPr>
                      <w:b/>
                      <w:color w:val="auto"/>
                      <w:sz w:val="18"/>
                      <w:szCs w:val="18"/>
                      <w:lang w:val="zh-CN"/>
                    </w:rPr>
                    <w:t>监测因子</w:t>
                  </w:r>
                </w:p>
              </w:tc>
              <w:tc>
                <w:tcPr>
                  <w:tcW w:w="947" w:type="pct"/>
                  <w:noWrap/>
                  <w:vAlign w:val="center"/>
                </w:tcPr>
                <w:p w14:paraId="1AB64081">
                  <w:pPr>
                    <w:jc w:val="center"/>
                    <w:rPr>
                      <w:b/>
                      <w:color w:val="auto"/>
                      <w:sz w:val="18"/>
                      <w:szCs w:val="18"/>
                      <w:lang w:val="zh-CN"/>
                    </w:rPr>
                  </w:pPr>
                  <w:r>
                    <w:rPr>
                      <w:b/>
                      <w:color w:val="auto"/>
                      <w:sz w:val="18"/>
                      <w:szCs w:val="18"/>
                      <w:lang w:val="zh-CN"/>
                    </w:rPr>
                    <w:t>执行标准</w:t>
                  </w:r>
                </w:p>
              </w:tc>
              <w:tc>
                <w:tcPr>
                  <w:tcW w:w="1036" w:type="pct"/>
                  <w:vAlign w:val="center"/>
                </w:tcPr>
                <w:p w14:paraId="5CD55B4B">
                  <w:pPr>
                    <w:jc w:val="center"/>
                    <w:rPr>
                      <w:b/>
                      <w:color w:val="auto"/>
                      <w:sz w:val="18"/>
                      <w:szCs w:val="18"/>
                    </w:rPr>
                  </w:pPr>
                  <w:r>
                    <w:rPr>
                      <w:rFonts w:hint="eastAsia"/>
                      <w:b/>
                      <w:color w:val="auto"/>
                      <w:sz w:val="18"/>
                      <w:szCs w:val="18"/>
                    </w:rPr>
                    <w:t>6月最大值</w:t>
                  </w:r>
                </w:p>
              </w:tc>
              <w:tc>
                <w:tcPr>
                  <w:tcW w:w="1036" w:type="pct"/>
                  <w:vAlign w:val="center"/>
                </w:tcPr>
                <w:p w14:paraId="001C4290">
                  <w:pPr>
                    <w:jc w:val="center"/>
                    <w:rPr>
                      <w:b/>
                      <w:color w:val="auto"/>
                      <w:sz w:val="18"/>
                      <w:szCs w:val="18"/>
                    </w:rPr>
                  </w:pPr>
                  <w:r>
                    <w:rPr>
                      <w:rFonts w:hint="eastAsia"/>
                      <w:b/>
                      <w:color w:val="auto"/>
                      <w:sz w:val="18"/>
                      <w:szCs w:val="18"/>
                    </w:rPr>
                    <w:t>6月平均值</w:t>
                  </w:r>
                </w:p>
              </w:tc>
              <w:tc>
                <w:tcPr>
                  <w:tcW w:w="1036" w:type="pct"/>
                  <w:vAlign w:val="center"/>
                </w:tcPr>
                <w:p w14:paraId="57323A85">
                  <w:pPr>
                    <w:jc w:val="center"/>
                    <w:rPr>
                      <w:b/>
                      <w:color w:val="auto"/>
                      <w:sz w:val="18"/>
                      <w:szCs w:val="18"/>
                    </w:rPr>
                  </w:pPr>
                  <w:r>
                    <w:rPr>
                      <w:rFonts w:hint="eastAsia"/>
                      <w:b/>
                      <w:color w:val="auto"/>
                      <w:sz w:val="18"/>
                      <w:szCs w:val="18"/>
                    </w:rPr>
                    <w:t>达标判定</w:t>
                  </w:r>
                </w:p>
              </w:tc>
            </w:tr>
            <w:tr w14:paraId="1E1E91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945" w:type="pct"/>
                  <w:noWrap/>
                  <w:vAlign w:val="center"/>
                </w:tcPr>
                <w:p w14:paraId="25E44578">
                  <w:pPr>
                    <w:jc w:val="center"/>
                    <w:rPr>
                      <w:bCs/>
                      <w:color w:val="auto"/>
                      <w:sz w:val="18"/>
                      <w:szCs w:val="18"/>
                      <w:lang w:val="zh-CN"/>
                    </w:rPr>
                  </w:pPr>
                </w:p>
              </w:tc>
              <w:tc>
                <w:tcPr>
                  <w:tcW w:w="947" w:type="pct"/>
                  <w:noWrap/>
                  <w:vAlign w:val="center"/>
                </w:tcPr>
                <w:p w14:paraId="4149D80C">
                  <w:pPr>
                    <w:jc w:val="center"/>
                    <w:rPr>
                      <w:bCs/>
                      <w:color w:val="auto"/>
                      <w:sz w:val="18"/>
                      <w:szCs w:val="18"/>
                    </w:rPr>
                  </w:pPr>
                </w:p>
              </w:tc>
              <w:tc>
                <w:tcPr>
                  <w:tcW w:w="1036" w:type="pct"/>
                  <w:vAlign w:val="center"/>
                </w:tcPr>
                <w:p w14:paraId="48F21AD4">
                  <w:pPr>
                    <w:jc w:val="center"/>
                    <w:rPr>
                      <w:bCs/>
                      <w:color w:val="auto"/>
                      <w:sz w:val="18"/>
                      <w:szCs w:val="18"/>
                    </w:rPr>
                  </w:pPr>
                </w:p>
              </w:tc>
              <w:tc>
                <w:tcPr>
                  <w:tcW w:w="1036" w:type="pct"/>
                  <w:vAlign w:val="center"/>
                </w:tcPr>
                <w:p w14:paraId="0AFC0206">
                  <w:pPr>
                    <w:jc w:val="center"/>
                    <w:rPr>
                      <w:bCs/>
                      <w:color w:val="auto"/>
                      <w:sz w:val="18"/>
                      <w:szCs w:val="18"/>
                    </w:rPr>
                  </w:pPr>
                </w:p>
              </w:tc>
              <w:tc>
                <w:tcPr>
                  <w:tcW w:w="1036" w:type="pct"/>
                  <w:vAlign w:val="center"/>
                </w:tcPr>
                <w:p w14:paraId="00E64CD7">
                  <w:pPr>
                    <w:jc w:val="center"/>
                    <w:rPr>
                      <w:bCs/>
                      <w:color w:val="auto"/>
                      <w:sz w:val="18"/>
                      <w:szCs w:val="18"/>
                    </w:rPr>
                  </w:pPr>
                </w:p>
              </w:tc>
            </w:tr>
            <w:tr w14:paraId="3EA7C2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945" w:type="pct"/>
                  <w:noWrap/>
                  <w:vAlign w:val="center"/>
                </w:tcPr>
                <w:p w14:paraId="15BF9FBC">
                  <w:pPr>
                    <w:jc w:val="center"/>
                    <w:rPr>
                      <w:bCs/>
                      <w:color w:val="auto"/>
                      <w:sz w:val="18"/>
                      <w:szCs w:val="18"/>
                    </w:rPr>
                  </w:pPr>
                </w:p>
              </w:tc>
              <w:tc>
                <w:tcPr>
                  <w:tcW w:w="947" w:type="pct"/>
                  <w:noWrap/>
                  <w:vAlign w:val="center"/>
                </w:tcPr>
                <w:p w14:paraId="735FA6EE">
                  <w:pPr>
                    <w:jc w:val="center"/>
                    <w:rPr>
                      <w:bCs/>
                      <w:color w:val="auto"/>
                      <w:sz w:val="18"/>
                      <w:szCs w:val="18"/>
                    </w:rPr>
                  </w:pPr>
                </w:p>
              </w:tc>
              <w:tc>
                <w:tcPr>
                  <w:tcW w:w="1036" w:type="pct"/>
                  <w:vAlign w:val="center"/>
                </w:tcPr>
                <w:p w14:paraId="3793E06D">
                  <w:pPr>
                    <w:jc w:val="center"/>
                    <w:rPr>
                      <w:bCs/>
                      <w:color w:val="auto"/>
                      <w:sz w:val="18"/>
                      <w:szCs w:val="18"/>
                    </w:rPr>
                  </w:pPr>
                </w:p>
              </w:tc>
              <w:tc>
                <w:tcPr>
                  <w:tcW w:w="1036" w:type="pct"/>
                  <w:vAlign w:val="center"/>
                </w:tcPr>
                <w:p w14:paraId="3F157D4E">
                  <w:pPr>
                    <w:jc w:val="center"/>
                    <w:rPr>
                      <w:bCs/>
                      <w:color w:val="auto"/>
                      <w:sz w:val="18"/>
                      <w:szCs w:val="18"/>
                    </w:rPr>
                  </w:pPr>
                </w:p>
              </w:tc>
              <w:tc>
                <w:tcPr>
                  <w:tcW w:w="1036" w:type="pct"/>
                  <w:vAlign w:val="center"/>
                </w:tcPr>
                <w:p w14:paraId="3674ECA8">
                  <w:pPr>
                    <w:jc w:val="center"/>
                    <w:rPr>
                      <w:bCs/>
                      <w:color w:val="auto"/>
                      <w:sz w:val="18"/>
                      <w:szCs w:val="18"/>
                    </w:rPr>
                  </w:pPr>
                </w:p>
              </w:tc>
            </w:tr>
          </w:tbl>
          <w:p w14:paraId="34EC6C95">
            <w:pPr>
              <w:adjustRightInd w:val="0"/>
              <w:snapToGrid w:val="0"/>
              <w:rPr>
                <w:b/>
                <w:color w:val="auto"/>
                <w:sz w:val="20"/>
                <w:szCs w:val="20"/>
              </w:rPr>
            </w:pPr>
            <w:r>
              <w:rPr>
                <w:rFonts w:hint="eastAsia"/>
                <w:b/>
                <w:color w:val="auto"/>
                <w:sz w:val="20"/>
                <w:szCs w:val="20"/>
              </w:rPr>
              <w:t>注：“ND”表示未检出，括号内数字为检出限。</w:t>
            </w:r>
          </w:p>
          <w:p w14:paraId="18DB3853">
            <w:pPr>
              <w:adjustRightInd w:val="0"/>
              <w:snapToGrid w:val="0"/>
              <w:spacing w:line="500" w:lineRule="exact"/>
              <w:ind w:firstLine="422" w:firstLineChars="200"/>
              <w:rPr>
                <w:b/>
                <w:bCs/>
                <w:color w:val="auto"/>
                <w:szCs w:val="21"/>
              </w:rPr>
            </w:pPr>
            <w:r>
              <w:rPr>
                <w:b/>
                <w:bCs/>
                <w:color w:val="auto"/>
                <w:szCs w:val="21"/>
              </w:rPr>
              <w:t>6.3</w:t>
            </w:r>
            <w:r>
              <w:rPr>
                <w:rFonts w:hint="eastAsia"/>
                <w:b/>
                <w:bCs/>
                <w:color w:val="auto"/>
                <w:szCs w:val="21"/>
              </w:rPr>
              <w:t>固废</w:t>
            </w:r>
          </w:p>
          <w:p w14:paraId="2D0C7EED">
            <w:pPr>
              <w:adjustRightInd w:val="0"/>
              <w:snapToGrid w:val="0"/>
              <w:spacing w:line="500" w:lineRule="exact"/>
              <w:ind w:firstLine="420" w:firstLineChars="200"/>
              <w:rPr>
                <w:color w:val="auto"/>
                <w:szCs w:val="21"/>
              </w:rPr>
            </w:pPr>
            <w:r>
              <w:rPr>
                <w:rFonts w:hint="eastAsia"/>
                <w:color w:val="auto"/>
                <w:szCs w:val="21"/>
              </w:rPr>
              <w:t>（1）固体废物产生及处置情况</w:t>
            </w:r>
          </w:p>
          <w:p w14:paraId="7BAD507F">
            <w:pPr>
              <w:adjustRightInd w:val="0"/>
              <w:snapToGrid w:val="0"/>
              <w:spacing w:line="500" w:lineRule="exact"/>
              <w:ind w:firstLine="420" w:firstLineChars="200"/>
              <w:rPr>
                <w:color w:val="auto"/>
                <w:szCs w:val="21"/>
              </w:rPr>
            </w:pPr>
            <w:r>
              <w:rPr>
                <w:rFonts w:hint="eastAsia"/>
                <w:color w:val="auto"/>
                <w:szCs w:val="21"/>
              </w:rPr>
              <w:t>现有已建已验项目生产过程产生的固体废物主要为废滤芯、废树脂、废沸石分子筛、沾有化学品的废包装材料、废机油、废电池、废油漆桶、废保温棉、废灯管、在线监测设备运维废液、废试剂瓶、废RO膜、废活性炭、化学沉淀污泥、废水预处理废树脂、纯水制备系统废物、电动叉车废电池、生活垃圾。其中废RO膜、纯水制备系统废物、电动叉车废电池、生活垃圾是一般固废，废RO膜、纯水制备系统废物、电动叉车废电池委托供应厂家回收利用，生活垃圾委托当地环卫部门进行处理。其余固废均为危险废物，依托厂区现有危废仓库暂存后，委托中节能（连云港）清洁技术发展有限公司、光大环保（连云港）废弃物处理有限公司进行处理，各类固废均按要求妥善处置。现有固废产生量及处理方法见表2-18。</w:t>
            </w:r>
          </w:p>
          <w:p w14:paraId="4220AE79">
            <w:pPr>
              <w:snapToGrid w:val="0"/>
              <w:spacing w:line="500" w:lineRule="exact"/>
              <w:jc w:val="center"/>
              <w:rPr>
                <w:b/>
                <w:color w:val="auto"/>
                <w:szCs w:val="21"/>
              </w:rPr>
            </w:pPr>
            <w:r>
              <w:rPr>
                <w:rFonts w:hint="eastAsia"/>
                <w:b/>
                <w:color w:val="auto"/>
                <w:szCs w:val="21"/>
              </w:rPr>
              <w:t>表</w:t>
            </w:r>
            <w:r>
              <w:rPr>
                <w:b/>
                <w:color w:val="auto"/>
                <w:szCs w:val="21"/>
              </w:rPr>
              <w:t>2-18</w:t>
            </w:r>
            <w:r>
              <w:rPr>
                <w:rFonts w:hint="eastAsia"/>
                <w:b/>
                <w:color w:val="auto"/>
                <w:szCs w:val="21"/>
              </w:rPr>
              <w:t>现有已建已验项目固体废物产生及处置情况</w:t>
            </w:r>
          </w:p>
          <w:tbl>
            <w:tblPr>
              <w:tblStyle w:val="21"/>
              <w:tblW w:w="4998" w:type="pct"/>
              <w:tblInd w:w="0" w:type="dxa"/>
              <w:tblLayout w:type="autofit"/>
              <w:tblCellMar>
                <w:top w:w="0" w:type="dxa"/>
                <w:left w:w="108" w:type="dxa"/>
                <w:bottom w:w="0" w:type="dxa"/>
                <w:right w:w="108" w:type="dxa"/>
              </w:tblCellMar>
            </w:tblPr>
            <w:tblGrid>
              <w:gridCol w:w="494"/>
              <w:gridCol w:w="1878"/>
              <w:gridCol w:w="1043"/>
              <w:gridCol w:w="1043"/>
              <w:gridCol w:w="1278"/>
              <w:gridCol w:w="811"/>
              <w:gridCol w:w="1876"/>
            </w:tblGrid>
            <w:tr w14:paraId="7E9DC62D">
              <w:tblPrEx>
                <w:tblCellMar>
                  <w:top w:w="0" w:type="dxa"/>
                  <w:left w:w="108" w:type="dxa"/>
                  <w:bottom w:w="0" w:type="dxa"/>
                  <w:right w:w="108" w:type="dxa"/>
                </w:tblCellMar>
              </w:tblPrEx>
              <w:trPr>
                <w:trHeight w:val="57" w:hRule="atLeast"/>
              </w:trPr>
              <w:tc>
                <w:tcPr>
                  <w:tcW w:w="293" w:type="pct"/>
                  <w:tcBorders>
                    <w:top w:val="single" w:color="000000" w:sz="12" w:space="0"/>
                    <w:left w:val="nil"/>
                    <w:bottom w:val="single" w:color="auto" w:sz="4" w:space="0"/>
                    <w:right w:val="single" w:color="auto" w:sz="4" w:space="0"/>
                    <w:tl2br w:val="nil"/>
                  </w:tcBorders>
                  <w:shd w:val="clear" w:color="auto" w:fill="FFFFFF"/>
                  <w:vAlign w:val="center"/>
                </w:tcPr>
                <w:p w14:paraId="7A51F7D7">
                  <w:pPr>
                    <w:widowControl/>
                    <w:contextualSpacing/>
                    <w:jc w:val="center"/>
                    <w:rPr>
                      <w:b/>
                      <w:color w:val="auto"/>
                      <w:sz w:val="18"/>
                      <w:szCs w:val="18"/>
                      <w14:ligatures w14:val="standardContextual"/>
                    </w:rPr>
                  </w:pPr>
                  <w:r>
                    <w:rPr>
                      <w:rFonts w:hint="eastAsia"/>
                      <w:b/>
                      <w:color w:val="auto"/>
                      <w:sz w:val="18"/>
                      <w:szCs w:val="18"/>
                      <w14:ligatures w14:val="standardContextual"/>
                    </w:rPr>
                    <w:t>序号</w:t>
                  </w:r>
                </w:p>
              </w:tc>
              <w:tc>
                <w:tcPr>
                  <w:tcW w:w="1114" w:type="pct"/>
                  <w:tcBorders>
                    <w:top w:val="single" w:color="000000" w:sz="12" w:space="0"/>
                    <w:left w:val="single" w:color="auto" w:sz="4" w:space="0"/>
                    <w:bottom w:val="single" w:color="auto" w:sz="4" w:space="0"/>
                    <w:right w:val="single" w:color="auto" w:sz="4" w:space="0"/>
                  </w:tcBorders>
                  <w:shd w:val="clear" w:color="auto" w:fill="FFFFFF"/>
                  <w:vAlign w:val="center"/>
                </w:tcPr>
                <w:p w14:paraId="359DF5EE">
                  <w:pPr>
                    <w:widowControl/>
                    <w:contextualSpacing/>
                    <w:jc w:val="center"/>
                    <w:rPr>
                      <w:b/>
                      <w:color w:val="auto"/>
                      <w:sz w:val="18"/>
                      <w:szCs w:val="18"/>
                      <w14:ligatures w14:val="standardContextual"/>
                    </w:rPr>
                  </w:pPr>
                  <w:r>
                    <w:rPr>
                      <w:rFonts w:hint="eastAsia"/>
                      <w:b/>
                      <w:color w:val="auto"/>
                      <w:sz w:val="18"/>
                      <w:szCs w:val="18"/>
                      <w14:ligatures w14:val="standardContextual"/>
                    </w:rPr>
                    <w:t>固废名称</w:t>
                  </w:r>
                </w:p>
              </w:tc>
              <w:tc>
                <w:tcPr>
                  <w:tcW w:w="619" w:type="pct"/>
                  <w:tcBorders>
                    <w:top w:val="single" w:color="000000" w:sz="12" w:space="0"/>
                    <w:left w:val="single" w:color="auto" w:sz="4" w:space="0"/>
                    <w:bottom w:val="single" w:color="auto" w:sz="4" w:space="0"/>
                    <w:right w:val="single" w:color="auto" w:sz="4" w:space="0"/>
                  </w:tcBorders>
                  <w:shd w:val="clear" w:color="auto" w:fill="FFFFFF"/>
                  <w:vAlign w:val="center"/>
                </w:tcPr>
                <w:p w14:paraId="07F08B00">
                  <w:pPr>
                    <w:widowControl/>
                    <w:contextualSpacing/>
                    <w:jc w:val="center"/>
                    <w:rPr>
                      <w:b/>
                      <w:color w:val="auto"/>
                      <w:sz w:val="18"/>
                      <w:szCs w:val="18"/>
                      <w14:ligatures w14:val="standardContextual"/>
                    </w:rPr>
                  </w:pPr>
                  <w:r>
                    <w:rPr>
                      <w:rFonts w:hint="eastAsia"/>
                      <w:b/>
                      <w:color w:val="auto"/>
                      <w:sz w:val="18"/>
                      <w:szCs w:val="18"/>
                      <w14:ligatures w14:val="standardContextual"/>
                    </w:rPr>
                    <w:t>属性</w:t>
                  </w:r>
                </w:p>
              </w:tc>
              <w:tc>
                <w:tcPr>
                  <w:tcW w:w="619" w:type="pct"/>
                  <w:tcBorders>
                    <w:top w:val="single" w:color="000000" w:sz="12" w:space="0"/>
                    <w:left w:val="single" w:color="auto" w:sz="4" w:space="0"/>
                    <w:bottom w:val="single" w:color="auto" w:sz="4" w:space="0"/>
                    <w:right w:val="single" w:color="auto" w:sz="4" w:space="0"/>
                  </w:tcBorders>
                  <w:shd w:val="clear" w:color="auto" w:fill="FFFFFF"/>
                  <w:vAlign w:val="center"/>
                </w:tcPr>
                <w:p w14:paraId="321122D1">
                  <w:pPr>
                    <w:widowControl/>
                    <w:contextualSpacing/>
                    <w:jc w:val="center"/>
                    <w:rPr>
                      <w:b/>
                      <w:color w:val="auto"/>
                      <w:sz w:val="18"/>
                      <w:szCs w:val="18"/>
                      <w14:ligatures w14:val="standardContextual"/>
                    </w:rPr>
                  </w:pPr>
                  <w:r>
                    <w:rPr>
                      <w:rFonts w:hint="eastAsia"/>
                      <w:b/>
                      <w:color w:val="auto"/>
                      <w:sz w:val="18"/>
                      <w:szCs w:val="18"/>
                      <w14:ligatures w14:val="standardContextual"/>
                    </w:rPr>
                    <w:t>危险废物类别</w:t>
                  </w:r>
                </w:p>
              </w:tc>
              <w:tc>
                <w:tcPr>
                  <w:tcW w:w="758" w:type="pct"/>
                  <w:tcBorders>
                    <w:top w:val="single" w:color="000000" w:sz="12" w:space="0"/>
                    <w:left w:val="single" w:color="auto" w:sz="4" w:space="0"/>
                    <w:bottom w:val="single" w:color="auto" w:sz="4" w:space="0"/>
                    <w:right w:val="single" w:color="auto" w:sz="4" w:space="0"/>
                  </w:tcBorders>
                  <w:shd w:val="clear" w:color="auto" w:fill="FFFFFF"/>
                  <w:vAlign w:val="center"/>
                </w:tcPr>
                <w:p w14:paraId="56717F05">
                  <w:pPr>
                    <w:widowControl/>
                    <w:contextualSpacing/>
                    <w:jc w:val="center"/>
                    <w:rPr>
                      <w:b/>
                      <w:color w:val="auto"/>
                      <w:sz w:val="18"/>
                      <w:szCs w:val="18"/>
                      <w14:ligatures w14:val="standardContextual"/>
                    </w:rPr>
                  </w:pPr>
                  <w:r>
                    <w:rPr>
                      <w:rFonts w:hint="eastAsia"/>
                      <w:b/>
                      <w:color w:val="auto"/>
                      <w:sz w:val="18"/>
                      <w:szCs w:val="18"/>
                      <w14:ligatures w14:val="standardContextual"/>
                    </w:rPr>
                    <w:t>危险废物代码</w:t>
                  </w:r>
                </w:p>
              </w:tc>
              <w:tc>
                <w:tcPr>
                  <w:tcW w:w="481" w:type="pct"/>
                  <w:tcBorders>
                    <w:top w:val="single" w:color="000000" w:sz="12" w:space="0"/>
                    <w:left w:val="single" w:color="auto" w:sz="4" w:space="0"/>
                    <w:bottom w:val="single" w:color="auto" w:sz="4" w:space="0"/>
                    <w:right w:val="single" w:color="auto" w:sz="4" w:space="0"/>
                  </w:tcBorders>
                  <w:shd w:val="clear" w:color="auto" w:fill="FFFFFF"/>
                  <w:vAlign w:val="center"/>
                </w:tcPr>
                <w:p w14:paraId="5B22CD83">
                  <w:pPr>
                    <w:widowControl/>
                    <w:contextualSpacing/>
                    <w:jc w:val="center"/>
                    <w:rPr>
                      <w:b/>
                      <w:color w:val="auto"/>
                      <w:sz w:val="18"/>
                      <w:szCs w:val="18"/>
                      <w14:ligatures w14:val="standardContextual"/>
                    </w:rPr>
                  </w:pPr>
                  <w:r>
                    <w:rPr>
                      <w:rFonts w:hint="eastAsia"/>
                      <w:b/>
                      <w:color w:val="auto"/>
                      <w:sz w:val="18"/>
                      <w:szCs w:val="18"/>
                      <w14:ligatures w14:val="standardContextual"/>
                    </w:rPr>
                    <w:t>环评产生量</w:t>
                  </w:r>
                  <w:r>
                    <w:rPr>
                      <w:rFonts w:hint="eastAsia"/>
                      <w:b/>
                      <w:color w:val="auto"/>
                      <w:sz w:val="18"/>
                      <w:szCs w:val="18"/>
                      <w:lang w:eastAsia="zh-CN"/>
                      <w14:ligatures w14:val="standardContextual"/>
                    </w:rPr>
                    <w:t>（</w:t>
                  </w:r>
                  <w:r>
                    <w:rPr>
                      <w:rFonts w:hint="eastAsia"/>
                      <w:b/>
                      <w:color w:val="auto"/>
                      <w:sz w:val="18"/>
                      <w:szCs w:val="18"/>
                      <w14:ligatures w14:val="standardContextual"/>
                    </w:rPr>
                    <w:t>t/a</w:t>
                  </w:r>
                  <w:r>
                    <w:rPr>
                      <w:rFonts w:hint="eastAsia"/>
                      <w:b/>
                      <w:color w:val="auto"/>
                      <w:sz w:val="18"/>
                      <w:szCs w:val="18"/>
                      <w:lang w:eastAsia="zh-CN"/>
                      <w14:ligatures w14:val="standardContextual"/>
                    </w:rPr>
                    <w:t>）</w:t>
                  </w:r>
                </w:p>
              </w:tc>
              <w:tc>
                <w:tcPr>
                  <w:tcW w:w="1113" w:type="pct"/>
                  <w:tcBorders>
                    <w:top w:val="single" w:color="000000" w:sz="12" w:space="0"/>
                    <w:left w:val="single" w:color="auto" w:sz="4" w:space="0"/>
                    <w:bottom w:val="single" w:color="auto" w:sz="4" w:space="0"/>
                    <w:right w:val="nil"/>
                  </w:tcBorders>
                  <w:shd w:val="clear" w:color="auto" w:fill="FFFFFF"/>
                  <w:vAlign w:val="center"/>
                </w:tcPr>
                <w:p w14:paraId="61330D9A">
                  <w:pPr>
                    <w:widowControl/>
                    <w:contextualSpacing/>
                    <w:jc w:val="center"/>
                    <w:rPr>
                      <w:b/>
                      <w:color w:val="auto"/>
                      <w:sz w:val="18"/>
                      <w:szCs w:val="18"/>
                      <w14:ligatures w14:val="standardContextual"/>
                    </w:rPr>
                  </w:pPr>
                  <w:r>
                    <w:rPr>
                      <w:rFonts w:hint="eastAsia"/>
                      <w:b/>
                      <w:color w:val="auto"/>
                      <w:sz w:val="18"/>
                      <w:szCs w:val="18"/>
                      <w14:ligatures w14:val="standardContextual"/>
                    </w:rPr>
                    <w:t>处置方式</w:t>
                  </w:r>
                </w:p>
              </w:tc>
            </w:tr>
            <w:tr w14:paraId="41EC1E48">
              <w:tblPrEx>
                <w:tblCellMar>
                  <w:top w:w="0" w:type="dxa"/>
                  <w:left w:w="108" w:type="dxa"/>
                  <w:bottom w:w="0" w:type="dxa"/>
                  <w:right w:w="108" w:type="dxa"/>
                </w:tblCellMar>
              </w:tblPrEx>
              <w:trPr>
                <w:trHeight w:val="57" w:hRule="atLeast"/>
              </w:trPr>
              <w:tc>
                <w:tcPr>
                  <w:tcW w:w="293" w:type="pct"/>
                  <w:tcBorders>
                    <w:top w:val="single" w:color="auto" w:sz="4" w:space="0"/>
                    <w:left w:val="nil"/>
                    <w:bottom w:val="single" w:color="auto" w:sz="4" w:space="0"/>
                    <w:right w:val="single" w:color="auto" w:sz="4" w:space="0"/>
                  </w:tcBorders>
                  <w:shd w:val="clear" w:color="auto" w:fill="FFFFFF"/>
                  <w:vAlign w:val="center"/>
                </w:tcPr>
                <w:p w14:paraId="05C8A882">
                  <w:pPr>
                    <w:widowControl/>
                    <w:contextualSpacing/>
                    <w:jc w:val="center"/>
                    <w:rPr>
                      <w:bCs/>
                      <w:color w:val="auto"/>
                      <w:sz w:val="18"/>
                      <w:szCs w:val="18"/>
                      <w14:ligatures w14:val="standardContextual"/>
                    </w:rPr>
                  </w:pPr>
                </w:p>
              </w:tc>
              <w:tc>
                <w:tcPr>
                  <w:tcW w:w="1114" w:type="pct"/>
                  <w:tcBorders>
                    <w:top w:val="single" w:color="auto" w:sz="4" w:space="0"/>
                    <w:left w:val="single" w:color="auto" w:sz="4" w:space="0"/>
                    <w:bottom w:val="single" w:color="auto" w:sz="4" w:space="0"/>
                    <w:right w:val="single" w:color="auto" w:sz="4" w:space="0"/>
                  </w:tcBorders>
                  <w:shd w:val="clear" w:color="auto" w:fill="FFFFFF"/>
                  <w:vAlign w:val="center"/>
                </w:tcPr>
                <w:p w14:paraId="7DF535F3">
                  <w:pPr>
                    <w:widowControl/>
                    <w:contextualSpacing/>
                    <w:jc w:val="center"/>
                    <w:rPr>
                      <w:bCs/>
                      <w:color w:val="auto"/>
                      <w:sz w:val="18"/>
                      <w:szCs w:val="18"/>
                      <w14:ligatures w14:val="standardContextual"/>
                    </w:rPr>
                  </w:pPr>
                </w:p>
              </w:tc>
              <w:tc>
                <w:tcPr>
                  <w:tcW w:w="619" w:type="pct"/>
                  <w:tcBorders>
                    <w:top w:val="single" w:color="auto" w:sz="4" w:space="0"/>
                    <w:left w:val="single" w:color="auto" w:sz="4" w:space="0"/>
                    <w:bottom w:val="single" w:color="auto" w:sz="4" w:space="0"/>
                    <w:right w:val="single" w:color="auto" w:sz="4" w:space="0"/>
                  </w:tcBorders>
                  <w:shd w:val="clear" w:color="auto" w:fill="FFFFFF"/>
                  <w:vAlign w:val="center"/>
                </w:tcPr>
                <w:p w14:paraId="4323AA5B">
                  <w:pPr>
                    <w:widowControl/>
                    <w:contextualSpacing/>
                    <w:jc w:val="center"/>
                    <w:rPr>
                      <w:bCs/>
                      <w:color w:val="auto"/>
                      <w:sz w:val="18"/>
                      <w:szCs w:val="18"/>
                      <w14:ligatures w14:val="standardContextual"/>
                    </w:rPr>
                  </w:pPr>
                </w:p>
              </w:tc>
              <w:tc>
                <w:tcPr>
                  <w:tcW w:w="619" w:type="pct"/>
                  <w:tcBorders>
                    <w:top w:val="single" w:color="auto" w:sz="4" w:space="0"/>
                    <w:left w:val="single" w:color="auto" w:sz="4" w:space="0"/>
                    <w:bottom w:val="single" w:color="auto" w:sz="4" w:space="0"/>
                    <w:right w:val="single" w:color="auto" w:sz="4" w:space="0"/>
                  </w:tcBorders>
                  <w:shd w:val="clear" w:color="auto" w:fill="FFFFFF"/>
                  <w:vAlign w:val="center"/>
                </w:tcPr>
                <w:p w14:paraId="4A4B414C">
                  <w:pPr>
                    <w:widowControl/>
                    <w:contextualSpacing/>
                    <w:jc w:val="center"/>
                    <w:rPr>
                      <w:bCs/>
                      <w:color w:val="auto"/>
                      <w:sz w:val="18"/>
                      <w:szCs w:val="18"/>
                      <w14:ligatures w14:val="standardContextual"/>
                    </w:rPr>
                  </w:pPr>
                </w:p>
              </w:tc>
              <w:tc>
                <w:tcPr>
                  <w:tcW w:w="758" w:type="pct"/>
                  <w:tcBorders>
                    <w:top w:val="single" w:color="auto" w:sz="4" w:space="0"/>
                    <w:left w:val="single" w:color="auto" w:sz="4" w:space="0"/>
                    <w:bottom w:val="single" w:color="auto" w:sz="4" w:space="0"/>
                    <w:right w:val="single" w:color="auto" w:sz="4" w:space="0"/>
                  </w:tcBorders>
                  <w:shd w:val="clear" w:color="auto" w:fill="FFFFFF"/>
                  <w:vAlign w:val="center"/>
                </w:tcPr>
                <w:p w14:paraId="4414CB17">
                  <w:pPr>
                    <w:widowControl/>
                    <w:contextualSpacing/>
                    <w:jc w:val="center"/>
                    <w:rPr>
                      <w:bCs/>
                      <w:color w:val="auto"/>
                      <w:sz w:val="18"/>
                      <w:szCs w:val="18"/>
                      <w14:ligatures w14:val="standardContextual"/>
                    </w:rPr>
                  </w:pPr>
                </w:p>
              </w:tc>
              <w:tc>
                <w:tcPr>
                  <w:tcW w:w="481" w:type="pct"/>
                  <w:tcBorders>
                    <w:top w:val="single" w:color="auto" w:sz="4" w:space="0"/>
                    <w:left w:val="single" w:color="auto" w:sz="4" w:space="0"/>
                    <w:bottom w:val="single" w:color="auto" w:sz="4" w:space="0"/>
                    <w:right w:val="single" w:color="auto" w:sz="4" w:space="0"/>
                  </w:tcBorders>
                  <w:shd w:val="clear" w:color="auto" w:fill="FFFFFF"/>
                  <w:vAlign w:val="center"/>
                </w:tcPr>
                <w:p w14:paraId="6CBFF9F5">
                  <w:pPr>
                    <w:widowControl/>
                    <w:contextualSpacing/>
                    <w:jc w:val="center"/>
                    <w:rPr>
                      <w:bCs/>
                      <w:color w:val="auto"/>
                      <w:sz w:val="18"/>
                      <w:szCs w:val="18"/>
                      <w14:ligatures w14:val="standardContextual"/>
                    </w:rPr>
                  </w:pPr>
                </w:p>
              </w:tc>
              <w:tc>
                <w:tcPr>
                  <w:tcW w:w="1113" w:type="pct"/>
                  <w:vMerge w:val="restart"/>
                  <w:tcBorders>
                    <w:top w:val="single" w:color="auto" w:sz="4" w:space="0"/>
                    <w:left w:val="single" w:color="auto" w:sz="4" w:space="0"/>
                    <w:bottom w:val="single" w:color="auto" w:sz="4" w:space="0"/>
                    <w:right w:val="nil"/>
                  </w:tcBorders>
                  <w:shd w:val="clear" w:color="auto" w:fill="FFFFFF"/>
                  <w:vAlign w:val="center"/>
                </w:tcPr>
                <w:p w14:paraId="1BE52C95">
                  <w:pPr>
                    <w:widowControl/>
                    <w:contextualSpacing/>
                    <w:jc w:val="center"/>
                    <w:rPr>
                      <w:bCs/>
                      <w:color w:val="auto"/>
                      <w:sz w:val="18"/>
                      <w:szCs w:val="18"/>
                      <w14:ligatures w14:val="standardContextual"/>
                    </w:rPr>
                  </w:pPr>
                </w:p>
              </w:tc>
            </w:tr>
            <w:tr w14:paraId="6D9660EE">
              <w:tblPrEx>
                <w:tblCellMar>
                  <w:top w:w="0" w:type="dxa"/>
                  <w:left w:w="108" w:type="dxa"/>
                  <w:bottom w:w="0" w:type="dxa"/>
                  <w:right w:w="108" w:type="dxa"/>
                </w:tblCellMar>
              </w:tblPrEx>
              <w:trPr>
                <w:trHeight w:val="57" w:hRule="atLeast"/>
              </w:trPr>
              <w:tc>
                <w:tcPr>
                  <w:tcW w:w="293" w:type="pct"/>
                  <w:tcBorders>
                    <w:top w:val="single" w:color="auto" w:sz="4" w:space="0"/>
                    <w:left w:val="nil"/>
                    <w:bottom w:val="single" w:color="auto" w:sz="4" w:space="0"/>
                    <w:right w:val="single" w:color="auto" w:sz="4" w:space="0"/>
                  </w:tcBorders>
                  <w:shd w:val="clear" w:color="auto" w:fill="FFFFFF"/>
                  <w:vAlign w:val="center"/>
                </w:tcPr>
                <w:p w14:paraId="1A5274F1">
                  <w:pPr>
                    <w:widowControl/>
                    <w:contextualSpacing/>
                    <w:jc w:val="center"/>
                    <w:rPr>
                      <w:bCs/>
                      <w:color w:val="auto"/>
                      <w:sz w:val="18"/>
                      <w:szCs w:val="18"/>
                      <w14:ligatures w14:val="standardContextual"/>
                    </w:rPr>
                  </w:pPr>
                </w:p>
              </w:tc>
              <w:tc>
                <w:tcPr>
                  <w:tcW w:w="1114" w:type="pct"/>
                  <w:tcBorders>
                    <w:top w:val="single" w:color="auto" w:sz="4" w:space="0"/>
                    <w:left w:val="single" w:color="auto" w:sz="4" w:space="0"/>
                    <w:bottom w:val="single" w:color="auto" w:sz="4" w:space="0"/>
                    <w:right w:val="single" w:color="auto" w:sz="4" w:space="0"/>
                  </w:tcBorders>
                  <w:shd w:val="clear" w:color="auto" w:fill="FFFFFF"/>
                  <w:vAlign w:val="center"/>
                </w:tcPr>
                <w:p w14:paraId="685D11A6">
                  <w:pPr>
                    <w:widowControl/>
                    <w:contextualSpacing/>
                    <w:jc w:val="center"/>
                    <w:rPr>
                      <w:bCs/>
                      <w:color w:val="auto"/>
                      <w:sz w:val="18"/>
                      <w:szCs w:val="18"/>
                      <w14:ligatures w14:val="standardContextual"/>
                    </w:rPr>
                  </w:pPr>
                </w:p>
              </w:tc>
              <w:tc>
                <w:tcPr>
                  <w:tcW w:w="619" w:type="pct"/>
                  <w:tcBorders>
                    <w:top w:val="single" w:color="auto" w:sz="4" w:space="0"/>
                    <w:left w:val="single" w:color="auto" w:sz="4" w:space="0"/>
                    <w:bottom w:val="single" w:color="auto" w:sz="4" w:space="0"/>
                    <w:right w:val="single" w:color="auto" w:sz="4" w:space="0"/>
                  </w:tcBorders>
                  <w:shd w:val="clear" w:color="auto" w:fill="FFFFFF"/>
                  <w:vAlign w:val="center"/>
                </w:tcPr>
                <w:p w14:paraId="557AEDD0">
                  <w:pPr>
                    <w:widowControl/>
                    <w:contextualSpacing/>
                    <w:jc w:val="center"/>
                    <w:rPr>
                      <w:bCs/>
                      <w:color w:val="auto"/>
                      <w:sz w:val="18"/>
                      <w:szCs w:val="18"/>
                      <w14:ligatures w14:val="standardContextual"/>
                    </w:rPr>
                  </w:pPr>
                </w:p>
              </w:tc>
              <w:tc>
                <w:tcPr>
                  <w:tcW w:w="619" w:type="pct"/>
                  <w:tcBorders>
                    <w:top w:val="single" w:color="auto" w:sz="4" w:space="0"/>
                    <w:left w:val="single" w:color="auto" w:sz="4" w:space="0"/>
                    <w:bottom w:val="single" w:color="auto" w:sz="4" w:space="0"/>
                    <w:right w:val="single" w:color="auto" w:sz="4" w:space="0"/>
                  </w:tcBorders>
                  <w:shd w:val="clear" w:color="auto" w:fill="FFFFFF"/>
                  <w:vAlign w:val="center"/>
                </w:tcPr>
                <w:p w14:paraId="68021C9A">
                  <w:pPr>
                    <w:widowControl/>
                    <w:contextualSpacing/>
                    <w:jc w:val="center"/>
                    <w:rPr>
                      <w:bCs/>
                      <w:color w:val="auto"/>
                      <w:sz w:val="18"/>
                      <w:szCs w:val="18"/>
                      <w14:ligatures w14:val="standardContextual"/>
                    </w:rPr>
                  </w:pPr>
                </w:p>
              </w:tc>
              <w:tc>
                <w:tcPr>
                  <w:tcW w:w="758" w:type="pct"/>
                  <w:tcBorders>
                    <w:top w:val="single" w:color="auto" w:sz="4" w:space="0"/>
                    <w:left w:val="single" w:color="auto" w:sz="4" w:space="0"/>
                    <w:bottom w:val="single" w:color="auto" w:sz="4" w:space="0"/>
                    <w:right w:val="single" w:color="auto" w:sz="4" w:space="0"/>
                  </w:tcBorders>
                  <w:shd w:val="clear" w:color="auto" w:fill="FFFFFF"/>
                  <w:vAlign w:val="center"/>
                </w:tcPr>
                <w:p w14:paraId="34102A32">
                  <w:pPr>
                    <w:widowControl/>
                    <w:contextualSpacing/>
                    <w:jc w:val="center"/>
                    <w:rPr>
                      <w:bCs/>
                      <w:color w:val="auto"/>
                      <w:sz w:val="18"/>
                      <w:szCs w:val="18"/>
                      <w14:ligatures w14:val="standardContextual"/>
                    </w:rPr>
                  </w:pPr>
                </w:p>
              </w:tc>
              <w:tc>
                <w:tcPr>
                  <w:tcW w:w="481" w:type="pct"/>
                  <w:tcBorders>
                    <w:top w:val="single" w:color="auto" w:sz="4" w:space="0"/>
                    <w:left w:val="single" w:color="auto" w:sz="4" w:space="0"/>
                    <w:bottom w:val="single" w:color="auto" w:sz="4" w:space="0"/>
                    <w:right w:val="single" w:color="auto" w:sz="4" w:space="0"/>
                  </w:tcBorders>
                  <w:shd w:val="clear" w:color="auto" w:fill="FFFFFF"/>
                  <w:vAlign w:val="center"/>
                </w:tcPr>
                <w:p w14:paraId="6B2F895E">
                  <w:pPr>
                    <w:widowControl/>
                    <w:contextualSpacing/>
                    <w:jc w:val="center"/>
                    <w:rPr>
                      <w:bCs/>
                      <w:color w:val="auto"/>
                      <w:sz w:val="18"/>
                      <w:szCs w:val="18"/>
                      <w14:ligatures w14:val="standardContextual"/>
                    </w:rPr>
                  </w:pPr>
                </w:p>
              </w:tc>
              <w:tc>
                <w:tcPr>
                  <w:tcW w:w="1113" w:type="pct"/>
                  <w:vMerge w:val="continue"/>
                  <w:tcBorders>
                    <w:top w:val="single" w:color="auto" w:sz="4" w:space="0"/>
                    <w:left w:val="single" w:color="auto" w:sz="4" w:space="0"/>
                    <w:bottom w:val="single" w:color="auto" w:sz="4" w:space="0"/>
                    <w:right w:val="nil"/>
                  </w:tcBorders>
                  <w:shd w:val="clear" w:color="auto" w:fill="FFFFFF"/>
                  <w:vAlign w:val="center"/>
                </w:tcPr>
                <w:p w14:paraId="19B5C6C0">
                  <w:pPr>
                    <w:widowControl/>
                    <w:contextualSpacing/>
                    <w:jc w:val="center"/>
                    <w:rPr>
                      <w:bCs/>
                      <w:color w:val="auto"/>
                      <w:sz w:val="18"/>
                      <w:szCs w:val="18"/>
                      <w14:ligatures w14:val="standardContextual"/>
                    </w:rPr>
                  </w:pPr>
                </w:p>
              </w:tc>
            </w:tr>
            <w:tr w14:paraId="21959911">
              <w:tblPrEx>
                <w:tblCellMar>
                  <w:top w:w="0" w:type="dxa"/>
                  <w:left w:w="108" w:type="dxa"/>
                  <w:bottom w:w="0" w:type="dxa"/>
                  <w:right w:w="108" w:type="dxa"/>
                </w:tblCellMar>
              </w:tblPrEx>
              <w:trPr>
                <w:trHeight w:val="57" w:hRule="atLeast"/>
              </w:trPr>
              <w:tc>
                <w:tcPr>
                  <w:tcW w:w="293" w:type="pct"/>
                  <w:tcBorders>
                    <w:top w:val="single" w:color="auto" w:sz="4" w:space="0"/>
                    <w:left w:val="nil"/>
                    <w:bottom w:val="single" w:color="auto" w:sz="4" w:space="0"/>
                    <w:right w:val="single" w:color="auto" w:sz="4" w:space="0"/>
                  </w:tcBorders>
                  <w:shd w:val="clear" w:color="auto" w:fill="FFFFFF"/>
                  <w:vAlign w:val="center"/>
                </w:tcPr>
                <w:p w14:paraId="3D11789B">
                  <w:pPr>
                    <w:widowControl/>
                    <w:contextualSpacing/>
                    <w:jc w:val="center"/>
                    <w:rPr>
                      <w:bCs/>
                      <w:color w:val="auto"/>
                      <w:sz w:val="18"/>
                      <w:szCs w:val="18"/>
                      <w14:ligatures w14:val="standardContextual"/>
                    </w:rPr>
                  </w:pPr>
                </w:p>
              </w:tc>
              <w:tc>
                <w:tcPr>
                  <w:tcW w:w="1114" w:type="pct"/>
                  <w:tcBorders>
                    <w:top w:val="single" w:color="auto" w:sz="4" w:space="0"/>
                    <w:left w:val="single" w:color="auto" w:sz="4" w:space="0"/>
                    <w:bottom w:val="single" w:color="auto" w:sz="4" w:space="0"/>
                    <w:right w:val="single" w:color="auto" w:sz="4" w:space="0"/>
                  </w:tcBorders>
                  <w:shd w:val="clear" w:color="auto" w:fill="FFFFFF"/>
                  <w:vAlign w:val="center"/>
                </w:tcPr>
                <w:p w14:paraId="624CACBF">
                  <w:pPr>
                    <w:widowControl/>
                    <w:contextualSpacing/>
                    <w:jc w:val="center"/>
                    <w:rPr>
                      <w:bCs/>
                      <w:color w:val="auto"/>
                      <w:sz w:val="18"/>
                      <w:szCs w:val="18"/>
                      <w14:ligatures w14:val="standardContextual"/>
                    </w:rPr>
                  </w:pPr>
                </w:p>
              </w:tc>
              <w:tc>
                <w:tcPr>
                  <w:tcW w:w="619" w:type="pct"/>
                  <w:tcBorders>
                    <w:top w:val="single" w:color="auto" w:sz="4" w:space="0"/>
                    <w:left w:val="single" w:color="auto" w:sz="4" w:space="0"/>
                    <w:bottom w:val="single" w:color="auto" w:sz="4" w:space="0"/>
                    <w:right w:val="single" w:color="auto" w:sz="4" w:space="0"/>
                  </w:tcBorders>
                  <w:shd w:val="clear" w:color="auto" w:fill="FFFFFF"/>
                  <w:vAlign w:val="center"/>
                </w:tcPr>
                <w:p w14:paraId="328BFE71">
                  <w:pPr>
                    <w:widowControl/>
                    <w:contextualSpacing/>
                    <w:jc w:val="center"/>
                    <w:rPr>
                      <w:bCs/>
                      <w:color w:val="auto"/>
                      <w:sz w:val="18"/>
                      <w:szCs w:val="18"/>
                      <w14:ligatures w14:val="standardContextual"/>
                    </w:rPr>
                  </w:pPr>
                </w:p>
              </w:tc>
              <w:tc>
                <w:tcPr>
                  <w:tcW w:w="619" w:type="pct"/>
                  <w:tcBorders>
                    <w:top w:val="single" w:color="auto" w:sz="4" w:space="0"/>
                    <w:left w:val="single" w:color="auto" w:sz="4" w:space="0"/>
                    <w:bottom w:val="single" w:color="auto" w:sz="4" w:space="0"/>
                    <w:right w:val="single" w:color="auto" w:sz="4" w:space="0"/>
                  </w:tcBorders>
                  <w:shd w:val="clear" w:color="auto" w:fill="FFFFFF"/>
                  <w:vAlign w:val="center"/>
                </w:tcPr>
                <w:p w14:paraId="3FAD13D6">
                  <w:pPr>
                    <w:widowControl/>
                    <w:contextualSpacing/>
                    <w:jc w:val="center"/>
                    <w:rPr>
                      <w:bCs/>
                      <w:color w:val="auto"/>
                      <w:sz w:val="18"/>
                      <w:szCs w:val="18"/>
                      <w14:ligatures w14:val="standardContextual"/>
                    </w:rPr>
                  </w:pPr>
                </w:p>
              </w:tc>
              <w:tc>
                <w:tcPr>
                  <w:tcW w:w="758" w:type="pct"/>
                  <w:tcBorders>
                    <w:top w:val="single" w:color="auto" w:sz="4" w:space="0"/>
                    <w:left w:val="single" w:color="auto" w:sz="4" w:space="0"/>
                    <w:bottom w:val="single" w:color="auto" w:sz="4" w:space="0"/>
                    <w:right w:val="single" w:color="auto" w:sz="4" w:space="0"/>
                  </w:tcBorders>
                  <w:shd w:val="clear" w:color="auto" w:fill="FFFFFF"/>
                  <w:vAlign w:val="center"/>
                </w:tcPr>
                <w:p w14:paraId="6DDEC9F6">
                  <w:pPr>
                    <w:widowControl/>
                    <w:contextualSpacing/>
                    <w:jc w:val="center"/>
                    <w:rPr>
                      <w:bCs/>
                      <w:color w:val="auto"/>
                      <w:sz w:val="18"/>
                      <w:szCs w:val="18"/>
                      <w14:ligatures w14:val="standardContextual"/>
                    </w:rPr>
                  </w:pPr>
                </w:p>
              </w:tc>
              <w:tc>
                <w:tcPr>
                  <w:tcW w:w="481" w:type="pct"/>
                  <w:tcBorders>
                    <w:top w:val="single" w:color="auto" w:sz="4" w:space="0"/>
                    <w:left w:val="single" w:color="auto" w:sz="4" w:space="0"/>
                    <w:bottom w:val="single" w:color="auto" w:sz="4" w:space="0"/>
                    <w:right w:val="single" w:color="auto" w:sz="4" w:space="0"/>
                  </w:tcBorders>
                  <w:shd w:val="clear" w:color="auto" w:fill="FFFFFF"/>
                  <w:vAlign w:val="center"/>
                </w:tcPr>
                <w:p w14:paraId="16F6DEAD">
                  <w:pPr>
                    <w:widowControl/>
                    <w:contextualSpacing/>
                    <w:jc w:val="center"/>
                    <w:rPr>
                      <w:bCs/>
                      <w:color w:val="auto"/>
                      <w:sz w:val="18"/>
                      <w:szCs w:val="18"/>
                      <w14:ligatures w14:val="standardContextual"/>
                    </w:rPr>
                  </w:pPr>
                </w:p>
              </w:tc>
              <w:tc>
                <w:tcPr>
                  <w:tcW w:w="1113" w:type="pct"/>
                  <w:vMerge w:val="continue"/>
                  <w:tcBorders>
                    <w:top w:val="single" w:color="auto" w:sz="4" w:space="0"/>
                    <w:left w:val="single" w:color="auto" w:sz="4" w:space="0"/>
                    <w:bottom w:val="single" w:color="auto" w:sz="4" w:space="0"/>
                    <w:right w:val="nil"/>
                  </w:tcBorders>
                  <w:shd w:val="clear" w:color="auto" w:fill="FFFFFF"/>
                  <w:vAlign w:val="center"/>
                </w:tcPr>
                <w:p w14:paraId="17C95383">
                  <w:pPr>
                    <w:widowControl/>
                    <w:contextualSpacing/>
                    <w:jc w:val="center"/>
                    <w:rPr>
                      <w:bCs/>
                      <w:color w:val="auto"/>
                      <w:sz w:val="18"/>
                      <w:szCs w:val="18"/>
                      <w14:ligatures w14:val="standardContextual"/>
                    </w:rPr>
                  </w:pPr>
                </w:p>
              </w:tc>
            </w:tr>
            <w:tr w14:paraId="25F6CD29">
              <w:tblPrEx>
                <w:tblCellMar>
                  <w:top w:w="0" w:type="dxa"/>
                  <w:left w:w="108" w:type="dxa"/>
                  <w:bottom w:w="0" w:type="dxa"/>
                  <w:right w:w="108" w:type="dxa"/>
                </w:tblCellMar>
              </w:tblPrEx>
              <w:trPr>
                <w:trHeight w:val="57" w:hRule="atLeast"/>
              </w:trPr>
              <w:tc>
                <w:tcPr>
                  <w:tcW w:w="293" w:type="pct"/>
                  <w:tcBorders>
                    <w:top w:val="single" w:color="auto" w:sz="4" w:space="0"/>
                    <w:left w:val="nil"/>
                    <w:bottom w:val="single" w:color="auto" w:sz="4" w:space="0"/>
                    <w:right w:val="single" w:color="auto" w:sz="4" w:space="0"/>
                  </w:tcBorders>
                  <w:shd w:val="clear" w:color="auto" w:fill="FFFFFF"/>
                  <w:vAlign w:val="center"/>
                </w:tcPr>
                <w:p w14:paraId="031DD7CD">
                  <w:pPr>
                    <w:widowControl/>
                    <w:contextualSpacing/>
                    <w:jc w:val="center"/>
                    <w:rPr>
                      <w:bCs/>
                      <w:color w:val="auto"/>
                      <w:sz w:val="18"/>
                      <w:szCs w:val="18"/>
                      <w14:ligatures w14:val="standardContextual"/>
                    </w:rPr>
                  </w:pPr>
                </w:p>
              </w:tc>
              <w:tc>
                <w:tcPr>
                  <w:tcW w:w="1114" w:type="pct"/>
                  <w:tcBorders>
                    <w:top w:val="single" w:color="auto" w:sz="4" w:space="0"/>
                    <w:left w:val="single" w:color="auto" w:sz="4" w:space="0"/>
                    <w:bottom w:val="single" w:color="auto" w:sz="4" w:space="0"/>
                    <w:right w:val="single" w:color="auto" w:sz="4" w:space="0"/>
                  </w:tcBorders>
                  <w:shd w:val="clear" w:color="auto" w:fill="FFFFFF"/>
                  <w:vAlign w:val="center"/>
                </w:tcPr>
                <w:p w14:paraId="2AEC96E9">
                  <w:pPr>
                    <w:widowControl/>
                    <w:contextualSpacing/>
                    <w:jc w:val="center"/>
                    <w:rPr>
                      <w:bCs/>
                      <w:color w:val="auto"/>
                      <w:sz w:val="18"/>
                      <w:szCs w:val="18"/>
                      <w14:ligatures w14:val="standardContextual"/>
                    </w:rPr>
                  </w:pPr>
                </w:p>
              </w:tc>
              <w:tc>
                <w:tcPr>
                  <w:tcW w:w="619" w:type="pct"/>
                  <w:tcBorders>
                    <w:top w:val="single" w:color="auto" w:sz="4" w:space="0"/>
                    <w:left w:val="single" w:color="auto" w:sz="4" w:space="0"/>
                    <w:bottom w:val="single" w:color="auto" w:sz="4" w:space="0"/>
                    <w:right w:val="single" w:color="auto" w:sz="4" w:space="0"/>
                  </w:tcBorders>
                  <w:shd w:val="clear" w:color="auto" w:fill="FFFFFF"/>
                  <w:vAlign w:val="center"/>
                </w:tcPr>
                <w:p w14:paraId="51662E68">
                  <w:pPr>
                    <w:widowControl/>
                    <w:contextualSpacing/>
                    <w:jc w:val="center"/>
                    <w:rPr>
                      <w:bCs/>
                      <w:color w:val="auto"/>
                      <w:sz w:val="18"/>
                      <w:szCs w:val="18"/>
                      <w14:ligatures w14:val="standardContextual"/>
                    </w:rPr>
                  </w:pPr>
                </w:p>
              </w:tc>
              <w:tc>
                <w:tcPr>
                  <w:tcW w:w="619" w:type="pct"/>
                  <w:tcBorders>
                    <w:top w:val="single" w:color="auto" w:sz="4" w:space="0"/>
                    <w:left w:val="single" w:color="auto" w:sz="4" w:space="0"/>
                    <w:bottom w:val="single" w:color="auto" w:sz="4" w:space="0"/>
                    <w:right w:val="single" w:color="auto" w:sz="4" w:space="0"/>
                  </w:tcBorders>
                  <w:shd w:val="clear" w:color="auto" w:fill="FFFFFF"/>
                  <w:vAlign w:val="center"/>
                </w:tcPr>
                <w:p w14:paraId="580F1A61">
                  <w:pPr>
                    <w:widowControl/>
                    <w:contextualSpacing/>
                    <w:jc w:val="center"/>
                    <w:rPr>
                      <w:bCs/>
                      <w:color w:val="auto"/>
                      <w:sz w:val="18"/>
                      <w:szCs w:val="18"/>
                      <w14:ligatures w14:val="standardContextual"/>
                    </w:rPr>
                  </w:pPr>
                </w:p>
              </w:tc>
              <w:tc>
                <w:tcPr>
                  <w:tcW w:w="758" w:type="pct"/>
                  <w:tcBorders>
                    <w:top w:val="single" w:color="auto" w:sz="4" w:space="0"/>
                    <w:left w:val="single" w:color="auto" w:sz="4" w:space="0"/>
                    <w:bottom w:val="single" w:color="auto" w:sz="4" w:space="0"/>
                    <w:right w:val="single" w:color="auto" w:sz="4" w:space="0"/>
                  </w:tcBorders>
                  <w:shd w:val="clear" w:color="auto" w:fill="FFFFFF"/>
                  <w:vAlign w:val="center"/>
                </w:tcPr>
                <w:p w14:paraId="5673E9D5">
                  <w:pPr>
                    <w:widowControl/>
                    <w:contextualSpacing/>
                    <w:jc w:val="center"/>
                    <w:rPr>
                      <w:bCs/>
                      <w:color w:val="auto"/>
                      <w:sz w:val="18"/>
                      <w:szCs w:val="18"/>
                      <w14:ligatures w14:val="standardContextual"/>
                    </w:rPr>
                  </w:pPr>
                </w:p>
              </w:tc>
              <w:tc>
                <w:tcPr>
                  <w:tcW w:w="481" w:type="pct"/>
                  <w:tcBorders>
                    <w:top w:val="single" w:color="auto" w:sz="4" w:space="0"/>
                    <w:left w:val="single" w:color="auto" w:sz="4" w:space="0"/>
                    <w:bottom w:val="single" w:color="auto" w:sz="4" w:space="0"/>
                    <w:right w:val="single" w:color="auto" w:sz="4" w:space="0"/>
                  </w:tcBorders>
                  <w:shd w:val="clear" w:color="auto" w:fill="FFFFFF"/>
                  <w:vAlign w:val="center"/>
                </w:tcPr>
                <w:p w14:paraId="37DE6E1D">
                  <w:pPr>
                    <w:widowControl/>
                    <w:contextualSpacing/>
                    <w:jc w:val="center"/>
                    <w:rPr>
                      <w:bCs/>
                      <w:color w:val="auto"/>
                      <w:sz w:val="18"/>
                      <w:szCs w:val="18"/>
                      <w14:ligatures w14:val="standardContextual"/>
                    </w:rPr>
                  </w:pPr>
                </w:p>
              </w:tc>
              <w:tc>
                <w:tcPr>
                  <w:tcW w:w="1113" w:type="pct"/>
                  <w:vMerge w:val="continue"/>
                  <w:tcBorders>
                    <w:top w:val="single" w:color="auto" w:sz="4" w:space="0"/>
                    <w:left w:val="single" w:color="auto" w:sz="4" w:space="0"/>
                    <w:bottom w:val="single" w:color="auto" w:sz="4" w:space="0"/>
                    <w:right w:val="nil"/>
                  </w:tcBorders>
                  <w:shd w:val="clear" w:color="auto" w:fill="FFFFFF"/>
                  <w:vAlign w:val="center"/>
                </w:tcPr>
                <w:p w14:paraId="6B33314A">
                  <w:pPr>
                    <w:widowControl/>
                    <w:contextualSpacing/>
                    <w:jc w:val="center"/>
                    <w:rPr>
                      <w:bCs/>
                      <w:color w:val="auto"/>
                      <w:sz w:val="18"/>
                      <w:szCs w:val="18"/>
                      <w14:ligatures w14:val="standardContextual"/>
                    </w:rPr>
                  </w:pPr>
                </w:p>
              </w:tc>
            </w:tr>
            <w:tr w14:paraId="470C2532">
              <w:tblPrEx>
                <w:tblCellMar>
                  <w:top w:w="0" w:type="dxa"/>
                  <w:left w:w="108" w:type="dxa"/>
                  <w:bottom w:w="0" w:type="dxa"/>
                  <w:right w:w="108" w:type="dxa"/>
                </w:tblCellMar>
              </w:tblPrEx>
              <w:trPr>
                <w:trHeight w:val="57" w:hRule="atLeast"/>
              </w:trPr>
              <w:tc>
                <w:tcPr>
                  <w:tcW w:w="293" w:type="pct"/>
                  <w:tcBorders>
                    <w:top w:val="single" w:color="auto" w:sz="4" w:space="0"/>
                    <w:left w:val="nil"/>
                    <w:bottom w:val="single" w:color="auto" w:sz="4" w:space="0"/>
                    <w:right w:val="single" w:color="auto" w:sz="4" w:space="0"/>
                  </w:tcBorders>
                  <w:shd w:val="clear" w:color="auto" w:fill="FFFFFF"/>
                  <w:vAlign w:val="center"/>
                </w:tcPr>
                <w:p w14:paraId="08295951">
                  <w:pPr>
                    <w:widowControl/>
                    <w:contextualSpacing/>
                    <w:jc w:val="center"/>
                    <w:rPr>
                      <w:bCs/>
                      <w:color w:val="auto"/>
                      <w:sz w:val="18"/>
                      <w:szCs w:val="18"/>
                      <w14:ligatures w14:val="standardContextual"/>
                    </w:rPr>
                  </w:pPr>
                </w:p>
              </w:tc>
              <w:tc>
                <w:tcPr>
                  <w:tcW w:w="1114" w:type="pct"/>
                  <w:tcBorders>
                    <w:top w:val="single" w:color="auto" w:sz="4" w:space="0"/>
                    <w:left w:val="single" w:color="auto" w:sz="4" w:space="0"/>
                    <w:bottom w:val="single" w:color="auto" w:sz="4" w:space="0"/>
                    <w:right w:val="single" w:color="auto" w:sz="4" w:space="0"/>
                  </w:tcBorders>
                  <w:shd w:val="clear" w:color="auto" w:fill="FFFFFF"/>
                  <w:vAlign w:val="center"/>
                </w:tcPr>
                <w:p w14:paraId="35542D7A">
                  <w:pPr>
                    <w:widowControl/>
                    <w:contextualSpacing/>
                    <w:jc w:val="center"/>
                    <w:rPr>
                      <w:bCs/>
                      <w:color w:val="auto"/>
                      <w:sz w:val="18"/>
                      <w:szCs w:val="18"/>
                      <w14:ligatures w14:val="standardContextual"/>
                    </w:rPr>
                  </w:pPr>
                </w:p>
              </w:tc>
              <w:tc>
                <w:tcPr>
                  <w:tcW w:w="619" w:type="pct"/>
                  <w:tcBorders>
                    <w:top w:val="single" w:color="auto" w:sz="4" w:space="0"/>
                    <w:left w:val="single" w:color="auto" w:sz="4" w:space="0"/>
                    <w:bottom w:val="single" w:color="auto" w:sz="4" w:space="0"/>
                    <w:right w:val="single" w:color="auto" w:sz="4" w:space="0"/>
                  </w:tcBorders>
                  <w:shd w:val="clear" w:color="auto" w:fill="FFFFFF"/>
                  <w:vAlign w:val="center"/>
                </w:tcPr>
                <w:p w14:paraId="79616BDF">
                  <w:pPr>
                    <w:widowControl/>
                    <w:contextualSpacing/>
                    <w:jc w:val="center"/>
                    <w:rPr>
                      <w:bCs/>
                      <w:color w:val="auto"/>
                      <w:sz w:val="18"/>
                      <w:szCs w:val="18"/>
                      <w14:ligatures w14:val="standardContextual"/>
                    </w:rPr>
                  </w:pPr>
                </w:p>
              </w:tc>
              <w:tc>
                <w:tcPr>
                  <w:tcW w:w="619" w:type="pct"/>
                  <w:tcBorders>
                    <w:top w:val="single" w:color="auto" w:sz="4" w:space="0"/>
                    <w:left w:val="single" w:color="auto" w:sz="4" w:space="0"/>
                    <w:bottom w:val="single" w:color="auto" w:sz="4" w:space="0"/>
                    <w:right w:val="single" w:color="auto" w:sz="4" w:space="0"/>
                  </w:tcBorders>
                  <w:shd w:val="clear" w:color="auto" w:fill="FFFFFF"/>
                  <w:vAlign w:val="center"/>
                </w:tcPr>
                <w:p w14:paraId="29743FF3">
                  <w:pPr>
                    <w:widowControl/>
                    <w:contextualSpacing/>
                    <w:jc w:val="center"/>
                    <w:rPr>
                      <w:bCs/>
                      <w:color w:val="auto"/>
                      <w:sz w:val="18"/>
                      <w:szCs w:val="18"/>
                      <w14:ligatures w14:val="standardContextual"/>
                    </w:rPr>
                  </w:pPr>
                </w:p>
              </w:tc>
              <w:tc>
                <w:tcPr>
                  <w:tcW w:w="758" w:type="pct"/>
                  <w:tcBorders>
                    <w:top w:val="single" w:color="auto" w:sz="4" w:space="0"/>
                    <w:left w:val="single" w:color="auto" w:sz="4" w:space="0"/>
                    <w:bottom w:val="single" w:color="auto" w:sz="4" w:space="0"/>
                    <w:right w:val="single" w:color="auto" w:sz="4" w:space="0"/>
                  </w:tcBorders>
                  <w:shd w:val="clear" w:color="auto" w:fill="FFFFFF"/>
                  <w:vAlign w:val="center"/>
                </w:tcPr>
                <w:p w14:paraId="6BC62384">
                  <w:pPr>
                    <w:widowControl/>
                    <w:contextualSpacing/>
                    <w:jc w:val="center"/>
                    <w:rPr>
                      <w:bCs/>
                      <w:color w:val="auto"/>
                      <w:sz w:val="18"/>
                      <w:szCs w:val="18"/>
                      <w14:ligatures w14:val="standardContextual"/>
                    </w:rPr>
                  </w:pPr>
                </w:p>
              </w:tc>
              <w:tc>
                <w:tcPr>
                  <w:tcW w:w="481" w:type="pct"/>
                  <w:tcBorders>
                    <w:top w:val="single" w:color="auto" w:sz="4" w:space="0"/>
                    <w:left w:val="single" w:color="auto" w:sz="4" w:space="0"/>
                    <w:bottom w:val="single" w:color="auto" w:sz="4" w:space="0"/>
                    <w:right w:val="single" w:color="auto" w:sz="4" w:space="0"/>
                  </w:tcBorders>
                  <w:shd w:val="clear" w:color="auto" w:fill="FFFFFF"/>
                  <w:vAlign w:val="center"/>
                </w:tcPr>
                <w:p w14:paraId="2B4D81C8">
                  <w:pPr>
                    <w:widowControl/>
                    <w:contextualSpacing/>
                    <w:jc w:val="center"/>
                    <w:rPr>
                      <w:bCs/>
                      <w:color w:val="auto"/>
                      <w:sz w:val="18"/>
                      <w:szCs w:val="18"/>
                      <w14:ligatures w14:val="standardContextual"/>
                    </w:rPr>
                  </w:pPr>
                </w:p>
              </w:tc>
              <w:tc>
                <w:tcPr>
                  <w:tcW w:w="1113" w:type="pct"/>
                  <w:vMerge w:val="continue"/>
                  <w:tcBorders>
                    <w:top w:val="single" w:color="auto" w:sz="4" w:space="0"/>
                    <w:left w:val="single" w:color="auto" w:sz="4" w:space="0"/>
                    <w:bottom w:val="single" w:color="auto" w:sz="4" w:space="0"/>
                    <w:right w:val="nil"/>
                  </w:tcBorders>
                  <w:shd w:val="clear" w:color="auto" w:fill="FFFFFF"/>
                  <w:vAlign w:val="center"/>
                </w:tcPr>
                <w:p w14:paraId="57788ED3">
                  <w:pPr>
                    <w:widowControl/>
                    <w:contextualSpacing/>
                    <w:jc w:val="center"/>
                    <w:rPr>
                      <w:bCs/>
                      <w:color w:val="auto"/>
                      <w:sz w:val="18"/>
                      <w:szCs w:val="18"/>
                      <w14:ligatures w14:val="standardContextual"/>
                    </w:rPr>
                  </w:pPr>
                </w:p>
              </w:tc>
            </w:tr>
            <w:tr w14:paraId="6A9C2E68">
              <w:tblPrEx>
                <w:tblCellMar>
                  <w:top w:w="0" w:type="dxa"/>
                  <w:left w:w="108" w:type="dxa"/>
                  <w:bottom w:w="0" w:type="dxa"/>
                  <w:right w:w="108" w:type="dxa"/>
                </w:tblCellMar>
              </w:tblPrEx>
              <w:trPr>
                <w:trHeight w:val="57" w:hRule="atLeast"/>
              </w:trPr>
              <w:tc>
                <w:tcPr>
                  <w:tcW w:w="293" w:type="pct"/>
                  <w:tcBorders>
                    <w:top w:val="single" w:color="auto" w:sz="4" w:space="0"/>
                    <w:left w:val="nil"/>
                    <w:bottom w:val="single" w:color="auto" w:sz="4" w:space="0"/>
                    <w:right w:val="single" w:color="auto" w:sz="4" w:space="0"/>
                  </w:tcBorders>
                  <w:shd w:val="clear" w:color="auto" w:fill="FFFFFF"/>
                  <w:vAlign w:val="center"/>
                </w:tcPr>
                <w:p w14:paraId="37FBC243">
                  <w:pPr>
                    <w:widowControl/>
                    <w:contextualSpacing/>
                    <w:jc w:val="center"/>
                    <w:rPr>
                      <w:bCs/>
                      <w:color w:val="auto"/>
                      <w:sz w:val="18"/>
                      <w:szCs w:val="18"/>
                      <w14:ligatures w14:val="standardContextual"/>
                    </w:rPr>
                  </w:pPr>
                </w:p>
              </w:tc>
              <w:tc>
                <w:tcPr>
                  <w:tcW w:w="1114" w:type="pct"/>
                  <w:tcBorders>
                    <w:top w:val="single" w:color="auto" w:sz="4" w:space="0"/>
                    <w:left w:val="single" w:color="auto" w:sz="4" w:space="0"/>
                    <w:bottom w:val="single" w:color="auto" w:sz="4" w:space="0"/>
                    <w:right w:val="single" w:color="auto" w:sz="4" w:space="0"/>
                  </w:tcBorders>
                  <w:shd w:val="clear" w:color="auto" w:fill="FFFFFF"/>
                  <w:vAlign w:val="center"/>
                </w:tcPr>
                <w:p w14:paraId="505848AC">
                  <w:pPr>
                    <w:widowControl/>
                    <w:contextualSpacing/>
                    <w:jc w:val="center"/>
                    <w:rPr>
                      <w:bCs/>
                      <w:color w:val="auto"/>
                      <w:sz w:val="18"/>
                      <w:szCs w:val="18"/>
                      <w14:ligatures w14:val="standardContextual"/>
                    </w:rPr>
                  </w:pPr>
                </w:p>
              </w:tc>
              <w:tc>
                <w:tcPr>
                  <w:tcW w:w="619" w:type="pct"/>
                  <w:tcBorders>
                    <w:top w:val="single" w:color="auto" w:sz="4" w:space="0"/>
                    <w:left w:val="single" w:color="auto" w:sz="4" w:space="0"/>
                    <w:bottom w:val="single" w:color="auto" w:sz="4" w:space="0"/>
                    <w:right w:val="single" w:color="auto" w:sz="4" w:space="0"/>
                  </w:tcBorders>
                  <w:shd w:val="clear" w:color="auto" w:fill="FFFFFF"/>
                  <w:vAlign w:val="center"/>
                </w:tcPr>
                <w:p w14:paraId="65E8E17F">
                  <w:pPr>
                    <w:widowControl/>
                    <w:contextualSpacing/>
                    <w:jc w:val="center"/>
                    <w:rPr>
                      <w:bCs/>
                      <w:color w:val="auto"/>
                      <w:sz w:val="18"/>
                      <w:szCs w:val="18"/>
                      <w14:ligatures w14:val="standardContextual"/>
                    </w:rPr>
                  </w:pPr>
                </w:p>
              </w:tc>
              <w:tc>
                <w:tcPr>
                  <w:tcW w:w="619" w:type="pct"/>
                  <w:tcBorders>
                    <w:top w:val="single" w:color="auto" w:sz="4" w:space="0"/>
                    <w:left w:val="single" w:color="auto" w:sz="4" w:space="0"/>
                    <w:bottom w:val="single" w:color="auto" w:sz="4" w:space="0"/>
                    <w:right w:val="single" w:color="auto" w:sz="4" w:space="0"/>
                  </w:tcBorders>
                  <w:vAlign w:val="center"/>
                </w:tcPr>
                <w:p w14:paraId="321FBE5F">
                  <w:pPr>
                    <w:widowControl/>
                    <w:contextualSpacing/>
                    <w:jc w:val="center"/>
                    <w:rPr>
                      <w:bCs/>
                      <w:color w:val="auto"/>
                      <w:sz w:val="18"/>
                      <w:szCs w:val="18"/>
                      <w14:ligatures w14:val="standardContextual"/>
                    </w:rPr>
                  </w:pPr>
                </w:p>
              </w:tc>
              <w:tc>
                <w:tcPr>
                  <w:tcW w:w="758" w:type="pct"/>
                  <w:tcBorders>
                    <w:top w:val="single" w:color="auto" w:sz="4" w:space="0"/>
                    <w:left w:val="single" w:color="auto" w:sz="4" w:space="0"/>
                    <w:bottom w:val="single" w:color="auto" w:sz="4" w:space="0"/>
                    <w:right w:val="single" w:color="auto" w:sz="4" w:space="0"/>
                  </w:tcBorders>
                  <w:vAlign w:val="center"/>
                </w:tcPr>
                <w:p w14:paraId="06D7184F">
                  <w:pPr>
                    <w:widowControl/>
                    <w:contextualSpacing/>
                    <w:jc w:val="center"/>
                    <w:rPr>
                      <w:bCs/>
                      <w:color w:val="auto"/>
                      <w:sz w:val="18"/>
                      <w:szCs w:val="18"/>
                      <w14:ligatures w14:val="standardContextual"/>
                    </w:rPr>
                  </w:pPr>
                </w:p>
              </w:tc>
              <w:tc>
                <w:tcPr>
                  <w:tcW w:w="481" w:type="pct"/>
                  <w:tcBorders>
                    <w:top w:val="single" w:color="auto" w:sz="4" w:space="0"/>
                    <w:left w:val="single" w:color="auto" w:sz="4" w:space="0"/>
                    <w:bottom w:val="single" w:color="auto" w:sz="4" w:space="0"/>
                    <w:right w:val="single" w:color="auto" w:sz="4" w:space="0"/>
                  </w:tcBorders>
                  <w:shd w:val="clear" w:color="auto" w:fill="FFFFFF"/>
                  <w:vAlign w:val="center"/>
                </w:tcPr>
                <w:p w14:paraId="04CC415B">
                  <w:pPr>
                    <w:widowControl/>
                    <w:contextualSpacing/>
                    <w:jc w:val="center"/>
                    <w:rPr>
                      <w:bCs/>
                      <w:color w:val="auto"/>
                      <w:sz w:val="18"/>
                      <w:szCs w:val="18"/>
                      <w14:ligatures w14:val="standardContextual"/>
                    </w:rPr>
                  </w:pPr>
                </w:p>
              </w:tc>
              <w:tc>
                <w:tcPr>
                  <w:tcW w:w="1113" w:type="pct"/>
                  <w:vMerge w:val="continue"/>
                  <w:tcBorders>
                    <w:top w:val="single" w:color="auto" w:sz="4" w:space="0"/>
                    <w:left w:val="single" w:color="auto" w:sz="4" w:space="0"/>
                    <w:bottom w:val="single" w:color="auto" w:sz="4" w:space="0"/>
                    <w:right w:val="nil"/>
                  </w:tcBorders>
                  <w:shd w:val="clear" w:color="auto" w:fill="FFFFFF"/>
                  <w:vAlign w:val="center"/>
                </w:tcPr>
                <w:p w14:paraId="2AF3EB72">
                  <w:pPr>
                    <w:widowControl/>
                    <w:contextualSpacing/>
                    <w:jc w:val="center"/>
                    <w:rPr>
                      <w:bCs/>
                      <w:color w:val="auto"/>
                      <w:sz w:val="18"/>
                      <w:szCs w:val="18"/>
                      <w14:ligatures w14:val="standardContextual"/>
                    </w:rPr>
                  </w:pPr>
                </w:p>
              </w:tc>
            </w:tr>
            <w:tr w14:paraId="7DBE5339">
              <w:tblPrEx>
                <w:tblCellMar>
                  <w:top w:w="0" w:type="dxa"/>
                  <w:left w:w="108" w:type="dxa"/>
                  <w:bottom w:w="0" w:type="dxa"/>
                  <w:right w:w="108" w:type="dxa"/>
                </w:tblCellMar>
              </w:tblPrEx>
              <w:trPr>
                <w:trHeight w:val="90" w:hRule="atLeast"/>
              </w:trPr>
              <w:tc>
                <w:tcPr>
                  <w:tcW w:w="293" w:type="pct"/>
                  <w:tcBorders>
                    <w:top w:val="single" w:color="auto" w:sz="4" w:space="0"/>
                    <w:left w:val="nil"/>
                    <w:bottom w:val="single" w:color="auto" w:sz="4" w:space="0"/>
                    <w:right w:val="single" w:color="auto" w:sz="4" w:space="0"/>
                  </w:tcBorders>
                  <w:shd w:val="clear" w:color="auto" w:fill="FFFFFF"/>
                  <w:vAlign w:val="center"/>
                </w:tcPr>
                <w:p w14:paraId="04AD3C41">
                  <w:pPr>
                    <w:widowControl/>
                    <w:contextualSpacing/>
                    <w:jc w:val="center"/>
                    <w:rPr>
                      <w:bCs/>
                      <w:color w:val="auto"/>
                      <w:sz w:val="18"/>
                      <w:szCs w:val="18"/>
                      <w14:ligatures w14:val="standardContextual"/>
                    </w:rPr>
                  </w:pPr>
                </w:p>
              </w:tc>
              <w:tc>
                <w:tcPr>
                  <w:tcW w:w="1114" w:type="pct"/>
                  <w:tcBorders>
                    <w:top w:val="single" w:color="auto" w:sz="4" w:space="0"/>
                    <w:left w:val="single" w:color="auto" w:sz="4" w:space="0"/>
                    <w:bottom w:val="single" w:color="auto" w:sz="4" w:space="0"/>
                    <w:right w:val="single" w:color="auto" w:sz="4" w:space="0"/>
                  </w:tcBorders>
                  <w:shd w:val="clear" w:color="auto" w:fill="FFFFFF"/>
                  <w:vAlign w:val="center"/>
                </w:tcPr>
                <w:p w14:paraId="04ED2F62">
                  <w:pPr>
                    <w:widowControl/>
                    <w:contextualSpacing/>
                    <w:jc w:val="center"/>
                    <w:rPr>
                      <w:bCs/>
                      <w:color w:val="auto"/>
                      <w:sz w:val="18"/>
                      <w:szCs w:val="18"/>
                      <w14:ligatures w14:val="standardContextual"/>
                    </w:rPr>
                  </w:pPr>
                </w:p>
              </w:tc>
              <w:tc>
                <w:tcPr>
                  <w:tcW w:w="619" w:type="pct"/>
                  <w:tcBorders>
                    <w:top w:val="single" w:color="auto" w:sz="4" w:space="0"/>
                    <w:left w:val="single" w:color="auto" w:sz="4" w:space="0"/>
                    <w:bottom w:val="single" w:color="auto" w:sz="4" w:space="0"/>
                    <w:right w:val="single" w:color="auto" w:sz="4" w:space="0"/>
                  </w:tcBorders>
                  <w:shd w:val="clear" w:color="auto" w:fill="FFFFFF"/>
                  <w:vAlign w:val="center"/>
                </w:tcPr>
                <w:p w14:paraId="1A3F64B2">
                  <w:pPr>
                    <w:widowControl/>
                    <w:contextualSpacing/>
                    <w:jc w:val="center"/>
                    <w:rPr>
                      <w:bCs/>
                      <w:color w:val="auto"/>
                      <w:sz w:val="18"/>
                      <w:szCs w:val="18"/>
                      <w14:ligatures w14:val="standardContextual"/>
                    </w:rPr>
                  </w:pPr>
                </w:p>
              </w:tc>
              <w:tc>
                <w:tcPr>
                  <w:tcW w:w="619" w:type="pct"/>
                  <w:tcBorders>
                    <w:top w:val="single" w:color="auto" w:sz="4" w:space="0"/>
                    <w:left w:val="single" w:color="auto" w:sz="4" w:space="0"/>
                    <w:bottom w:val="single" w:color="auto" w:sz="4" w:space="0"/>
                    <w:right w:val="single" w:color="auto" w:sz="4" w:space="0"/>
                  </w:tcBorders>
                  <w:vAlign w:val="center"/>
                </w:tcPr>
                <w:p w14:paraId="0D06CCF2">
                  <w:pPr>
                    <w:widowControl/>
                    <w:contextualSpacing/>
                    <w:jc w:val="center"/>
                    <w:rPr>
                      <w:bCs/>
                      <w:color w:val="auto"/>
                      <w:sz w:val="18"/>
                      <w:szCs w:val="18"/>
                      <w14:ligatures w14:val="standardContextual"/>
                    </w:rPr>
                  </w:pPr>
                </w:p>
              </w:tc>
              <w:tc>
                <w:tcPr>
                  <w:tcW w:w="758" w:type="pct"/>
                  <w:tcBorders>
                    <w:top w:val="single" w:color="auto" w:sz="4" w:space="0"/>
                    <w:left w:val="single" w:color="auto" w:sz="4" w:space="0"/>
                    <w:bottom w:val="single" w:color="auto" w:sz="4" w:space="0"/>
                    <w:right w:val="single" w:color="auto" w:sz="4" w:space="0"/>
                  </w:tcBorders>
                  <w:vAlign w:val="center"/>
                </w:tcPr>
                <w:p w14:paraId="58F10FF1">
                  <w:pPr>
                    <w:widowControl/>
                    <w:contextualSpacing/>
                    <w:jc w:val="center"/>
                    <w:rPr>
                      <w:bCs/>
                      <w:color w:val="auto"/>
                      <w:sz w:val="18"/>
                      <w:szCs w:val="18"/>
                      <w14:ligatures w14:val="standardContextual"/>
                    </w:rPr>
                  </w:pPr>
                </w:p>
              </w:tc>
              <w:tc>
                <w:tcPr>
                  <w:tcW w:w="481" w:type="pct"/>
                  <w:tcBorders>
                    <w:top w:val="single" w:color="auto" w:sz="4" w:space="0"/>
                    <w:left w:val="single" w:color="auto" w:sz="4" w:space="0"/>
                    <w:bottom w:val="single" w:color="auto" w:sz="4" w:space="0"/>
                    <w:right w:val="single" w:color="auto" w:sz="4" w:space="0"/>
                  </w:tcBorders>
                  <w:shd w:val="clear" w:color="auto" w:fill="FFFFFF"/>
                  <w:vAlign w:val="center"/>
                </w:tcPr>
                <w:p w14:paraId="32FD7AF3">
                  <w:pPr>
                    <w:widowControl/>
                    <w:contextualSpacing/>
                    <w:jc w:val="center"/>
                    <w:rPr>
                      <w:bCs/>
                      <w:color w:val="auto"/>
                      <w:sz w:val="18"/>
                      <w:szCs w:val="18"/>
                      <w14:ligatures w14:val="standardContextual"/>
                    </w:rPr>
                  </w:pPr>
                </w:p>
              </w:tc>
              <w:tc>
                <w:tcPr>
                  <w:tcW w:w="1113" w:type="pct"/>
                  <w:vMerge w:val="continue"/>
                  <w:tcBorders>
                    <w:top w:val="single" w:color="auto" w:sz="4" w:space="0"/>
                    <w:left w:val="single" w:color="auto" w:sz="4" w:space="0"/>
                    <w:bottom w:val="single" w:color="auto" w:sz="4" w:space="0"/>
                    <w:right w:val="nil"/>
                  </w:tcBorders>
                  <w:shd w:val="clear" w:color="auto" w:fill="FFFFFF"/>
                  <w:vAlign w:val="center"/>
                </w:tcPr>
                <w:p w14:paraId="4162936B">
                  <w:pPr>
                    <w:widowControl/>
                    <w:contextualSpacing/>
                    <w:jc w:val="center"/>
                    <w:rPr>
                      <w:bCs/>
                      <w:color w:val="auto"/>
                      <w:sz w:val="18"/>
                      <w:szCs w:val="18"/>
                      <w14:ligatures w14:val="standardContextual"/>
                    </w:rPr>
                  </w:pPr>
                </w:p>
              </w:tc>
            </w:tr>
            <w:tr w14:paraId="4C59705D">
              <w:tblPrEx>
                <w:tblCellMar>
                  <w:top w:w="0" w:type="dxa"/>
                  <w:left w:w="108" w:type="dxa"/>
                  <w:bottom w:w="0" w:type="dxa"/>
                  <w:right w:w="108" w:type="dxa"/>
                </w:tblCellMar>
              </w:tblPrEx>
              <w:trPr>
                <w:trHeight w:val="57" w:hRule="atLeast"/>
              </w:trPr>
              <w:tc>
                <w:tcPr>
                  <w:tcW w:w="293" w:type="pct"/>
                  <w:tcBorders>
                    <w:top w:val="single" w:color="auto" w:sz="4" w:space="0"/>
                    <w:left w:val="nil"/>
                    <w:bottom w:val="single" w:color="auto" w:sz="4" w:space="0"/>
                    <w:right w:val="single" w:color="auto" w:sz="4" w:space="0"/>
                  </w:tcBorders>
                  <w:shd w:val="clear" w:color="auto" w:fill="FFFFFF"/>
                  <w:vAlign w:val="center"/>
                </w:tcPr>
                <w:p w14:paraId="098BAC5E">
                  <w:pPr>
                    <w:widowControl/>
                    <w:contextualSpacing/>
                    <w:jc w:val="center"/>
                    <w:rPr>
                      <w:bCs/>
                      <w:color w:val="auto"/>
                      <w:sz w:val="18"/>
                      <w:szCs w:val="18"/>
                      <w14:ligatures w14:val="standardContextual"/>
                    </w:rPr>
                  </w:pPr>
                </w:p>
              </w:tc>
              <w:tc>
                <w:tcPr>
                  <w:tcW w:w="1114" w:type="pct"/>
                  <w:tcBorders>
                    <w:top w:val="single" w:color="auto" w:sz="4" w:space="0"/>
                    <w:left w:val="single" w:color="auto" w:sz="4" w:space="0"/>
                    <w:bottom w:val="single" w:color="auto" w:sz="4" w:space="0"/>
                    <w:right w:val="single" w:color="auto" w:sz="4" w:space="0"/>
                  </w:tcBorders>
                  <w:shd w:val="clear" w:color="auto" w:fill="FFFFFF"/>
                  <w:vAlign w:val="center"/>
                </w:tcPr>
                <w:p w14:paraId="4E6052F6">
                  <w:pPr>
                    <w:widowControl/>
                    <w:contextualSpacing/>
                    <w:jc w:val="center"/>
                    <w:rPr>
                      <w:bCs/>
                      <w:color w:val="auto"/>
                      <w:sz w:val="18"/>
                      <w:szCs w:val="18"/>
                      <w14:ligatures w14:val="standardContextual"/>
                    </w:rPr>
                  </w:pPr>
                </w:p>
              </w:tc>
              <w:tc>
                <w:tcPr>
                  <w:tcW w:w="619" w:type="pct"/>
                  <w:tcBorders>
                    <w:top w:val="single" w:color="auto" w:sz="4" w:space="0"/>
                    <w:left w:val="single" w:color="auto" w:sz="4" w:space="0"/>
                    <w:bottom w:val="single" w:color="auto" w:sz="4" w:space="0"/>
                    <w:right w:val="single" w:color="auto" w:sz="4" w:space="0"/>
                  </w:tcBorders>
                  <w:shd w:val="clear" w:color="auto" w:fill="FFFFFF"/>
                  <w:vAlign w:val="center"/>
                </w:tcPr>
                <w:p w14:paraId="605B85C6">
                  <w:pPr>
                    <w:widowControl/>
                    <w:contextualSpacing/>
                    <w:jc w:val="center"/>
                    <w:rPr>
                      <w:bCs/>
                      <w:color w:val="auto"/>
                      <w:sz w:val="18"/>
                      <w:szCs w:val="18"/>
                      <w14:ligatures w14:val="standardContextual"/>
                    </w:rPr>
                  </w:pPr>
                </w:p>
              </w:tc>
              <w:tc>
                <w:tcPr>
                  <w:tcW w:w="619" w:type="pct"/>
                  <w:tcBorders>
                    <w:top w:val="single" w:color="auto" w:sz="4" w:space="0"/>
                    <w:left w:val="single" w:color="auto" w:sz="4" w:space="0"/>
                    <w:bottom w:val="single" w:color="auto" w:sz="4" w:space="0"/>
                    <w:right w:val="single" w:color="auto" w:sz="4" w:space="0"/>
                  </w:tcBorders>
                  <w:shd w:val="clear" w:color="auto" w:fill="FFFFFF"/>
                  <w:vAlign w:val="center"/>
                </w:tcPr>
                <w:p w14:paraId="3227F80A">
                  <w:pPr>
                    <w:widowControl/>
                    <w:contextualSpacing/>
                    <w:jc w:val="center"/>
                    <w:rPr>
                      <w:bCs/>
                      <w:color w:val="auto"/>
                      <w:sz w:val="18"/>
                      <w:szCs w:val="18"/>
                      <w14:ligatures w14:val="standardContextual"/>
                    </w:rPr>
                  </w:pPr>
                </w:p>
              </w:tc>
              <w:tc>
                <w:tcPr>
                  <w:tcW w:w="758" w:type="pct"/>
                  <w:tcBorders>
                    <w:top w:val="single" w:color="auto" w:sz="4" w:space="0"/>
                    <w:left w:val="single" w:color="auto" w:sz="4" w:space="0"/>
                    <w:bottom w:val="single" w:color="auto" w:sz="4" w:space="0"/>
                    <w:right w:val="single" w:color="auto" w:sz="4" w:space="0"/>
                  </w:tcBorders>
                  <w:shd w:val="clear" w:color="auto" w:fill="FFFFFF"/>
                  <w:vAlign w:val="center"/>
                </w:tcPr>
                <w:p w14:paraId="42635BD1">
                  <w:pPr>
                    <w:widowControl/>
                    <w:contextualSpacing/>
                    <w:jc w:val="center"/>
                    <w:rPr>
                      <w:bCs/>
                      <w:color w:val="auto"/>
                      <w:sz w:val="18"/>
                      <w:szCs w:val="18"/>
                      <w14:ligatures w14:val="standardContextual"/>
                    </w:rPr>
                  </w:pPr>
                </w:p>
              </w:tc>
              <w:tc>
                <w:tcPr>
                  <w:tcW w:w="481" w:type="pct"/>
                  <w:tcBorders>
                    <w:top w:val="single" w:color="auto" w:sz="4" w:space="0"/>
                    <w:left w:val="single" w:color="auto" w:sz="4" w:space="0"/>
                    <w:bottom w:val="single" w:color="auto" w:sz="4" w:space="0"/>
                    <w:right w:val="single" w:color="auto" w:sz="4" w:space="0"/>
                  </w:tcBorders>
                  <w:shd w:val="clear" w:color="auto" w:fill="FFFFFF"/>
                  <w:vAlign w:val="center"/>
                </w:tcPr>
                <w:p w14:paraId="78C64600">
                  <w:pPr>
                    <w:widowControl/>
                    <w:contextualSpacing/>
                    <w:jc w:val="center"/>
                    <w:rPr>
                      <w:bCs/>
                      <w:color w:val="auto"/>
                      <w:sz w:val="18"/>
                      <w:szCs w:val="18"/>
                      <w14:ligatures w14:val="standardContextual"/>
                    </w:rPr>
                  </w:pPr>
                </w:p>
              </w:tc>
              <w:tc>
                <w:tcPr>
                  <w:tcW w:w="1113" w:type="pct"/>
                  <w:vMerge w:val="continue"/>
                  <w:tcBorders>
                    <w:top w:val="single" w:color="auto" w:sz="4" w:space="0"/>
                    <w:left w:val="single" w:color="auto" w:sz="4" w:space="0"/>
                    <w:bottom w:val="single" w:color="auto" w:sz="4" w:space="0"/>
                    <w:right w:val="nil"/>
                  </w:tcBorders>
                  <w:shd w:val="clear" w:color="auto" w:fill="FFFFFF"/>
                  <w:vAlign w:val="center"/>
                </w:tcPr>
                <w:p w14:paraId="69786F79">
                  <w:pPr>
                    <w:widowControl/>
                    <w:contextualSpacing/>
                    <w:jc w:val="center"/>
                    <w:rPr>
                      <w:bCs/>
                      <w:color w:val="auto"/>
                      <w:sz w:val="18"/>
                      <w:szCs w:val="18"/>
                      <w14:ligatures w14:val="standardContextual"/>
                    </w:rPr>
                  </w:pPr>
                </w:p>
              </w:tc>
            </w:tr>
            <w:tr w14:paraId="082F9827">
              <w:tblPrEx>
                <w:tblCellMar>
                  <w:top w:w="0" w:type="dxa"/>
                  <w:left w:w="108" w:type="dxa"/>
                  <w:bottom w:w="0" w:type="dxa"/>
                  <w:right w:w="108" w:type="dxa"/>
                </w:tblCellMar>
              </w:tblPrEx>
              <w:trPr>
                <w:trHeight w:val="57" w:hRule="atLeast"/>
              </w:trPr>
              <w:tc>
                <w:tcPr>
                  <w:tcW w:w="293" w:type="pct"/>
                  <w:tcBorders>
                    <w:top w:val="single" w:color="auto" w:sz="4" w:space="0"/>
                    <w:left w:val="nil"/>
                    <w:bottom w:val="single" w:color="auto" w:sz="4" w:space="0"/>
                    <w:right w:val="single" w:color="auto" w:sz="4" w:space="0"/>
                  </w:tcBorders>
                  <w:shd w:val="clear" w:color="auto" w:fill="FFFFFF"/>
                  <w:vAlign w:val="center"/>
                </w:tcPr>
                <w:p w14:paraId="1E387FD8">
                  <w:pPr>
                    <w:widowControl/>
                    <w:contextualSpacing/>
                    <w:jc w:val="center"/>
                    <w:rPr>
                      <w:bCs/>
                      <w:color w:val="auto"/>
                      <w:sz w:val="18"/>
                      <w:szCs w:val="18"/>
                      <w14:ligatures w14:val="standardContextual"/>
                    </w:rPr>
                  </w:pPr>
                </w:p>
              </w:tc>
              <w:tc>
                <w:tcPr>
                  <w:tcW w:w="1114" w:type="pct"/>
                  <w:tcBorders>
                    <w:top w:val="single" w:color="auto" w:sz="4" w:space="0"/>
                    <w:left w:val="single" w:color="auto" w:sz="4" w:space="0"/>
                    <w:bottom w:val="single" w:color="auto" w:sz="4" w:space="0"/>
                    <w:right w:val="single" w:color="auto" w:sz="4" w:space="0"/>
                  </w:tcBorders>
                  <w:shd w:val="clear" w:color="auto" w:fill="FFFFFF"/>
                  <w:vAlign w:val="center"/>
                </w:tcPr>
                <w:p w14:paraId="788D560F">
                  <w:pPr>
                    <w:widowControl/>
                    <w:contextualSpacing/>
                    <w:jc w:val="center"/>
                    <w:rPr>
                      <w:bCs/>
                      <w:color w:val="auto"/>
                      <w:sz w:val="18"/>
                      <w:szCs w:val="18"/>
                      <w14:ligatures w14:val="standardContextual"/>
                    </w:rPr>
                  </w:pPr>
                </w:p>
              </w:tc>
              <w:tc>
                <w:tcPr>
                  <w:tcW w:w="619" w:type="pct"/>
                  <w:tcBorders>
                    <w:top w:val="single" w:color="auto" w:sz="4" w:space="0"/>
                    <w:left w:val="single" w:color="auto" w:sz="4" w:space="0"/>
                    <w:bottom w:val="single" w:color="auto" w:sz="4" w:space="0"/>
                    <w:right w:val="single" w:color="auto" w:sz="4" w:space="0"/>
                  </w:tcBorders>
                  <w:shd w:val="clear" w:color="auto" w:fill="FFFFFF"/>
                  <w:vAlign w:val="center"/>
                </w:tcPr>
                <w:p w14:paraId="612B806C">
                  <w:pPr>
                    <w:widowControl/>
                    <w:contextualSpacing/>
                    <w:jc w:val="center"/>
                    <w:rPr>
                      <w:bCs/>
                      <w:color w:val="auto"/>
                      <w:sz w:val="18"/>
                      <w:szCs w:val="18"/>
                      <w14:ligatures w14:val="standardContextual"/>
                    </w:rPr>
                  </w:pPr>
                </w:p>
              </w:tc>
              <w:tc>
                <w:tcPr>
                  <w:tcW w:w="619" w:type="pct"/>
                  <w:tcBorders>
                    <w:top w:val="single" w:color="auto" w:sz="4" w:space="0"/>
                    <w:left w:val="single" w:color="auto" w:sz="4" w:space="0"/>
                    <w:bottom w:val="single" w:color="auto" w:sz="4" w:space="0"/>
                    <w:right w:val="single" w:color="auto" w:sz="4" w:space="0"/>
                  </w:tcBorders>
                  <w:vAlign w:val="center"/>
                </w:tcPr>
                <w:p w14:paraId="5CEA9C8E">
                  <w:pPr>
                    <w:widowControl/>
                    <w:contextualSpacing/>
                    <w:jc w:val="center"/>
                    <w:rPr>
                      <w:bCs/>
                      <w:color w:val="auto"/>
                      <w:sz w:val="18"/>
                      <w:szCs w:val="18"/>
                      <w14:ligatures w14:val="standardContextual"/>
                    </w:rPr>
                  </w:pPr>
                </w:p>
              </w:tc>
              <w:tc>
                <w:tcPr>
                  <w:tcW w:w="758" w:type="pct"/>
                  <w:tcBorders>
                    <w:top w:val="single" w:color="auto" w:sz="4" w:space="0"/>
                    <w:left w:val="single" w:color="auto" w:sz="4" w:space="0"/>
                    <w:bottom w:val="single" w:color="auto" w:sz="4" w:space="0"/>
                    <w:right w:val="single" w:color="auto" w:sz="4" w:space="0"/>
                  </w:tcBorders>
                  <w:vAlign w:val="center"/>
                </w:tcPr>
                <w:p w14:paraId="2F84CDF3">
                  <w:pPr>
                    <w:widowControl/>
                    <w:contextualSpacing/>
                    <w:jc w:val="center"/>
                    <w:rPr>
                      <w:bCs/>
                      <w:color w:val="auto"/>
                      <w:sz w:val="18"/>
                      <w:szCs w:val="18"/>
                      <w14:ligatures w14:val="standardContextual"/>
                    </w:rPr>
                  </w:pPr>
                </w:p>
              </w:tc>
              <w:tc>
                <w:tcPr>
                  <w:tcW w:w="481" w:type="pct"/>
                  <w:tcBorders>
                    <w:top w:val="single" w:color="auto" w:sz="4" w:space="0"/>
                    <w:left w:val="single" w:color="auto" w:sz="4" w:space="0"/>
                    <w:bottom w:val="single" w:color="auto" w:sz="4" w:space="0"/>
                    <w:right w:val="single" w:color="auto" w:sz="4" w:space="0"/>
                  </w:tcBorders>
                  <w:shd w:val="clear" w:color="auto" w:fill="FFFFFF"/>
                  <w:vAlign w:val="center"/>
                </w:tcPr>
                <w:p w14:paraId="14DDBF5E">
                  <w:pPr>
                    <w:widowControl/>
                    <w:contextualSpacing/>
                    <w:jc w:val="center"/>
                    <w:rPr>
                      <w:bCs/>
                      <w:color w:val="auto"/>
                      <w:sz w:val="18"/>
                      <w:szCs w:val="18"/>
                      <w14:ligatures w14:val="standardContextual"/>
                    </w:rPr>
                  </w:pPr>
                </w:p>
              </w:tc>
              <w:tc>
                <w:tcPr>
                  <w:tcW w:w="1113" w:type="pct"/>
                  <w:vMerge w:val="continue"/>
                  <w:tcBorders>
                    <w:top w:val="single" w:color="auto" w:sz="4" w:space="0"/>
                    <w:left w:val="single" w:color="auto" w:sz="4" w:space="0"/>
                    <w:bottom w:val="single" w:color="auto" w:sz="4" w:space="0"/>
                    <w:right w:val="nil"/>
                  </w:tcBorders>
                  <w:shd w:val="clear" w:color="auto" w:fill="FFFFFF"/>
                  <w:vAlign w:val="center"/>
                </w:tcPr>
                <w:p w14:paraId="1A0335B1">
                  <w:pPr>
                    <w:widowControl/>
                    <w:contextualSpacing/>
                    <w:jc w:val="center"/>
                    <w:rPr>
                      <w:bCs/>
                      <w:color w:val="auto"/>
                      <w:sz w:val="18"/>
                      <w:szCs w:val="18"/>
                      <w14:ligatures w14:val="standardContextual"/>
                    </w:rPr>
                  </w:pPr>
                </w:p>
              </w:tc>
            </w:tr>
            <w:tr w14:paraId="167A981C">
              <w:tblPrEx>
                <w:tblCellMar>
                  <w:top w:w="0" w:type="dxa"/>
                  <w:left w:w="108" w:type="dxa"/>
                  <w:bottom w:w="0" w:type="dxa"/>
                  <w:right w:w="108" w:type="dxa"/>
                </w:tblCellMar>
              </w:tblPrEx>
              <w:trPr>
                <w:trHeight w:val="246" w:hRule="atLeast"/>
              </w:trPr>
              <w:tc>
                <w:tcPr>
                  <w:tcW w:w="293" w:type="pct"/>
                  <w:tcBorders>
                    <w:top w:val="single" w:color="auto" w:sz="4" w:space="0"/>
                    <w:left w:val="nil"/>
                    <w:bottom w:val="single" w:color="auto" w:sz="4" w:space="0"/>
                    <w:right w:val="single" w:color="auto" w:sz="4" w:space="0"/>
                  </w:tcBorders>
                  <w:shd w:val="clear" w:color="auto" w:fill="FFFFFF"/>
                  <w:vAlign w:val="center"/>
                </w:tcPr>
                <w:p w14:paraId="24ECC345">
                  <w:pPr>
                    <w:widowControl/>
                    <w:contextualSpacing/>
                    <w:jc w:val="center"/>
                    <w:rPr>
                      <w:bCs/>
                      <w:color w:val="auto"/>
                      <w:sz w:val="18"/>
                      <w:szCs w:val="18"/>
                      <w14:ligatures w14:val="standardContextual"/>
                    </w:rPr>
                  </w:pPr>
                </w:p>
              </w:tc>
              <w:tc>
                <w:tcPr>
                  <w:tcW w:w="1114" w:type="pct"/>
                  <w:tcBorders>
                    <w:top w:val="single" w:color="auto" w:sz="4" w:space="0"/>
                    <w:left w:val="single" w:color="auto" w:sz="4" w:space="0"/>
                    <w:bottom w:val="single" w:color="auto" w:sz="4" w:space="0"/>
                    <w:right w:val="single" w:color="auto" w:sz="4" w:space="0"/>
                  </w:tcBorders>
                  <w:shd w:val="clear" w:color="auto" w:fill="FFFFFF"/>
                  <w:vAlign w:val="center"/>
                </w:tcPr>
                <w:p w14:paraId="2A0C0343">
                  <w:pPr>
                    <w:widowControl/>
                    <w:contextualSpacing/>
                    <w:jc w:val="center"/>
                    <w:rPr>
                      <w:bCs/>
                      <w:color w:val="auto"/>
                      <w:sz w:val="18"/>
                      <w:szCs w:val="18"/>
                      <w14:ligatures w14:val="standardContextual"/>
                    </w:rPr>
                  </w:pPr>
                </w:p>
              </w:tc>
              <w:tc>
                <w:tcPr>
                  <w:tcW w:w="619" w:type="pct"/>
                  <w:tcBorders>
                    <w:top w:val="single" w:color="auto" w:sz="4" w:space="0"/>
                    <w:left w:val="single" w:color="auto" w:sz="4" w:space="0"/>
                    <w:bottom w:val="single" w:color="auto" w:sz="4" w:space="0"/>
                    <w:right w:val="single" w:color="auto" w:sz="4" w:space="0"/>
                  </w:tcBorders>
                  <w:shd w:val="clear" w:color="auto" w:fill="FFFFFF"/>
                  <w:vAlign w:val="center"/>
                </w:tcPr>
                <w:p w14:paraId="29E5E8F9">
                  <w:pPr>
                    <w:widowControl/>
                    <w:contextualSpacing/>
                    <w:jc w:val="center"/>
                    <w:rPr>
                      <w:bCs/>
                      <w:color w:val="auto"/>
                      <w:sz w:val="18"/>
                      <w:szCs w:val="18"/>
                      <w14:ligatures w14:val="standardContextual"/>
                    </w:rPr>
                  </w:pPr>
                </w:p>
              </w:tc>
              <w:tc>
                <w:tcPr>
                  <w:tcW w:w="619" w:type="pct"/>
                  <w:tcBorders>
                    <w:top w:val="single" w:color="auto" w:sz="4" w:space="0"/>
                    <w:left w:val="single" w:color="auto" w:sz="4" w:space="0"/>
                    <w:bottom w:val="single" w:color="auto" w:sz="4" w:space="0"/>
                    <w:right w:val="single" w:color="auto" w:sz="4" w:space="0"/>
                  </w:tcBorders>
                  <w:shd w:val="clear" w:color="auto" w:fill="FFFFFF"/>
                  <w:vAlign w:val="center"/>
                </w:tcPr>
                <w:p w14:paraId="742764CE">
                  <w:pPr>
                    <w:widowControl/>
                    <w:contextualSpacing/>
                    <w:jc w:val="center"/>
                    <w:rPr>
                      <w:bCs/>
                      <w:color w:val="auto"/>
                      <w:sz w:val="18"/>
                      <w:szCs w:val="18"/>
                      <w14:ligatures w14:val="standardContextual"/>
                    </w:rPr>
                  </w:pPr>
                </w:p>
              </w:tc>
              <w:tc>
                <w:tcPr>
                  <w:tcW w:w="758" w:type="pct"/>
                  <w:tcBorders>
                    <w:top w:val="single" w:color="auto" w:sz="4" w:space="0"/>
                    <w:left w:val="single" w:color="auto" w:sz="4" w:space="0"/>
                    <w:bottom w:val="single" w:color="auto" w:sz="4" w:space="0"/>
                    <w:right w:val="single" w:color="auto" w:sz="4" w:space="0"/>
                  </w:tcBorders>
                  <w:shd w:val="clear" w:color="auto" w:fill="FFFFFF"/>
                  <w:vAlign w:val="center"/>
                </w:tcPr>
                <w:p w14:paraId="26533690">
                  <w:pPr>
                    <w:widowControl/>
                    <w:contextualSpacing/>
                    <w:jc w:val="center"/>
                    <w:rPr>
                      <w:bCs/>
                      <w:color w:val="auto"/>
                      <w:sz w:val="18"/>
                      <w:szCs w:val="18"/>
                      <w14:ligatures w14:val="standardContextual"/>
                    </w:rPr>
                  </w:pPr>
                </w:p>
              </w:tc>
              <w:tc>
                <w:tcPr>
                  <w:tcW w:w="481" w:type="pct"/>
                  <w:tcBorders>
                    <w:top w:val="single" w:color="auto" w:sz="4" w:space="0"/>
                    <w:left w:val="single" w:color="auto" w:sz="4" w:space="0"/>
                    <w:bottom w:val="single" w:color="auto" w:sz="4" w:space="0"/>
                    <w:right w:val="single" w:color="auto" w:sz="4" w:space="0"/>
                  </w:tcBorders>
                  <w:shd w:val="clear" w:color="auto" w:fill="FFFFFF"/>
                  <w:vAlign w:val="center"/>
                </w:tcPr>
                <w:p w14:paraId="6160F260">
                  <w:pPr>
                    <w:widowControl/>
                    <w:contextualSpacing/>
                    <w:jc w:val="center"/>
                    <w:rPr>
                      <w:bCs/>
                      <w:color w:val="auto"/>
                      <w:sz w:val="18"/>
                      <w:szCs w:val="18"/>
                      <w14:ligatures w14:val="standardContextual"/>
                    </w:rPr>
                  </w:pPr>
                </w:p>
              </w:tc>
              <w:tc>
                <w:tcPr>
                  <w:tcW w:w="1113" w:type="pct"/>
                  <w:vMerge w:val="continue"/>
                  <w:tcBorders>
                    <w:top w:val="single" w:color="auto" w:sz="4" w:space="0"/>
                    <w:left w:val="single" w:color="auto" w:sz="4" w:space="0"/>
                    <w:bottom w:val="single" w:color="auto" w:sz="4" w:space="0"/>
                    <w:right w:val="nil"/>
                  </w:tcBorders>
                  <w:shd w:val="clear" w:color="auto" w:fill="FFFFFF"/>
                  <w:vAlign w:val="center"/>
                </w:tcPr>
                <w:p w14:paraId="5F3F3254">
                  <w:pPr>
                    <w:widowControl/>
                    <w:contextualSpacing/>
                    <w:jc w:val="center"/>
                    <w:rPr>
                      <w:bCs/>
                      <w:color w:val="auto"/>
                      <w:sz w:val="18"/>
                      <w:szCs w:val="18"/>
                      <w14:ligatures w14:val="standardContextual"/>
                    </w:rPr>
                  </w:pPr>
                </w:p>
              </w:tc>
            </w:tr>
            <w:tr w14:paraId="1F88F4A1">
              <w:tblPrEx>
                <w:tblCellMar>
                  <w:top w:w="0" w:type="dxa"/>
                  <w:left w:w="108" w:type="dxa"/>
                  <w:bottom w:w="0" w:type="dxa"/>
                  <w:right w:w="108" w:type="dxa"/>
                </w:tblCellMar>
              </w:tblPrEx>
              <w:trPr>
                <w:trHeight w:val="57" w:hRule="atLeast"/>
              </w:trPr>
              <w:tc>
                <w:tcPr>
                  <w:tcW w:w="293" w:type="pct"/>
                  <w:tcBorders>
                    <w:top w:val="single" w:color="auto" w:sz="4" w:space="0"/>
                    <w:left w:val="nil"/>
                    <w:bottom w:val="single" w:color="auto" w:sz="4" w:space="0"/>
                    <w:right w:val="single" w:color="auto" w:sz="4" w:space="0"/>
                  </w:tcBorders>
                  <w:shd w:val="clear" w:color="auto" w:fill="FFFFFF"/>
                  <w:vAlign w:val="center"/>
                </w:tcPr>
                <w:p w14:paraId="782A2A9B">
                  <w:pPr>
                    <w:widowControl/>
                    <w:contextualSpacing/>
                    <w:jc w:val="center"/>
                    <w:rPr>
                      <w:bCs/>
                      <w:color w:val="auto"/>
                      <w:sz w:val="18"/>
                      <w:szCs w:val="18"/>
                      <w14:ligatures w14:val="standardContextual"/>
                    </w:rPr>
                  </w:pPr>
                </w:p>
              </w:tc>
              <w:tc>
                <w:tcPr>
                  <w:tcW w:w="1114" w:type="pct"/>
                  <w:tcBorders>
                    <w:top w:val="single" w:color="auto" w:sz="4" w:space="0"/>
                    <w:left w:val="single" w:color="auto" w:sz="4" w:space="0"/>
                    <w:bottom w:val="single" w:color="auto" w:sz="4" w:space="0"/>
                    <w:right w:val="single" w:color="auto" w:sz="4" w:space="0"/>
                  </w:tcBorders>
                  <w:shd w:val="clear" w:color="auto" w:fill="FFFFFF"/>
                  <w:vAlign w:val="center"/>
                </w:tcPr>
                <w:p w14:paraId="04B1849B">
                  <w:pPr>
                    <w:widowControl/>
                    <w:contextualSpacing/>
                    <w:jc w:val="center"/>
                    <w:rPr>
                      <w:bCs/>
                      <w:color w:val="auto"/>
                      <w:sz w:val="18"/>
                      <w:szCs w:val="18"/>
                      <w14:ligatures w14:val="standardContextual"/>
                    </w:rPr>
                  </w:pPr>
                </w:p>
              </w:tc>
              <w:tc>
                <w:tcPr>
                  <w:tcW w:w="619" w:type="pct"/>
                  <w:tcBorders>
                    <w:top w:val="single" w:color="auto" w:sz="4" w:space="0"/>
                    <w:left w:val="single" w:color="auto" w:sz="4" w:space="0"/>
                    <w:bottom w:val="single" w:color="auto" w:sz="4" w:space="0"/>
                    <w:right w:val="single" w:color="auto" w:sz="4" w:space="0"/>
                  </w:tcBorders>
                  <w:shd w:val="clear" w:color="auto" w:fill="FFFFFF"/>
                  <w:vAlign w:val="center"/>
                </w:tcPr>
                <w:p w14:paraId="2938F15F">
                  <w:pPr>
                    <w:widowControl/>
                    <w:contextualSpacing/>
                    <w:jc w:val="center"/>
                    <w:rPr>
                      <w:bCs/>
                      <w:color w:val="auto"/>
                      <w:sz w:val="18"/>
                      <w:szCs w:val="18"/>
                      <w14:ligatures w14:val="standardContextual"/>
                    </w:rPr>
                  </w:pPr>
                </w:p>
              </w:tc>
              <w:tc>
                <w:tcPr>
                  <w:tcW w:w="619" w:type="pct"/>
                  <w:tcBorders>
                    <w:top w:val="single" w:color="auto" w:sz="4" w:space="0"/>
                    <w:left w:val="single" w:color="auto" w:sz="4" w:space="0"/>
                    <w:bottom w:val="single" w:color="auto" w:sz="4" w:space="0"/>
                    <w:right w:val="single" w:color="auto" w:sz="4" w:space="0"/>
                  </w:tcBorders>
                  <w:shd w:val="clear" w:color="auto" w:fill="FFFFFF"/>
                  <w:vAlign w:val="center"/>
                </w:tcPr>
                <w:p w14:paraId="089092CC">
                  <w:pPr>
                    <w:widowControl/>
                    <w:contextualSpacing/>
                    <w:jc w:val="center"/>
                    <w:rPr>
                      <w:bCs/>
                      <w:color w:val="auto"/>
                      <w:sz w:val="18"/>
                      <w:szCs w:val="18"/>
                      <w14:ligatures w14:val="standardContextual"/>
                    </w:rPr>
                  </w:pPr>
                </w:p>
              </w:tc>
              <w:tc>
                <w:tcPr>
                  <w:tcW w:w="758" w:type="pct"/>
                  <w:tcBorders>
                    <w:top w:val="single" w:color="auto" w:sz="4" w:space="0"/>
                    <w:left w:val="single" w:color="auto" w:sz="4" w:space="0"/>
                    <w:bottom w:val="single" w:color="auto" w:sz="4" w:space="0"/>
                    <w:right w:val="single" w:color="auto" w:sz="4" w:space="0"/>
                  </w:tcBorders>
                  <w:shd w:val="clear" w:color="auto" w:fill="FFFFFF"/>
                  <w:vAlign w:val="center"/>
                </w:tcPr>
                <w:p w14:paraId="2D5C41F3">
                  <w:pPr>
                    <w:pStyle w:val="108"/>
                    <w:jc w:val="center"/>
                    <w:rPr>
                      <w:rFonts w:ascii="Times New Roman" w:hAnsi="Times New Roman" w:cs="Times New Roman"/>
                      <w:bCs/>
                      <w:color w:val="auto"/>
                      <w:kern w:val="2"/>
                      <w:sz w:val="18"/>
                      <w:szCs w:val="18"/>
                      <w14:ligatures w14:val="standardContextual"/>
                    </w:rPr>
                  </w:pPr>
                </w:p>
              </w:tc>
              <w:tc>
                <w:tcPr>
                  <w:tcW w:w="481" w:type="pct"/>
                  <w:tcBorders>
                    <w:top w:val="single" w:color="auto" w:sz="4" w:space="0"/>
                    <w:left w:val="single" w:color="auto" w:sz="4" w:space="0"/>
                    <w:bottom w:val="single" w:color="auto" w:sz="4" w:space="0"/>
                    <w:right w:val="single" w:color="auto" w:sz="4" w:space="0"/>
                  </w:tcBorders>
                  <w:shd w:val="clear" w:color="auto" w:fill="FFFFFF"/>
                  <w:vAlign w:val="center"/>
                </w:tcPr>
                <w:p w14:paraId="475AD6B4">
                  <w:pPr>
                    <w:widowControl/>
                    <w:contextualSpacing/>
                    <w:jc w:val="center"/>
                    <w:rPr>
                      <w:bCs/>
                      <w:color w:val="auto"/>
                      <w:sz w:val="18"/>
                      <w:szCs w:val="18"/>
                      <w14:ligatures w14:val="standardContextual"/>
                    </w:rPr>
                  </w:pPr>
                </w:p>
              </w:tc>
              <w:tc>
                <w:tcPr>
                  <w:tcW w:w="1113" w:type="pct"/>
                  <w:tcBorders>
                    <w:top w:val="single" w:color="auto" w:sz="4" w:space="0"/>
                    <w:left w:val="single" w:color="auto" w:sz="4" w:space="0"/>
                    <w:bottom w:val="single" w:color="auto" w:sz="4" w:space="0"/>
                    <w:right w:val="nil"/>
                  </w:tcBorders>
                  <w:shd w:val="clear" w:color="auto" w:fill="FFFFFF"/>
                  <w:vAlign w:val="center"/>
                </w:tcPr>
                <w:p w14:paraId="02EB7F8D">
                  <w:pPr>
                    <w:widowControl/>
                    <w:contextualSpacing/>
                    <w:jc w:val="center"/>
                    <w:rPr>
                      <w:bCs/>
                      <w:color w:val="auto"/>
                      <w:sz w:val="18"/>
                      <w:szCs w:val="18"/>
                      <w14:ligatures w14:val="standardContextual"/>
                    </w:rPr>
                  </w:pPr>
                </w:p>
              </w:tc>
            </w:tr>
            <w:tr w14:paraId="54B685E8">
              <w:tblPrEx>
                <w:tblCellMar>
                  <w:top w:w="0" w:type="dxa"/>
                  <w:left w:w="108" w:type="dxa"/>
                  <w:bottom w:w="0" w:type="dxa"/>
                  <w:right w:w="108" w:type="dxa"/>
                </w:tblCellMar>
              </w:tblPrEx>
              <w:trPr>
                <w:trHeight w:val="57" w:hRule="atLeast"/>
              </w:trPr>
              <w:tc>
                <w:tcPr>
                  <w:tcW w:w="293" w:type="pct"/>
                  <w:tcBorders>
                    <w:top w:val="single" w:color="auto" w:sz="4" w:space="0"/>
                    <w:left w:val="nil"/>
                    <w:bottom w:val="single" w:color="auto" w:sz="4" w:space="0"/>
                    <w:right w:val="single" w:color="auto" w:sz="4" w:space="0"/>
                  </w:tcBorders>
                  <w:shd w:val="clear" w:color="auto" w:fill="FFFFFF"/>
                  <w:vAlign w:val="center"/>
                </w:tcPr>
                <w:p w14:paraId="641D8501">
                  <w:pPr>
                    <w:widowControl/>
                    <w:contextualSpacing/>
                    <w:jc w:val="center"/>
                    <w:rPr>
                      <w:bCs/>
                      <w:color w:val="auto"/>
                      <w:sz w:val="18"/>
                      <w:szCs w:val="18"/>
                      <w14:ligatures w14:val="standardContextual"/>
                    </w:rPr>
                  </w:pPr>
                </w:p>
              </w:tc>
              <w:tc>
                <w:tcPr>
                  <w:tcW w:w="1114" w:type="pct"/>
                  <w:tcBorders>
                    <w:top w:val="single" w:color="auto" w:sz="4" w:space="0"/>
                    <w:left w:val="single" w:color="auto" w:sz="4" w:space="0"/>
                    <w:bottom w:val="single" w:color="auto" w:sz="4" w:space="0"/>
                    <w:right w:val="single" w:color="auto" w:sz="4" w:space="0"/>
                  </w:tcBorders>
                  <w:shd w:val="clear" w:color="auto" w:fill="FFFFFF"/>
                  <w:vAlign w:val="center"/>
                </w:tcPr>
                <w:p w14:paraId="5B8450E7">
                  <w:pPr>
                    <w:widowControl/>
                    <w:contextualSpacing/>
                    <w:jc w:val="center"/>
                    <w:rPr>
                      <w:bCs/>
                      <w:color w:val="auto"/>
                      <w:sz w:val="18"/>
                      <w:szCs w:val="18"/>
                      <w14:ligatures w14:val="standardContextual"/>
                    </w:rPr>
                  </w:pPr>
                </w:p>
              </w:tc>
              <w:tc>
                <w:tcPr>
                  <w:tcW w:w="619" w:type="pct"/>
                  <w:tcBorders>
                    <w:top w:val="single" w:color="auto" w:sz="4" w:space="0"/>
                    <w:left w:val="single" w:color="auto" w:sz="4" w:space="0"/>
                    <w:bottom w:val="single" w:color="auto" w:sz="4" w:space="0"/>
                    <w:right w:val="single" w:color="auto" w:sz="4" w:space="0"/>
                  </w:tcBorders>
                  <w:shd w:val="clear" w:color="auto" w:fill="FFFFFF"/>
                  <w:vAlign w:val="center"/>
                </w:tcPr>
                <w:p w14:paraId="7E208A14">
                  <w:pPr>
                    <w:widowControl/>
                    <w:contextualSpacing/>
                    <w:jc w:val="center"/>
                    <w:rPr>
                      <w:bCs/>
                      <w:color w:val="auto"/>
                      <w:sz w:val="18"/>
                      <w:szCs w:val="18"/>
                      <w14:ligatures w14:val="standardContextual"/>
                    </w:rPr>
                  </w:pPr>
                </w:p>
              </w:tc>
              <w:tc>
                <w:tcPr>
                  <w:tcW w:w="619" w:type="pct"/>
                  <w:tcBorders>
                    <w:top w:val="single" w:color="auto" w:sz="4" w:space="0"/>
                    <w:left w:val="single" w:color="auto" w:sz="4" w:space="0"/>
                    <w:bottom w:val="single" w:color="auto" w:sz="4" w:space="0"/>
                    <w:right w:val="single" w:color="auto" w:sz="4" w:space="0"/>
                  </w:tcBorders>
                  <w:vAlign w:val="center"/>
                </w:tcPr>
                <w:p w14:paraId="415E0B24">
                  <w:pPr>
                    <w:widowControl/>
                    <w:contextualSpacing/>
                    <w:jc w:val="center"/>
                    <w:rPr>
                      <w:bCs/>
                      <w:color w:val="auto"/>
                      <w:sz w:val="18"/>
                      <w:szCs w:val="18"/>
                      <w14:ligatures w14:val="standardContextual"/>
                    </w:rPr>
                  </w:pPr>
                </w:p>
              </w:tc>
              <w:tc>
                <w:tcPr>
                  <w:tcW w:w="758" w:type="pct"/>
                  <w:tcBorders>
                    <w:top w:val="single" w:color="auto" w:sz="4" w:space="0"/>
                    <w:left w:val="single" w:color="auto" w:sz="4" w:space="0"/>
                    <w:bottom w:val="single" w:color="auto" w:sz="4" w:space="0"/>
                    <w:right w:val="single" w:color="auto" w:sz="4" w:space="0"/>
                  </w:tcBorders>
                  <w:vAlign w:val="center"/>
                </w:tcPr>
                <w:p w14:paraId="4FDE30E1">
                  <w:pPr>
                    <w:widowControl/>
                    <w:contextualSpacing/>
                    <w:jc w:val="center"/>
                    <w:rPr>
                      <w:bCs/>
                      <w:color w:val="auto"/>
                      <w:sz w:val="18"/>
                      <w:szCs w:val="18"/>
                      <w14:ligatures w14:val="standardContextual"/>
                    </w:rPr>
                  </w:pPr>
                </w:p>
              </w:tc>
              <w:tc>
                <w:tcPr>
                  <w:tcW w:w="481" w:type="pct"/>
                  <w:tcBorders>
                    <w:top w:val="single" w:color="auto" w:sz="4" w:space="0"/>
                    <w:left w:val="single" w:color="auto" w:sz="4" w:space="0"/>
                    <w:bottom w:val="single" w:color="auto" w:sz="4" w:space="0"/>
                    <w:right w:val="single" w:color="auto" w:sz="4" w:space="0"/>
                  </w:tcBorders>
                  <w:shd w:val="clear" w:color="auto" w:fill="FFFFFF"/>
                  <w:vAlign w:val="center"/>
                </w:tcPr>
                <w:p w14:paraId="1A06088C">
                  <w:pPr>
                    <w:widowControl/>
                    <w:contextualSpacing/>
                    <w:jc w:val="center"/>
                    <w:rPr>
                      <w:bCs/>
                      <w:color w:val="auto"/>
                      <w:sz w:val="18"/>
                      <w:szCs w:val="18"/>
                      <w14:ligatures w14:val="standardContextual"/>
                    </w:rPr>
                  </w:pPr>
                </w:p>
              </w:tc>
              <w:tc>
                <w:tcPr>
                  <w:tcW w:w="1113" w:type="pct"/>
                  <w:vMerge w:val="restart"/>
                  <w:tcBorders>
                    <w:top w:val="single" w:color="auto" w:sz="4" w:space="0"/>
                    <w:left w:val="single" w:color="auto" w:sz="4" w:space="0"/>
                    <w:bottom w:val="single" w:color="auto" w:sz="4" w:space="0"/>
                    <w:right w:val="nil"/>
                  </w:tcBorders>
                  <w:shd w:val="clear" w:color="auto" w:fill="FFFFFF"/>
                  <w:vAlign w:val="center"/>
                </w:tcPr>
                <w:p w14:paraId="7482B068">
                  <w:pPr>
                    <w:widowControl/>
                    <w:contextualSpacing/>
                    <w:jc w:val="center"/>
                    <w:rPr>
                      <w:bCs/>
                      <w:color w:val="auto"/>
                      <w:sz w:val="18"/>
                      <w:szCs w:val="18"/>
                      <w14:ligatures w14:val="standardContextual"/>
                    </w:rPr>
                  </w:pPr>
                </w:p>
              </w:tc>
            </w:tr>
            <w:tr w14:paraId="5D0CA1C5">
              <w:tblPrEx>
                <w:tblCellMar>
                  <w:top w:w="0" w:type="dxa"/>
                  <w:left w:w="108" w:type="dxa"/>
                  <w:bottom w:w="0" w:type="dxa"/>
                  <w:right w:w="108" w:type="dxa"/>
                </w:tblCellMar>
              </w:tblPrEx>
              <w:trPr>
                <w:trHeight w:val="57" w:hRule="atLeast"/>
              </w:trPr>
              <w:tc>
                <w:tcPr>
                  <w:tcW w:w="293" w:type="pct"/>
                  <w:tcBorders>
                    <w:top w:val="single" w:color="auto" w:sz="4" w:space="0"/>
                    <w:left w:val="nil"/>
                    <w:bottom w:val="single" w:color="auto" w:sz="4" w:space="0"/>
                    <w:right w:val="single" w:color="auto" w:sz="4" w:space="0"/>
                  </w:tcBorders>
                  <w:shd w:val="clear" w:color="auto" w:fill="FFFFFF"/>
                  <w:vAlign w:val="center"/>
                </w:tcPr>
                <w:p w14:paraId="793C067F">
                  <w:pPr>
                    <w:widowControl/>
                    <w:contextualSpacing/>
                    <w:jc w:val="center"/>
                    <w:rPr>
                      <w:bCs/>
                      <w:color w:val="auto"/>
                      <w:sz w:val="18"/>
                      <w:szCs w:val="18"/>
                      <w14:ligatures w14:val="standardContextual"/>
                    </w:rPr>
                  </w:pPr>
                </w:p>
              </w:tc>
              <w:tc>
                <w:tcPr>
                  <w:tcW w:w="1114" w:type="pct"/>
                  <w:tcBorders>
                    <w:top w:val="single" w:color="auto" w:sz="4" w:space="0"/>
                    <w:left w:val="single" w:color="auto" w:sz="4" w:space="0"/>
                    <w:bottom w:val="single" w:color="auto" w:sz="4" w:space="0"/>
                    <w:right w:val="single" w:color="auto" w:sz="4" w:space="0"/>
                  </w:tcBorders>
                  <w:shd w:val="clear" w:color="auto" w:fill="FFFFFF"/>
                  <w:vAlign w:val="center"/>
                </w:tcPr>
                <w:p w14:paraId="0ED22196">
                  <w:pPr>
                    <w:widowControl/>
                    <w:contextualSpacing/>
                    <w:jc w:val="center"/>
                    <w:rPr>
                      <w:bCs/>
                      <w:color w:val="auto"/>
                      <w:sz w:val="18"/>
                      <w:szCs w:val="18"/>
                      <w14:ligatures w14:val="standardContextual"/>
                    </w:rPr>
                  </w:pPr>
                </w:p>
              </w:tc>
              <w:tc>
                <w:tcPr>
                  <w:tcW w:w="619" w:type="pct"/>
                  <w:tcBorders>
                    <w:top w:val="single" w:color="auto" w:sz="4" w:space="0"/>
                    <w:left w:val="single" w:color="auto" w:sz="4" w:space="0"/>
                    <w:bottom w:val="single" w:color="auto" w:sz="4" w:space="0"/>
                    <w:right w:val="single" w:color="auto" w:sz="4" w:space="0"/>
                  </w:tcBorders>
                  <w:shd w:val="clear" w:color="auto" w:fill="FFFFFF"/>
                  <w:vAlign w:val="center"/>
                </w:tcPr>
                <w:p w14:paraId="2E5F3D40">
                  <w:pPr>
                    <w:widowControl/>
                    <w:contextualSpacing/>
                    <w:jc w:val="center"/>
                    <w:rPr>
                      <w:bCs/>
                      <w:color w:val="auto"/>
                      <w:sz w:val="18"/>
                      <w:szCs w:val="18"/>
                      <w14:ligatures w14:val="standardContextual"/>
                    </w:rPr>
                  </w:pPr>
                </w:p>
              </w:tc>
              <w:tc>
                <w:tcPr>
                  <w:tcW w:w="619" w:type="pct"/>
                  <w:tcBorders>
                    <w:top w:val="single" w:color="auto" w:sz="4" w:space="0"/>
                    <w:left w:val="single" w:color="auto" w:sz="4" w:space="0"/>
                    <w:bottom w:val="single" w:color="auto" w:sz="4" w:space="0"/>
                    <w:right w:val="single" w:color="auto" w:sz="4" w:space="0"/>
                  </w:tcBorders>
                  <w:shd w:val="clear" w:color="auto" w:fill="FFFFFF"/>
                  <w:vAlign w:val="center"/>
                </w:tcPr>
                <w:p w14:paraId="16BD9E37">
                  <w:pPr>
                    <w:widowControl/>
                    <w:contextualSpacing/>
                    <w:jc w:val="center"/>
                    <w:rPr>
                      <w:bCs/>
                      <w:color w:val="auto"/>
                      <w:sz w:val="18"/>
                      <w:szCs w:val="18"/>
                      <w14:ligatures w14:val="standardContextual"/>
                    </w:rPr>
                  </w:pPr>
                </w:p>
              </w:tc>
              <w:tc>
                <w:tcPr>
                  <w:tcW w:w="758" w:type="pct"/>
                  <w:tcBorders>
                    <w:top w:val="single" w:color="auto" w:sz="4" w:space="0"/>
                    <w:left w:val="single" w:color="auto" w:sz="4" w:space="0"/>
                    <w:bottom w:val="single" w:color="auto" w:sz="4" w:space="0"/>
                    <w:right w:val="single" w:color="auto" w:sz="4" w:space="0"/>
                  </w:tcBorders>
                  <w:shd w:val="clear" w:color="auto" w:fill="FFFFFF"/>
                  <w:vAlign w:val="center"/>
                </w:tcPr>
                <w:p w14:paraId="036B4EEB">
                  <w:pPr>
                    <w:widowControl/>
                    <w:contextualSpacing/>
                    <w:jc w:val="center"/>
                    <w:rPr>
                      <w:bCs/>
                      <w:color w:val="auto"/>
                      <w:sz w:val="18"/>
                      <w:szCs w:val="18"/>
                      <w14:ligatures w14:val="standardContextual"/>
                    </w:rPr>
                  </w:pPr>
                </w:p>
              </w:tc>
              <w:tc>
                <w:tcPr>
                  <w:tcW w:w="481" w:type="pct"/>
                  <w:tcBorders>
                    <w:top w:val="single" w:color="auto" w:sz="4" w:space="0"/>
                    <w:left w:val="single" w:color="auto" w:sz="4" w:space="0"/>
                    <w:bottom w:val="single" w:color="auto" w:sz="4" w:space="0"/>
                    <w:right w:val="single" w:color="auto" w:sz="4" w:space="0"/>
                  </w:tcBorders>
                  <w:shd w:val="clear" w:color="auto" w:fill="FFFFFF"/>
                  <w:vAlign w:val="center"/>
                </w:tcPr>
                <w:p w14:paraId="46BF43EB">
                  <w:pPr>
                    <w:widowControl/>
                    <w:contextualSpacing/>
                    <w:jc w:val="center"/>
                    <w:rPr>
                      <w:bCs/>
                      <w:color w:val="auto"/>
                      <w:sz w:val="18"/>
                      <w:szCs w:val="18"/>
                      <w14:ligatures w14:val="standardContextual"/>
                    </w:rPr>
                  </w:pPr>
                </w:p>
              </w:tc>
              <w:tc>
                <w:tcPr>
                  <w:tcW w:w="1113" w:type="pct"/>
                  <w:vMerge w:val="continue"/>
                  <w:tcBorders>
                    <w:top w:val="single" w:color="auto" w:sz="4" w:space="0"/>
                    <w:left w:val="single" w:color="auto" w:sz="4" w:space="0"/>
                    <w:bottom w:val="single" w:color="auto" w:sz="4" w:space="0"/>
                    <w:right w:val="nil"/>
                  </w:tcBorders>
                  <w:shd w:val="clear" w:color="auto" w:fill="FFFFFF"/>
                  <w:vAlign w:val="center"/>
                </w:tcPr>
                <w:p w14:paraId="329D7134">
                  <w:pPr>
                    <w:widowControl/>
                    <w:contextualSpacing/>
                    <w:jc w:val="center"/>
                    <w:rPr>
                      <w:bCs/>
                      <w:color w:val="auto"/>
                      <w:sz w:val="18"/>
                      <w:szCs w:val="18"/>
                      <w14:ligatures w14:val="standardContextual"/>
                    </w:rPr>
                  </w:pPr>
                </w:p>
              </w:tc>
            </w:tr>
            <w:tr w14:paraId="52B42017">
              <w:tblPrEx>
                <w:tblCellMar>
                  <w:top w:w="0" w:type="dxa"/>
                  <w:left w:w="108" w:type="dxa"/>
                  <w:bottom w:w="0" w:type="dxa"/>
                  <w:right w:w="108" w:type="dxa"/>
                </w:tblCellMar>
              </w:tblPrEx>
              <w:trPr>
                <w:trHeight w:val="57" w:hRule="atLeast"/>
              </w:trPr>
              <w:tc>
                <w:tcPr>
                  <w:tcW w:w="293" w:type="pct"/>
                  <w:tcBorders>
                    <w:top w:val="single" w:color="auto" w:sz="4" w:space="0"/>
                    <w:left w:val="nil"/>
                    <w:bottom w:val="single" w:color="auto" w:sz="4" w:space="0"/>
                    <w:right w:val="single" w:color="auto" w:sz="4" w:space="0"/>
                  </w:tcBorders>
                  <w:shd w:val="clear" w:color="auto" w:fill="FFFFFF"/>
                  <w:vAlign w:val="center"/>
                </w:tcPr>
                <w:p w14:paraId="48A6E027">
                  <w:pPr>
                    <w:widowControl/>
                    <w:contextualSpacing/>
                    <w:jc w:val="center"/>
                    <w:rPr>
                      <w:bCs/>
                      <w:color w:val="auto"/>
                      <w:sz w:val="18"/>
                      <w:szCs w:val="18"/>
                      <w14:ligatures w14:val="standardContextual"/>
                    </w:rPr>
                  </w:pPr>
                </w:p>
              </w:tc>
              <w:tc>
                <w:tcPr>
                  <w:tcW w:w="1114" w:type="pct"/>
                  <w:tcBorders>
                    <w:top w:val="single" w:color="auto" w:sz="4" w:space="0"/>
                    <w:left w:val="single" w:color="auto" w:sz="4" w:space="0"/>
                    <w:bottom w:val="single" w:color="auto" w:sz="4" w:space="0"/>
                    <w:right w:val="single" w:color="auto" w:sz="4" w:space="0"/>
                  </w:tcBorders>
                  <w:shd w:val="clear" w:color="auto" w:fill="FFFFFF"/>
                  <w:vAlign w:val="center"/>
                </w:tcPr>
                <w:p w14:paraId="44F20CFD">
                  <w:pPr>
                    <w:widowControl/>
                    <w:contextualSpacing/>
                    <w:jc w:val="center"/>
                    <w:rPr>
                      <w:bCs/>
                      <w:color w:val="auto"/>
                      <w:sz w:val="18"/>
                      <w:szCs w:val="18"/>
                      <w14:ligatures w14:val="standardContextual"/>
                    </w:rPr>
                  </w:pPr>
                </w:p>
              </w:tc>
              <w:tc>
                <w:tcPr>
                  <w:tcW w:w="619" w:type="pct"/>
                  <w:tcBorders>
                    <w:top w:val="single" w:color="auto" w:sz="4" w:space="0"/>
                    <w:left w:val="single" w:color="auto" w:sz="4" w:space="0"/>
                    <w:bottom w:val="single" w:color="auto" w:sz="4" w:space="0"/>
                    <w:right w:val="single" w:color="auto" w:sz="4" w:space="0"/>
                  </w:tcBorders>
                  <w:shd w:val="clear" w:color="auto" w:fill="FFFFFF"/>
                  <w:vAlign w:val="center"/>
                </w:tcPr>
                <w:p w14:paraId="14E91111">
                  <w:pPr>
                    <w:widowControl/>
                    <w:contextualSpacing/>
                    <w:jc w:val="center"/>
                    <w:rPr>
                      <w:bCs/>
                      <w:color w:val="auto"/>
                      <w:sz w:val="18"/>
                      <w:szCs w:val="18"/>
                      <w14:ligatures w14:val="standardContextual"/>
                    </w:rPr>
                  </w:pPr>
                </w:p>
              </w:tc>
              <w:tc>
                <w:tcPr>
                  <w:tcW w:w="619" w:type="pct"/>
                  <w:tcBorders>
                    <w:top w:val="single" w:color="auto" w:sz="4" w:space="0"/>
                    <w:left w:val="single" w:color="auto" w:sz="4" w:space="0"/>
                    <w:bottom w:val="single" w:color="auto" w:sz="4" w:space="0"/>
                    <w:right w:val="single" w:color="auto" w:sz="4" w:space="0"/>
                  </w:tcBorders>
                  <w:shd w:val="clear" w:color="auto" w:fill="FFFFFF"/>
                  <w:vAlign w:val="center"/>
                </w:tcPr>
                <w:p w14:paraId="4C4073C5">
                  <w:pPr>
                    <w:widowControl/>
                    <w:contextualSpacing/>
                    <w:jc w:val="center"/>
                    <w:rPr>
                      <w:bCs/>
                      <w:color w:val="auto"/>
                      <w:sz w:val="18"/>
                      <w:szCs w:val="18"/>
                      <w14:ligatures w14:val="standardContextual"/>
                    </w:rPr>
                  </w:pPr>
                </w:p>
              </w:tc>
              <w:tc>
                <w:tcPr>
                  <w:tcW w:w="758" w:type="pct"/>
                  <w:tcBorders>
                    <w:top w:val="single" w:color="auto" w:sz="4" w:space="0"/>
                    <w:left w:val="single" w:color="auto" w:sz="4" w:space="0"/>
                    <w:bottom w:val="single" w:color="auto" w:sz="4" w:space="0"/>
                    <w:right w:val="single" w:color="auto" w:sz="4" w:space="0"/>
                  </w:tcBorders>
                  <w:shd w:val="clear" w:color="auto" w:fill="FFFFFF"/>
                  <w:vAlign w:val="center"/>
                </w:tcPr>
                <w:p w14:paraId="5FA6280D">
                  <w:pPr>
                    <w:widowControl/>
                    <w:contextualSpacing/>
                    <w:jc w:val="center"/>
                    <w:rPr>
                      <w:bCs/>
                      <w:color w:val="auto"/>
                      <w:sz w:val="18"/>
                      <w:szCs w:val="18"/>
                      <w14:ligatures w14:val="standardContextual"/>
                    </w:rPr>
                  </w:pPr>
                </w:p>
              </w:tc>
              <w:tc>
                <w:tcPr>
                  <w:tcW w:w="481" w:type="pct"/>
                  <w:tcBorders>
                    <w:top w:val="single" w:color="auto" w:sz="4" w:space="0"/>
                    <w:left w:val="single" w:color="auto" w:sz="4" w:space="0"/>
                    <w:bottom w:val="single" w:color="auto" w:sz="4" w:space="0"/>
                    <w:right w:val="single" w:color="auto" w:sz="4" w:space="0"/>
                  </w:tcBorders>
                  <w:shd w:val="clear" w:color="auto" w:fill="FFFFFF"/>
                  <w:vAlign w:val="center"/>
                </w:tcPr>
                <w:p w14:paraId="045B729D">
                  <w:pPr>
                    <w:widowControl/>
                    <w:contextualSpacing/>
                    <w:jc w:val="center"/>
                    <w:rPr>
                      <w:bCs/>
                      <w:color w:val="auto"/>
                      <w:sz w:val="18"/>
                      <w:szCs w:val="18"/>
                      <w14:ligatures w14:val="standardContextual"/>
                    </w:rPr>
                  </w:pPr>
                </w:p>
              </w:tc>
              <w:tc>
                <w:tcPr>
                  <w:tcW w:w="1113" w:type="pct"/>
                  <w:vMerge w:val="continue"/>
                  <w:tcBorders>
                    <w:top w:val="single" w:color="auto" w:sz="4" w:space="0"/>
                    <w:left w:val="single" w:color="auto" w:sz="4" w:space="0"/>
                    <w:bottom w:val="single" w:color="auto" w:sz="4" w:space="0"/>
                    <w:right w:val="nil"/>
                  </w:tcBorders>
                  <w:shd w:val="clear" w:color="auto" w:fill="FFFFFF"/>
                  <w:vAlign w:val="center"/>
                </w:tcPr>
                <w:p w14:paraId="43489620">
                  <w:pPr>
                    <w:widowControl/>
                    <w:contextualSpacing/>
                    <w:jc w:val="center"/>
                    <w:rPr>
                      <w:bCs/>
                      <w:color w:val="auto"/>
                      <w:sz w:val="18"/>
                      <w:szCs w:val="18"/>
                      <w14:ligatures w14:val="standardContextual"/>
                    </w:rPr>
                  </w:pPr>
                </w:p>
              </w:tc>
            </w:tr>
            <w:tr w14:paraId="644C155C">
              <w:tblPrEx>
                <w:tblCellMar>
                  <w:top w:w="0" w:type="dxa"/>
                  <w:left w:w="108" w:type="dxa"/>
                  <w:bottom w:w="0" w:type="dxa"/>
                  <w:right w:w="108" w:type="dxa"/>
                </w:tblCellMar>
              </w:tblPrEx>
              <w:trPr>
                <w:trHeight w:val="57" w:hRule="atLeast"/>
              </w:trPr>
              <w:tc>
                <w:tcPr>
                  <w:tcW w:w="293" w:type="pct"/>
                  <w:tcBorders>
                    <w:top w:val="single" w:color="auto" w:sz="4" w:space="0"/>
                    <w:left w:val="nil"/>
                    <w:bottom w:val="single" w:color="auto" w:sz="4" w:space="0"/>
                    <w:right w:val="single" w:color="auto" w:sz="4" w:space="0"/>
                  </w:tcBorders>
                  <w:shd w:val="clear" w:color="auto" w:fill="FFFFFF"/>
                  <w:vAlign w:val="center"/>
                </w:tcPr>
                <w:p w14:paraId="634003B8">
                  <w:pPr>
                    <w:widowControl/>
                    <w:contextualSpacing/>
                    <w:jc w:val="center"/>
                    <w:rPr>
                      <w:bCs/>
                      <w:color w:val="auto"/>
                      <w:sz w:val="18"/>
                      <w:szCs w:val="18"/>
                      <w14:ligatures w14:val="standardContextual"/>
                    </w:rPr>
                  </w:pPr>
                </w:p>
              </w:tc>
              <w:tc>
                <w:tcPr>
                  <w:tcW w:w="1114" w:type="pct"/>
                  <w:tcBorders>
                    <w:top w:val="single" w:color="auto" w:sz="4" w:space="0"/>
                    <w:left w:val="single" w:color="auto" w:sz="4" w:space="0"/>
                    <w:bottom w:val="single" w:color="auto" w:sz="4" w:space="0"/>
                    <w:right w:val="single" w:color="auto" w:sz="4" w:space="0"/>
                  </w:tcBorders>
                  <w:shd w:val="clear" w:color="auto" w:fill="FFFFFF"/>
                  <w:vAlign w:val="center"/>
                </w:tcPr>
                <w:p w14:paraId="29DBA33B">
                  <w:pPr>
                    <w:widowControl/>
                    <w:contextualSpacing/>
                    <w:jc w:val="center"/>
                    <w:rPr>
                      <w:bCs/>
                      <w:color w:val="auto"/>
                      <w:sz w:val="18"/>
                      <w:szCs w:val="18"/>
                      <w14:ligatures w14:val="standardContextual"/>
                    </w:rPr>
                  </w:pPr>
                </w:p>
              </w:tc>
              <w:tc>
                <w:tcPr>
                  <w:tcW w:w="619" w:type="pct"/>
                  <w:tcBorders>
                    <w:top w:val="single" w:color="auto" w:sz="4" w:space="0"/>
                    <w:left w:val="single" w:color="auto" w:sz="4" w:space="0"/>
                    <w:bottom w:val="single" w:color="auto" w:sz="4" w:space="0"/>
                    <w:right w:val="single" w:color="auto" w:sz="4" w:space="0"/>
                  </w:tcBorders>
                  <w:shd w:val="clear" w:color="auto" w:fill="FFFFFF"/>
                  <w:vAlign w:val="center"/>
                </w:tcPr>
                <w:p w14:paraId="6A11CBCC">
                  <w:pPr>
                    <w:widowControl/>
                    <w:contextualSpacing/>
                    <w:jc w:val="center"/>
                    <w:rPr>
                      <w:bCs/>
                      <w:color w:val="auto"/>
                      <w:sz w:val="18"/>
                      <w:szCs w:val="18"/>
                      <w14:ligatures w14:val="standardContextual"/>
                    </w:rPr>
                  </w:pPr>
                </w:p>
              </w:tc>
              <w:tc>
                <w:tcPr>
                  <w:tcW w:w="619" w:type="pct"/>
                  <w:tcBorders>
                    <w:top w:val="single" w:color="auto" w:sz="4" w:space="0"/>
                    <w:left w:val="single" w:color="auto" w:sz="4" w:space="0"/>
                    <w:bottom w:val="single" w:color="auto" w:sz="4" w:space="0"/>
                    <w:right w:val="single" w:color="auto" w:sz="4" w:space="0"/>
                  </w:tcBorders>
                  <w:shd w:val="clear" w:color="auto" w:fill="FFFFFF"/>
                  <w:vAlign w:val="center"/>
                </w:tcPr>
                <w:p w14:paraId="47C4483F">
                  <w:pPr>
                    <w:widowControl/>
                    <w:contextualSpacing/>
                    <w:jc w:val="center"/>
                    <w:rPr>
                      <w:bCs/>
                      <w:color w:val="auto"/>
                      <w:sz w:val="18"/>
                      <w:szCs w:val="18"/>
                      <w14:ligatures w14:val="standardContextual"/>
                    </w:rPr>
                  </w:pPr>
                </w:p>
              </w:tc>
              <w:tc>
                <w:tcPr>
                  <w:tcW w:w="758" w:type="pct"/>
                  <w:tcBorders>
                    <w:top w:val="single" w:color="auto" w:sz="4" w:space="0"/>
                    <w:left w:val="single" w:color="auto" w:sz="4" w:space="0"/>
                    <w:bottom w:val="single" w:color="auto" w:sz="4" w:space="0"/>
                    <w:right w:val="single" w:color="auto" w:sz="4" w:space="0"/>
                  </w:tcBorders>
                  <w:shd w:val="clear" w:color="auto" w:fill="FFFFFF"/>
                  <w:vAlign w:val="center"/>
                </w:tcPr>
                <w:p w14:paraId="50146B62">
                  <w:pPr>
                    <w:pStyle w:val="108"/>
                    <w:jc w:val="center"/>
                    <w:rPr>
                      <w:rFonts w:ascii="Times New Roman" w:hAnsi="Times New Roman" w:cs="Times New Roman"/>
                      <w:bCs/>
                      <w:color w:val="auto"/>
                      <w:kern w:val="2"/>
                      <w:sz w:val="18"/>
                      <w:szCs w:val="18"/>
                      <w14:ligatures w14:val="standardContextual"/>
                    </w:rPr>
                  </w:pPr>
                </w:p>
              </w:tc>
              <w:tc>
                <w:tcPr>
                  <w:tcW w:w="481" w:type="pct"/>
                  <w:tcBorders>
                    <w:top w:val="single" w:color="auto" w:sz="4" w:space="0"/>
                    <w:left w:val="single" w:color="auto" w:sz="4" w:space="0"/>
                    <w:bottom w:val="single" w:color="auto" w:sz="4" w:space="0"/>
                    <w:right w:val="single" w:color="auto" w:sz="4" w:space="0"/>
                  </w:tcBorders>
                  <w:shd w:val="clear" w:color="auto" w:fill="FFFFFF"/>
                  <w:vAlign w:val="center"/>
                </w:tcPr>
                <w:p w14:paraId="3A6867EB">
                  <w:pPr>
                    <w:widowControl/>
                    <w:contextualSpacing/>
                    <w:jc w:val="center"/>
                    <w:rPr>
                      <w:bCs/>
                      <w:color w:val="auto"/>
                      <w:sz w:val="18"/>
                      <w:szCs w:val="18"/>
                      <w14:ligatures w14:val="standardContextual"/>
                    </w:rPr>
                  </w:pPr>
                </w:p>
              </w:tc>
              <w:tc>
                <w:tcPr>
                  <w:tcW w:w="1113" w:type="pct"/>
                  <w:tcBorders>
                    <w:top w:val="single" w:color="auto" w:sz="4" w:space="0"/>
                    <w:left w:val="single" w:color="auto" w:sz="4" w:space="0"/>
                    <w:bottom w:val="single" w:color="auto" w:sz="4" w:space="0"/>
                    <w:right w:val="nil"/>
                  </w:tcBorders>
                  <w:shd w:val="clear" w:color="auto" w:fill="FFFFFF"/>
                  <w:vAlign w:val="center"/>
                </w:tcPr>
                <w:p w14:paraId="526769A1">
                  <w:pPr>
                    <w:widowControl/>
                    <w:contextualSpacing/>
                    <w:jc w:val="center"/>
                    <w:rPr>
                      <w:bCs/>
                      <w:color w:val="auto"/>
                      <w:sz w:val="18"/>
                      <w:szCs w:val="18"/>
                      <w14:ligatures w14:val="standardContextual"/>
                    </w:rPr>
                  </w:pPr>
                </w:p>
              </w:tc>
            </w:tr>
            <w:tr w14:paraId="18CE2365">
              <w:tblPrEx>
                <w:tblCellMar>
                  <w:top w:w="0" w:type="dxa"/>
                  <w:left w:w="108" w:type="dxa"/>
                  <w:bottom w:w="0" w:type="dxa"/>
                  <w:right w:w="108" w:type="dxa"/>
                </w:tblCellMar>
              </w:tblPrEx>
              <w:trPr>
                <w:trHeight w:val="57" w:hRule="atLeast"/>
              </w:trPr>
              <w:tc>
                <w:tcPr>
                  <w:tcW w:w="293" w:type="pct"/>
                  <w:tcBorders>
                    <w:top w:val="single" w:color="auto" w:sz="4" w:space="0"/>
                    <w:left w:val="nil"/>
                    <w:bottom w:val="single" w:color="auto" w:sz="4" w:space="0"/>
                    <w:right w:val="single" w:color="auto" w:sz="4" w:space="0"/>
                  </w:tcBorders>
                  <w:shd w:val="clear" w:color="auto" w:fill="FFFFFF"/>
                  <w:vAlign w:val="center"/>
                </w:tcPr>
                <w:p w14:paraId="55DC5C63">
                  <w:pPr>
                    <w:widowControl/>
                    <w:contextualSpacing/>
                    <w:jc w:val="center"/>
                    <w:rPr>
                      <w:bCs/>
                      <w:color w:val="auto"/>
                      <w:sz w:val="18"/>
                      <w:szCs w:val="18"/>
                      <w14:ligatures w14:val="standardContextual"/>
                    </w:rPr>
                  </w:pPr>
                </w:p>
              </w:tc>
              <w:tc>
                <w:tcPr>
                  <w:tcW w:w="1114" w:type="pct"/>
                  <w:tcBorders>
                    <w:top w:val="single" w:color="auto" w:sz="4" w:space="0"/>
                    <w:left w:val="single" w:color="auto" w:sz="4" w:space="0"/>
                    <w:bottom w:val="single" w:color="auto" w:sz="4" w:space="0"/>
                    <w:right w:val="single" w:color="auto" w:sz="4" w:space="0"/>
                  </w:tcBorders>
                  <w:shd w:val="clear" w:color="auto" w:fill="FFFFFF"/>
                  <w:vAlign w:val="center"/>
                </w:tcPr>
                <w:p w14:paraId="01D1265F">
                  <w:pPr>
                    <w:widowControl/>
                    <w:contextualSpacing/>
                    <w:jc w:val="center"/>
                    <w:rPr>
                      <w:bCs/>
                      <w:color w:val="auto"/>
                      <w:sz w:val="18"/>
                      <w:szCs w:val="18"/>
                      <w14:ligatures w14:val="standardContextual"/>
                    </w:rPr>
                  </w:pPr>
                </w:p>
              </w:tc>
              <w:tc>
                <w:tcPr>
                  <w:tcW w:w="619" w:type="pct"/>
                  <w:tcBorders>
                    <w:top w:val="single" w:color="auto" w:sz="4" w:space="0"/>
                    <w:left w:val="single" w:color="auto" w:sz="4" w:space="0"/>
                    <w:bottom w:val="single" w:color="auto" w:sz="4" w:space="0"/>
                    <w:right w:val="single" w:color="auto" w:sz="4" w:space="0"/>
                  </w:tcBorders>
                  <w:shd w:val="clear" w:color="auto" w:fill="FFFFFF"/>
                  <w:vAlign w:val="center"/>
                </w:tcPr>
                <w:p w14:paraId="4FB9CD46">
                  <w:pPr>
                    <w:widowControl/>
                    <w:contextualSpacing/>
                    <w:jc w:val="center"/>
                    <w:rPr>
                      <w:bCs/>
                      <w:color w:val="auto"/>
                      <w:sz w:val="18"/>
                      <w:szCs w:val="18"/>
                      <w14:ligatures w14:val="standardContextual"/>
                    </w:rPr>
                  </w:pPr>
                </w:p>
              </w:tc>
              <w:tc>
                <w:tcPr>
                  <w:tcW w:w="619" w:type="pct"/>
                  <w:tcBorders>
                    <w:top w:val="single" w:color="auto" w:sz="4" w:space="0"/>
                    <w:left w:val="single" w:color="auto" w:sz="4" w:space="0"/>
                    <w:bottom w:val="single" w:color="auto" w:sz="4" w:space="0"/>
                    <w:right w:val="single" w:color="auto" w:sz="4" w:space="0"/>
                  </w:tcBorders>
                  <w:shd w:val="clear" w:color="auto" w:fill="FFFFFF"/>
                  <w:vAlign w:val="center"/>
                </w:tcPr>
                <w:p w14:paraId="2604CA34">
                  <w:pPr>
                    <w:widowControl/>
                    <w:contextualSpacing/>
                    <w:jc w:val="center"/>
                    <w:rPr>
                      <w:bCs/>
                      <w:color w:val="auto"/>
                      <w:sz w:val="18"/>
                      <w:szCs w:val="18"/>
                      <w14:ligatures w14:val="standardContextual"/>
                    </w:rPr>
                  </w:pPr>
                </w:p>
              </w:tc>
              <w:tc>
                <w:tcPr>
                  <w:tcW w:w="758" w:type="pct"/>
                  <w:tcBorders>
                    <w:top w:val="single" w:color="auto" w:sz="4" w:space="0"/>
                    <w:left w:val="single" w:color="auto" w:sz="4" w:space="0"/>
                    <w:bottom w:val="single" w:color="auto" w:sz="4" w:space="0"/>
                    <w:right w:val="single" w:color="auto" w:sz="4" w:space="0"/>
                  </w:tcBorders>
                  <w:shd w:val="clear" w:color="auto" w:fill="FFFFFF"/>
                  <w:vAlign w:val="center"/>
                </w:tcPr>
                <w:p w14:paraId="20CDFA38">
                  <w:pPr>
                    <w:pStyle w:val="108"/>
                    <w:jc w:val="center"/>
                    <w:rPr>
                      <w:rFonts w:ascii="Times New Roman" w:hAnsi="Times New Roman" w:cs="Times New Roman"/>
                      <w:bCs/>
                      <w:color w:val="auto"/>
                      <w:kern w:val="2"/>
                      <w:sz w:val="18"/>
                      <w:szCs w:val="18"/>
                      <w14:ligatures w14:val="standardContextual"/>
                    </w:rPr>
                  </w:pPr>
                </w:p>
              </w:tc>
              <w:tc>
                <w:tcPr>
                  <w:tcW w:w="481" w:type="pct"/>
                  <w:tcBorders>
                    <w:top w:val="single" w:color="auto" w:sz="4" w:space="0"/>
                    <w:left w:val="single" w:color="auto" w:sz="4" w:space="0"/>
                    <w:bottom w:val="single" w:color="auto" w:sz="4" w:space="0"/>
                    <w:right w:val="single" w:color="auto" w:sz="4" w:space="0"/>
                  </w:tcBorders>
                  <w:shd w:val="clear" w:color="auto" w:fill="FFFFFF"/>
                  <w:vAlign w:val="center"/>
                </w:tcPr>
                <w:p w14:paraId="1904FB35">
                  <w:pPr>
                    <w:widowControl/>
                    <w:contextualSpacing/>
                    <w:jc w:val="center"/>
                    <w:rPr>
                      <w:bCs/>
                      <w:color w:val="auto"/>
                      <w:sz w:val="18"/>
                      <w:szCs w:val="18"/>
                      <w14:ligatures w14:val="standardContextual"/>
                    </w:rPr>
                  </w:pPr>
                </w:p>
              </w:tc>
              <w:tc>
                <w:tcPr>
                  <w:tcW w:w="1113" w:type="pct"/>
                  <w:tcBorders>
                    <w:top w:val="single" w:color="auto" w:sz="4" w:space="0"/>
                    <w:left w:val="single" w:color="auto" w:sz="4" w:space="0"/>
                    <w:bottom w:val="single" w:color="auto" w:sz="4" w:space="0"/>
                    <w:right w:val="nil"/>
                  </w:tcBorders>
                  <w:shd w:val="clear" w:color="auto" w:fill="FFFFFF"/>
                  <w:vAlign w:val="center"/>
                </w:tcPr>
                <w:p w14:paraId="6F25D0F4">
                  <w:pPr>
                    <w:widowControl/>
                    <w:contextualSpacing/>
                    <w:jc w:val="center"/>
                    <w:rPr>
                      <w:bCs/>
                      <w:color w:val="auto"/>
                      <w:sz w:val="18"/>
                      <w:szCs w:val="18"/>
                      <w14:ligatures w14:val="standardContextual"/>
                    </w:rPr>
                  </w:pPr>
                </w:p>
              </w:tc>
            </w:tr>
            <w:tr w14:paraId="02C0FF9F">
              <w:tblPrEx>
                <w:tblCellMar>
                  <w:top w:w="0" w:type="dxa"/>
                  <w:left w:w="108" w:type="dxa"/>
                  <w:bottom w:w="0" w:type="dxa"/>
                  <w:right w:w="108" w:type="dxa"/>
                </w:tblCellMar>
              </w:tblPrEx>
              <w:trPr>
                <w:trHeight w:val="57" w:hRule="atLeast"/>
              </w:trPr>
              <w:tc>
                <w:tcPr>
                  <w:tcW w:w="293" w:type="pct"/>
                  <w:tcBorders>
                    <w:top w:val="single" w:color="auto" w:sz="4" w:space="0"/>
                    <w:left w:val="nil"/>
                    <w:bottom w:val="single" w:color="000000" w:sz="12" w:space="0"/>
                    <w:right w:val="single" w:color="auto" w:sz="4" w:space="0"/>
                  </w:tcBorders>
                  <w:shd w:val="clear" w:color="auto" w:fill="FFFFFF"/>
                  <w:vAlign w:val="center"/>
                </w:tcPr>
                <w:p w14:paraId="37308BD2">
                  <w:pPr>
                    <w:widowControl/>
                    <w:contextualSpacing/>
                    <w:jc w:val="center"/>
                    <w:rPr>
                      <w:bCs/>
                      <w:color w:val="auto"/>
                      <w:sz w:val="18"/>
                      <w:szCs w:val="18"/>
                      <w14:ligatures w14:val="standardContextual"/>
                    </w:rPr>
                  </w:pPr>
                </w:p>
              </w:tc>
              <w:tc>
                <w:tcPr>
                  <w:tcW w:w="1114" w:type="pct"/>
                  <w:tcBorders>
                    <w:top w:val="single" w:color="auto" w:sz="4" w:space="0"/>
                    <w:left w:val="single" w:color="auto" w:sz="4" w:space="0"/>
                    <w:bottom w:val="single" w:color="000000" w:sz="12" w:space="0"/>
                    <w:right w:val="single" w:color="auto" w:sz="4" w:space="0"/>
                  </w:tcBorders>
                  <w:shd w:val="clear" w:color="auto" w:fill="FFFFFF"/>
                  <w:vAlign w:val="center"/>
                </w:tcPr>
                <w:p w14:paraId="5C70BE9F">
                  <w:pPr>
                    <w:widowControl/>
                    <w:contextualSpacing/>
                    <w:jc w:val="center"/>
                    <w:rPr>
                      <w:bCs/>
                      <w:color w:val="auto"/>
                      <w:sz w:val="18"/>
                      <w:szCs w:val="18"/>
                      <w14:ligatures w14:val="standardContextual"/>
                    </w:rPr>
                  </w:pPr>
                </w:p>
              </w:tc>
              <w:tc>
                <w:tcPr>
                  <w:tcW w:w="619" w:type="pct"/>
                  <w:tcBorders>
                    <w:top w:val="single" w:color="auto" w:sz="4" w:space="0"/>
                    <w:left w:val="single" w:color="auto" w:sz="4" w:space="0"/>
                    <w:bottom w:val="single" w:color="000000" w:sz="12" w:space="0"/>
                    <w:right w:val="single" w:color="auto" w:sz="4" w:space="0"/>
                  </w:tcBorders>
                  <w:shd w:val="clear" w:color="auto" w:fill="FFFFFF"/>
                  <w:vAlign w:val="center"/>
                </w:tcPr>
                <w:p w14:paraId="6C4DB09A">
                  <w:pPr>
                    <w:widowControl/>
                    <w:contextualSpacing/>
                    <w:jc w:val="center"/>
                    <w:rPr>
                      <w:bCs/>
                      <w:color w:val="auto"/>
                      <w:sz w:val="18"/>
                      <w:szCs w:val="18"/>
                      <w14:ligatures w14:val="standardContextual"/>
                    </w:rPr>
                  </w:pPr>
                </w:p>
              </w:tc>
              <w:tc>
                <w:tcPr>
                  <w:tcW w:w="619" w:type="pct"/>
                  <w:tcBorders>
                    <w:top w:val="single" w:color="auto" w:sz="4" w:space="0"/>
                    <w:left w:val="single" w:color="auto" w:sz="4" w:space="0"/>
                    <w:bottom w:val="single" w:color="000000" w:sz="12" w:space="0"/>
                    <w:right w:val="single" w:color="auto" w:sz="4" w:space="0"/>
                  </w:tcBorders>
                  <w:shd w:val="clear" w:color="auto" w:fill="FFFFFF"/>
                  <w:vAlign w:val="center"/>
                </w:tcPr>
                <w:p w14:paraId="7B7CF1C9">
                  <w:pPr>
                    <w:widowControl/>
                    <w:contextualSpacing/>
                    <w:jc w:val="center"/>
                    <w:rPr>
                      <w:bCs/>
                      <w:color w:val="auto"/>
                      <w:sz w:val="18"/>
                      <w:szCs w:val="18"/>
                      <w14:ligatures w14:val="standardContextual"/>
                    </w:rPr>
                  </w:pPr>
                </w:p>
              </w:tc>
              <w:tc>
                <w:tcPr>
                  <w:tcW w:w="758" w:type="pct"/>
                  <w:tcBorders>
                    <w:top w:val="single" w:color="auto" w:sz="4" w:space="0"/>
                    <w:left w:val="single" w:color="auto" w:sz="4" w:space="0"/>
                    <w:bottom w:val="single" w:color="000000" w:sz="12" w:space="0"/>
                    <w:right w:val="single" w:color="auto" w:sz="4" w:space="0"/>
                  </w:tcBorders>
                  <w:shd w:val="clear" w:color="auto" w:fill="FFFFFF"/>
                  <w:vAlign w:val="center"/>
                </w:tcPr>
                <w:p w14:paraId="0354B751">
                  <w:pPr>
                    <w:widowControl/>
                    <w:contextualSpacing/>
                    <w:jc w:val="center"/>
                    <w:rPr>
                      <w:bCs/>
                      <w:color w:val="auto"/>
                      <w:sz w:val="18"/>
                      <w:szCs w:val="18"/>
                      <w14:ligatures w14:val="standardContextual"/>
                    </w:rPr>
                  </w:pPr>
                </w:p>
              </w:tc>
              <w:tc>
                <w:tcPr>
                  <w:tcW w:w="481" w:type="pct"/>
                  <w:tcBorders>
                    <w:top w:val="single" w:color="auto" w:sz="4" w:space="0"/>
                    <w:left w:val="single" w:color="auto" w:sz="4" w:space="0"/>
                    <w:bottom w:val="single" w:color="000000" w:sz="12" w:space="0"/>
                    <w:right w:val="single" w:color="auto" w:sz="4" w:space="0"/>
                  </w:tcBorders>
                  <w:shd w:val="clear" w:color="auto" w:fill="FFFFFF"/>
                  <w:vAlign w:val="center"/>
                </w:tcPr>
                <w:p w14:paraId="64094550">
                  <w:pPr>
                    <w:widowControl/>
                    <w:contextualSpacing/>
                    <w:jc w:val="center"/>
                    <w:rPr>
                      <w:bCs/>
                      <w:color w:val="auto"/>
                      <w:sz w:val="18"/>
                      <w:szCs w:val="18"/>
                      <w14:ligatures w14:val="standardContextual"/>
                    </w:rPr>
                  </w:pPr>
                </w:p>
              </w:tc>
              <w:tc>
                <w:tcPr>
                  <w:tcW w:w="1113" w:type="pct"/>
                  <w:tcBorders>
                    <w:top w:val="single" w:color="auto" w:sz="4" w:space="0"/>
                    <w:left w:val="single" w:color="auto" w:sz="4" w:space="0"/>
                    <w:bottom w:val="single" w:color="000000" w:sz="12" w:space="0"/>
                    <w:right w:val="nil"/>
                  </w:tcBorders>
                  <w:shd w:val="clear" w:color="auto" w:fill="FFFFFF"/>
                  <w:vAlign w:val="center"/>
                </w:tcPr>
                <w:p w14:paraId="52B4F251">
                  <w:pPr>
                    <w:widowControl/>
                    <w:contextualSpacing/>
                    <w:jc w:val="center"/>
                    <w:rPr>
                      <w:bCs/>
                      <w:color w:val="auto"/>
                      <w:sz w:val="18"/>
                      <w:szCs w:val="18"/>
                      <w14:ligatures w14:val="standardContextual"/>
                    </w:rPr>
                  </w:pPr>
                </w:p>
              </w:tc>
            </w:tr>
          </w:tbl>
          <w:p w14:paraId="03D7543A">
            <w:pPr>
              <w:adjustRightInd w:val="0"/>
              <w:snapToGrid w:val="0"/>
              <w:spacing w:line="500" w:lineRule="exact"/>
              <w:ind w:firstLine="420" w:firstLineChars="200"/>
              <w:rPr>
                <w:color w:val="auto"/>
                <w:szCs w:val="21"/>
              </w:rPr>
            </w:pPr>
            <w:r>
              <w:rPr>
                <w:rFonts w:hint="eastAsia"/>
                <w:color w:val="auto"/>
                <w:szCs w:val="21"/>
              </w:rPr>
              <w:t>现有已批在建项目固废为：1）电子级硫酸制备项目生产过程产生的废滤芯为危险废物，产生量为3.93t/5a，委托有资质单位处置；2）多功能聚烯烃衍生物中试项目生产过程产生的除焦残渣、脱轻残液、脱重残液、丙酮洗釜废液、废活性炭、废机油、废导热油、沾有化学品的废包装材料、质检废液等为危险废物，产生量为53.983t/a，委托有资质单位处置。</w:t>
            </w:r>
          </w:p>
          <w:p w14:paraId="421B0DAA">
            <w:pPr>
              <w:adjustRightInd w:val="0"/>
              <w:snapToGrid w:val="0"/>
              <w:spacing w:line="500" w:lineRule="exact"/>
              <w:ind w:firstLine="420" w:firstLineChars="200"/>
              <w:rPr>
                <w:color w:val="auto"/>
                <w:szCs w:val="21"/>
              </w:rPr>
            </w:pPr>
            <w:r>
              <w:rPr>
                <w:rFonts w:hint="eastAsia"/>
                <w:color w:val="auto"/>
                <w:szCs w:val="21"/>
              </w:rPr>
              <w:t>现有已批在建项目产生的固废依托现有一般固废仓库和危废仓库，现有危废仓库已按照《危险废物贮存污染控制标准》（GB18597-2023）、《危险废物识别标志设置技术规范》（HJ 1276-2022）进行规范设置，满足已批在建项目固废贮存要求。</w:t>
            </w:r>
          </w:p>
          <w:p w14:paraId="3C469140">
            <w:pPr>
              <w:adjustRightInd w:val="0"/>
              <w:snapToGrid w:val="0"/>
              <w:spacing w:line="500" w:lineRule="exact"/>
              <w:ind w:firstLine="420" w:firstLineChars="200"/>
              <w:rPr>
                <w:color w:val="auto"/>
                <w:szCs w:val="21"/>
              </w:rPr>
            </w:pPr>
            <w:r>
              <w:rPr>
                <w:rFonts w:hint="eastAsia"/>
                <w:color w:val="auto"/>
                <w:szCs w:val="21"/>
              </w:rPr>
              <w:t>（2）固体废物污染防治措施</w:t>
            </w:r>
          </w:p>
          <w:p w14:paraId="5DEA5BB8">
            <w:pPr>
              <w:adjustRightInd w:val="0"/>
              <w:snapToGrid w:val="0"/>
              <w:spacing w:line="500" w:lineRule="exact"/>
              <w:ind w:firstLine="420" w:firstLineChars="200"/>
              <w:rPr>
                <w:color w:val="auto"/>
                <w:szCs w:val="21"/>
              </w:rPr>
            </w:pPr>
            <w:r>
              <w:rPr>
                <w:rFonts w:hint="eastAsia"/>
                <w:color w:val="auto"/>
                <w:szCs w:val="21"/>
              </w:rPr>
              <w:t>现有已建项目设有一座50m</w:t>
            </w:r>
            <w:r>
              <w:rPr>
                <w:rFonts w:hint="eastAsia"/>
                <w:color w:val="auto"/>
                <w:szCs w:val="21"/>
                <w:vertAlign w:val="superscript"/>
              </w:rPr>
              <w:t>2</w:t>
            </w:r>
            <w:r>
              <w:rPr>
                <w:rFonts w:hint="eastAsia"/>
                <w:color w:val="auto"/>
                <w:szCs w:val="21"/>
              </w:rPr>
              <w:t>危废仓库和一座50m</w:t>
            </w:r>
            <w:r>
              <w:rPr>
                <w:rFonts w:hint="eastAsia"/>
                <w:color w:val="auto"/>
                <w:szCs w:val="21"/>
                <w:vertAlign w:val="superscript"/>
              </w:rPr>
              <w:t>2</w:t>
            </w:r>
            <w:r>
              <w:rPr>
                <w:rFonts w:hint="eastAsia"/>
                <w:color w:val="auto"/>
                <w:szCs w:val="21"/>
              </w:rPr>
              <w:t>的一般固废仓库，现有危废仓库已按照《危险废物贮存污染控制标准》（GB18597-2023）要求设置，已采取密闭化，采取防雨淋、防扬散、防渗漏措施，设置防雨、防火、防雷、防扬尘装置。危废仓库设置泄漏液体收集设施，地面与裙脚采取表面防渗措施，表面防渗材料与所接触的物料或污染物相容，采用抗渗混凝土、高密度聚乙烯膜、钠基膨润土防水毯或其他防渗性能等效的材料。贮存的危险废物直接接触地面的，也已进行基础防渗。</w:t>
            </w:r>
          </w:p>
          <w:p w14:paraId="7A3F1924">
            <w:pPr>
              <w:adjustRightInd w:val="0"/>
              <w:snapToGrid w:val="0"/>
              <w:spacing w:line="500" w:lineRule="exact"/>
              <w:ind w:firstLine="420" w:firstLineChars="200"/>
              <w:rPr>
                <w:color w:val="auto"/>
                <w:szCs w:val="21"/>
              </w:rPr>
            </w:pPr>
            <w:r>
              <w:rPr>
                <w:rFonts w:hint="eastAsia"/>
                <w:color w:val="auto"/>
                <w:szCs w:val="21"/>
              </w:rPr>
              <w:t>危废仓库已按照《危险废物识别标志设置技术规范》（HJ 1276-2022）设置标志，配备通讯设备、照明设施和消防设施，设置气体导出口及气体净化装置，确保废气达标排放；在出入口、设施内部、危险废物运输车辆通道等关键位置按照危险废物贮存设施视频监控布设要求设置视频监控，并与中控室联网。</w:t>
            </w:r>
          </w:p>
          <w:tbl>
            <w:tblPr>
              <w:tblStyle w:val="21"/>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208"/>
              <w:gridCol w:w="4208"/>
            </w:tblGrid>
            <w:tr w14:paraId="4FB38E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500" w:type="pct"/>
                  <w:vAlign w:val="center"/>
                </w:tcPr>
                <w:p w14:paraId="38C0FE56">
                  <w:pPr>
                    <w:pStyle w:val="45"/>
                    <w:spacing w:before="24" w:after="24" w:line="240" w:lineRule="auto"/>
                    <w:rPr>
                      <w:bCs/>
                      <w:color w:val="auto"/>
                      <w:lang w:val="zh-CN"/>
                    </w:rPr>
                  </w:pPr>
                </w:p>
              </w:tc>
              <w:tc>
                <w:tcPr>
                  <w:tcW w:w="2500" w:type="pct"/>
                  <w:vAlign w:val="center"/>
                </w:tcPr>
                <w:p w14:paraId="5EE9F046">
                  <w:pPr>
                    <w:pStyle w:val="45"/>
                    <w:spacing w:before="24" w:after="24" w:line="240" w:lineRule="auto"/>
                    <w:rPr>
                      <w:bCs/>
                      <w:color w:val="auto"/>
                      <w:lang w:val="zh-CN"/>
                    </w:rPr>
                  </w:pPr>
                </w:p>
              </w:tc>
            </w:tr>
            <w:tr w14:paraId="4DA410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000" w:type="pct"/>
                  <w:gridSpan w:val="2"/>
                  <w:vAlign w:val="center"/>
                </w:tcPr>
                <w:p w14:paraId="3678A6CE">
                  <w:pPr>
                    <w:pStyle w:val="45"/>
                    <w:spacing w:before="24" w:after="24" w:line="240" w:lineRule="auto"/>
                    <w:rPr>
                      <w:color w:val="auto"/>
                    </w:rPr>
                  </w:pPr>
                  <w:r>
                    <w:rPr>
                      <w:rFonts w:hint="eastAsia"/>
                      <w:color w:val="auto"/>
                    </w:rPr>
                    <w:t>危废仓库密闭化设置，采取了防雨淋、防扬散、防渗漏措施；危废仓库门口按要求设置标志</w:t>
                  </w:r>
                </w:p>
              </w:tc>
            </w:tr>
            <w:tr w14:paraId="3BBEFE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500" w:type="pct"/>
                  <w:vAlign w:val="center"/>
                </w:tcPr>
                <w:p w14:paraId="2A0B1C3A">
                  <w:pPr>
                    <w:pStyle w:val="45"/>
                    <w:spacing w:before="24" w:after="24" w:line="240" w:lineRule="auto"/>
                    <w:rPr>
                      <w:color w:val="auto"/>
                    </w:rPr>
                  </w:pPr>
                </w:p>
              </w:tc>
              <w:tc>
                <w:tcPr>
                  <w:tcW w:w="2500" w:type="pct"/>
                  <w:vAlign w:val="center"/>
                </w:tcPr>
                <w:p w14:paraId="0746A1EF">
                  <w:pPr>
                    <w:pStyle w:val="45"/>
                    <w:spacing w:before="24" w:after="24" w:line="240" w:lineRule="auto"/>
                    <w:rPr>
                      <w:color w:val="auto"/>
                    </w:rPr>
                  </w:pPr>
                </w:p>
              </w:tc>
            </w:tr>
            <w:tr w14:paraId="4C081D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000" w:type="pct"/>
                  <w:gridSpan w:val="2"/>
                  <w:vAlign w:val="center"/>
                </w:tcPr>
                <w:p w14:paraId="29375D6E">
                  <w:pPr>
                    <w:pStyle w:val="45"/>
                    <w:spacing w:before="24" w:after="24" w:line="240" w:lineRule="auto"/>
                    <w:rPr>
                      <w:color w:val="auto"/>
                    </w:rPr>
                  </w:pPr>
                  <w:r>
                    <w:rPr>
                      <w:rFonts w:hint="eastAsia"/>
                      <w:color w:val="auto"/>
                    </w:rPr>
                    <w:t>配备通讯设备、照明设施，设置气体导出口及气体净化装置</w:t>
                  </w:r>
                </w:p>
              </w:tc>
            </w:tr>
            <w:tr w14:paraId="6AB309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500" w:type="pct"/>
                  <w:vAlign w:val="center"/>
                </w:tcPr>
                <w:p w14:paraId="6E5BD299">
                  <w:pPr>
                    <w:pStyle w:val="45"/>
                    <w:spacing w:before="24" w:after="24" w:line="240" w:lineRule="auto"/>
                    <w:rPr>
                      <w:color w:val="auto"/>
                    </w:rPr>
                  </w:pPr>
                </w:p>
              </w:tc>
              <w:tc>
                <w:tcPr>
                  <w:tcW w:w="2500" w:type="pct"/>
                  <w:vAlign w:val="center"/>
                </w:tcPr>
                <w:p w14:paraId="53AB38E8">
                  <w:pPr>
                    <w:pStyle w:val="45"/>
                    <w:spacing w:before="24" w:after="24" w:line="240" w:lineRule="auto"/>
                    <w:rPr>
                      <w:color w:val="auto"/>
                    </w:rPr>
                  </w:pPr>
                </w:p>
              </w:tc>
            </w:tr>
            <w:tr w14:paraId="7233F7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500" w:type="pct"/>
                  <w:vAlign w:val="center"/>
                </w:tcPr>
                <w:p w14:paraId="718FB2CA">
                  <w:pPr>
                    <w:pStyle w:val="45"/>
                    <w:spacing w:before="24" w:after="24" w:line="240" w:lineRule="auto"/>
                    <w:rPr>
                      <w:color w:val="auto"/>
                    </w:rPr>
                  </w:pPr>
                  <w:r>
                    <w:rPr>
                      <w:rFonts w:hint="eastAsia"/>
                      <w:color w:val="auto"/>
                    </w:rPr>
                    <w:t>危废仓库设置应急物资</w:t>
                  </w:r>
                </w:p>
              </w:tc>
              <w:tc>
                <w:tcPr>
                  <w:tcW w:w="2500" w:type="pct"/>
                  <w:vAlign w:val="center"/>
                </w:tcPr>
                <w:p w14:paraId="30CAE15A">
                  <w:pPr>
                    <w:pStyle w:val="45"/>
                    <w:spacing w:before="24" w:after="24" w:line="240" w:lineRule="auto"/>
                    <w:rPr>
                      <w:color w:val="auto"/>
                    </w:rPr>
                  </w:pPr>
                  <w:r>
                    <w:rPr>
                      <w:rFonts w:hint="eastAsia"/>
                      <w:color w:val="auto"/>
                    </w:rPr>
                    <w:t>危废仓库内已设置基础防渗措施</w:t>
                  </w:r>
                </w:p>
              </w:tc>
            </w:tr>
          </w:tbl>
          <w:p w14:paraId="13DF9A20">
            <w:pPr>
              <w:widowControl/>
              <w:jc w:val="center"/>
              <w:rPr>
                <w:b/>
                <w:bCs/>
                <w:color w:val="auto"/>
                <w:kern w:val="0"/>
                <w:szCs w:val="21"/>
              </w:rPr>
            </w:pPr>
            <w:r>
              <w:rPr>
                <w:b/>
                <w:bCs/>
                <w:color w:val="auto"/>
                <w:kern w:val="0"/>
                <w:szCs w:val="21"/>
              </w:rPr>
              <w:t>图</w:t>
            </w:r>
            <w:r>
              <w:rPr>
                <w:rFonts w:hint="eastAsia"/>
                <w:b/>
                <w:bCs/>
                <w:color w:val="auto"/>
                <w:kern w:val="0"/>
                <w:szCs w:val="21"/>
              </w:rPr>
              <w:t>2-5</w:t>
            </w:r>
            <w:r>
              <w:rPr>
                <w:b/>
                <w:bCs/>
                <w:color w:val="auto"/>
                <w:kern w:val="0"/>
                <w:szCs w:val="21"/>
              </w:rPr>
              <w:t xml:space="preserve"> 现有危废库照片</w:t>
            </w:r>
          </w:p>
          <w:p w14:paraId="0428747A">
            <w:pPr>
              <w:adjustRightInd w:val="0"/>
              <w:snapToGrid w:val="0"/>
              <w:spacing w:line="500" w:lineRule="exact"/>
              <w:ind w:firstLine="422" w:firstLineChars="200"/>
              <w:rPr>
                <w:b/>
                <w:bCs/>
                <w:color w:val="auto"/>
                <w:szCs w:val="21"/>
              </w:rPr>
            </w:pPr>
            <w:r>
              <w:rPr>
                <w:b/>
                <w:bCs/>
                <w:color w:val="auto"/>
                <w:szCs w:val="21"/>
              </w:rPr>
              <w:t>6.4</w:t>
            </w:r>
            <w:r>
              <w:rPr>
                <w:rFonts w:hint="eastAsia"/>
                <w:b/>
                <w:bCs/>
                <w:color w:val="auto"/>
                <w:szCs w:val="21"/>
              </w:rPr>
              <w:t>噪声</w:t>
            </w:r>
          </w:p>
          <w:p w14:paraId="1F091E4D">
            <w:pPr>
              <w:adjustRightInd w:val="0"/>
              <w:snapToGrid w:val="0"/>
              <w:spacing w:line="500" w:lineRule="exact"/>
              <w:ind w:firstLine="420" w:firstLineChars="200"/>
              <w:rPr>
                <w:color w:val="auto"/>
                <w:szCs w:val="21"/>
              </w:rPr>
            </w:pPr>
            <w:r>
              <w:rPr>
                <w:rFonts w:hint="eastAsia"/>
                <w:color w:val="auto"/>
                <w:szCs w:val="21"/>
              </w:rPr>
              <w:t>现有项目噪声主要来源于车间泵机、罐区泵机、废气处理系统风机等，建设单位在设备选择上已优先考虑低噪声设备，对所用的高噪声设备采取防振降噪措施，车间内壁铺设吸声材料，厂区加强绿化。</w:t>
            </w:r>
          </w:p>
          <w:p w14:paraId="3BDC295E">
            <w:pPr>
              <w:adjustRightInd w:val="0"/>
              <w:snapToGrid w:val="0"/>
              <w:spacing w:line="500" w:lineRule="exact"/>
              <w:ind w:firstLine="420" w:firstLineChars="200"/>
              <w:rPr>
                <w:color w:val="auto"/>
                <w:szCs w:val="21"/>
              </w:rPr>
            </w:pPr>
            <w:r>
              <w:rPr>
                <w:rFonts w:hint="eastAsia"/>
                <w:color w:val="auto"/>
                <w:szCs w:val="21"/>
              </w:rPr>
              <w:t>根据企业2026年6月的例行监测报告，厂界噪声均达到《工业企业厂界环境噪声排放标准》（GB12348-2008）3类标准。</w:t>
            </w:r>
          </w:p>
          <w:p w14:paraId="082BDA3C">
            <w:pPr>
              <w:snapToGrid w:val="0"/>
              <w:spacing w:line="500" w:lineRule="exact"/>
              <w:jc w:val="center"/>
              <w:rPr>
                <w:b/>
                <w:color w:val="auto"/>
                <w:szCs w:val="21"/>
              </w:rPr>
            </w:pPr>
            <w:r>
              <w:rPr>
                <w:rFonts w:hint="eastAsia"/>
                <w:b/>
                <w:color w:val="auto"/>
                <w:szCs w:val="21"/>
              </w:rPr>
              <w:t>表</w:t>
            </w:r>
            <w:r>
              <w:rPr>
                <w:b/>
                <w:color w:val="auto"/>
                <w:szCs w:val="21"/>
              </w:rPr>
              <w:t xml:space="preserve">2-19 </w:t>
            </w:r>
            <w:r>
              <w:rPr>
                <w:rFonts w:hint="eastAsia"/>
                <w:b/>
                <w:color w:val="auto"/>
                <w:szCs w:val="21"/>
              </w:rPr>
              <w:t>厂界噪声监测数据</w:t>
            </w:r>
          </w:p>
          <w:tbl>
            <w:tblPr>
              <w:tblStyle w:val="21"/>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874"/>
              <w:gridCol w:w="1476"/>
              <w:gridCol w:w="1013"/>
              <w:gridCol w:w="873"/>
              <w:gridCol w:w="1732"/>
              <w:gridCol w:w="1458"/>
            </w:tblGrid>
            <w:tr w14:paraId="25387A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112" w:type="pct"/>
                  <w:vMerge w:val="restart"/>
                  <w:noWrap/>
                  <w:vAlign w:val="center"/>
                </w:tcPr>
                <w:p w14:paraId="6D1AE99B">
                  <w:pPr>
                    <w:jc w:val="center"/>
                    <w:rPr>
                      <w:b/>
                      <w:color w:val="auto"/>
                      <w:sz w:val="18"/>
                      <w:szCs w:val="18"/>
                      <w:lang w:val="zh-CN"/>
                    </w:rPr>
                  </w:pPr>
                </w:p>
              </w:tc>
              <w:tc>
                <w:tcPr>
                  <w:tcW w:w="876" w:type="pct"/>
                  <w:vMerge w:val="restart"/>
                  <w:noWrap/>
                  <w:vAlign w:val="center"/>
                </w:tcPr>
                <w:p w14:paraId="3C80BF38">
                  <w:pPr>
                    <w:jc w:val="center"/>
                    <w:rPr>
                      <w:b/>
                      <w:color w:val="auto"/>
                      <w:sz w:val="18"/>
                      <w:szCs w:val="18"/>
                      <w:lang w:val="zh-CN"/>
                    </w:rPr>
                  </w:pPr>
                </w:p>
              </w:tc>
              <w:tc>
                <w:tcPr>
                  <w:tcW w:w="3012" w:type="pct"/>
                  <w:gridSpan w:val="4"/>
                  <w:noWrap/>
                  <w:vAlign w:val="center"/>
                </w:tcPr>
                <w:p w14:paraId="32348E01">
                  <w:pPr>
                    <w:jc w:val="center"/>
                    <w:rPr>
                      <w:b/>
                      <w:color w:val="auto"/>
                      <w:sz w:val="18"/>
                      <w:szCs w:val="18"/>
                      <w:lang w:val="zh-CN"/>
                    </w:rPr>
                  </w:pPr>
                </w:p>
              </w:tc>
            </w:tr>
            <w:tr w14:paraId="3B192D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112" w:type="pct"/>
                  <w:vMerge w:val="continue"/>
                  <w:vAlign w:val="center"/>
                </w:tcPr>
                <w:p w14:paraId="02CDE9C5">
                  <w:pPr>
                    <w:jc w:val="center"/>
                    <w:rPr>
                      <w:b/>
                      <w:color w:val="auto"/>
                      <w:sz w:val="18"/>
                      <w:szCs w:val="18"/>
                      <w:lang w:val="zh-CN"/>
                    </w:rPr>
                  </w:pPr>
                </w:p>
              </w:tc>
              <w:tc>
                <w:tcPr>
                  <w:tcW w:w="876" w:type="pct"/>
                  <w:vMerge w:val="continue"/>
                  <w:vAlign w:val="center"/>
                </w:tcPr>
                <w:p w14:paraId="308DE59C">
                  <w:pPr>
                    <w:jc w:val="center"/>
                    <w:rPr>
                      <w:b/>
                      <w:color w:val="auto"/>
                      <w:sz w:val="18"/>
                      <w:szCs w:val="18"/>
                      <w:lang w:val="zh-CN"/>
                    </w:rPr>
                  </w:pPr>
                </w:p>
              </w:tc>
              <w:tc>
                <w:tcPr>
                  <w:tcW w:w="601" w:type="pct"/>
                  <w:noWrap/>
                  <w:vAlign w:val="center"/>
                </w:tcPr>
                <w:p w14:paraId="4EAE709C">
                  <w:pPr>
                    <w:jc w:val="center"/>
                    <w:rPr>
                      <w:b/>
                      <w:color w:val="auto"/>
                      <w:sz w:val="18"/>
                      <w:szCs w:val="18"/>
                      <w:lang w:val="zh-CN"/>
                    </w:rPr>
                  </w:pPr>
                </w:p>
              </w:tc>
              <w:tc>
                <w:tcPr>
                  <w:tcW w:w="518" w:type="pct"/>
                  <w:noWrap/>
                  <w:vAlign w:val="center"/>
                </w:tcPr>
                <w:p w14:paraId="1522E079">
                  <w:pPr>
                    <w:jc w:val="center"/>
                    <w:rPr>
                      <w:b/>
                      <w:color w:val="auto"/>
                      <w:sz w:val="18"/>
                      <w:szCs w:val="18"/>
                    </w:rPr>
                  </w:pPr>
                </w:p>
              </w:tc>
              <w:tc>
                <w:tcPr>
                  <w:tcW w:w="1028" w:type="pct"/>
                  <w:noWrap/>
                  <w:vAlign w:val="center"/>
                </w:tcPr>
                <w:p w14:paraId="760A4697">
                  <w:pPr>
                    <w:jc w:val="center"/>
                    <w:rPr>
                      <w:b/>
                      <w:color w:val="auto"/>
                      <w:sz w:val="18"/>
                      <w:szCs w:val="18"/>
                      <w:lang w:val="zh-CN"/>
                    </w:rPr>
                  </w:pPr>
                </w:p>
              </w:tc>
              <w:tc>
                <w:tcPr>
                  <w:tcW w:w="865" w:type="pct"/>
                  <w:noWrap/>
                  <w:vAlign w:val="center"/>
                </w:tcPr>
                <w:p w14:paraId="0342F762">
                  <w:pPr>
                    <w:jc w:val="center"/>
                    <w:rPr>
                      <w:b/>
                      <w:color w:val="auto"/>
                      <w:sz w:val="18"/>
                      <w:szCs w:val="18"/>
                      <w:lang w:val="zh-CN"/>
                    </w:rPr>
                  </w:pPr>
                </w:p>
              </w:tc>
            </w:tr>
            <w:tr w14:paraId="477BB7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12" w:type="pct"/>
                  <w:noWrap/>
                  <w:vAlign w:val="center"/>
                </w:tcPr>
                <w:p w14:paraId="4640CCF0">
                  <w:pPr>
                    <w:jc w:val="center"/>
                    <w:rPr>
                      <w:bCs/>
                      <w:color w:val="auto"/>
                      <w:sz w:val="18"/>
                      <w:szCs w:val="18"/>
                    </w:rPr>
                  </w:pPr>
                </w:p>
              </w:tc>
              <w:tc>
                <w:tcPr>
                  <w:tcW w:w="876" w:type="pct"/>
                  <w:vMerge w:val="restart"/>
                  <w:noWrap/>
                  <w:vAlign w:val="center"/>
                </w:tcPr>
                <w:p w14:paraId="3F02F8B7">
                  <w:pPr>
                    <w:jc w:val="center"/>
                    <w:rPr>
                      <w:bCs/>
                      <w:color w:val="auto"/>
                      <w:sz w:val="18"/>
                      <w:szCs w:val="18"/>
                    </w:rPr>
                  </w:pPr>
                </w:p>
              </w:tc>
              <w:tc>
                <w:tcPr>
                  <w:tcW w:w="601" w:type="pct"/>
                  <w:noWrap/>
                  <w:vAlign w:val="center"/>
                </w:tcPr>
                <w:p w14:paraId="700C630A">
                  <w:pPr>
                    <w:jc w:val="center"/>
                    <w:rPr>
                      <w:bCs/>
                      <w:color w:val="auto"/>
                      <w:sz w:val="18"/>
                      <w:szCs w:val="18"/>
                    </w:rPr>
                  </w:pPr>
                </w:p>
              </w:tc>
              <w:tc>
                <w:tcPr>
                  <w:tcW w:w="518" w:type="pct"/>
                  <w:noWrap/>
                  <w:vAlign w:val="center"/>
                </w:tcPr>
                <w:p w14:paraId="26405951">
                  <w:pPr>
                    <w:jc w:val="center"/>
                    <w:rPr>
                      <w:bCs/>
                      <w:color w:val="auto"/>
                      <w:sz w:val="18"/>
                      <w:szCs w:val="18"/>
                    </w:rPr>
                  </w:pPr>
                </w:p>
              </w:tc>
              <w:tc>
                <w:tcPr>
                  <w:tcW w:w="1028" w:type="pct"/>
                  <w:vMerge w:val="restart"/>
                  <w:noWrap/>
                  <w:vAlign w:val="center"/>
                </w:tcPr>
                <w:p w14:paraId="0DAF3472">
                  <w:pPr>
                    <w:jc w:val="center"/>
                    <w:rPr>
                      <w:bCs/>
                      <w:color w:val="auto"/>
                      <w:sz w:val="18"/>
                      <w:szCs w:val="18"/>
                    </w:rPr>
                  </w:pPr>
                </w:p>
              </w:tc>
              <w:tc>
                <w:tcPr>
                  <w:tcW w:w="865" w:type="pct"/>
                  <w:noWrap/>
                  <w:vAlign w:val="center"/>
                </w:tcPr>
                <w:p w14:paraId="157BBFD9">
                  <w:pPr>
                    <w:jc w:val="center"/>
                    <w:rPr>
                      <w:bCs/>
                      <w:color w:val="auto"/>
                      <w:sz w:val="18"/>
                      <w:szCs w:val="18"/>
                      <w:lang w:val="zh-CN"/>
                    </w:rPr>
                  </w:pPr>
                </w:p>
              </w:tc>
            </w:tr>
            <w:tr w14:paraId="1C66D2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12" w:type="pct"/>
                  <w:noWrap/>
                  <w:vAlign w:val="center"/>
                </w:tcPr>
                <w:p w14:paraId="70464639">
                  <w:pPr>
                    <w:jc w:val="center"/>
                    <w:rPr>
                      <w:bCs/>
                      <w:color w:val="auto"/>
                      <w:sz w:val="18"/>
                      <w:szCs w:val="18"/>
                    </w:rPr>
                  </w:pPr>
                </w:p>
              </w:tc>
              <w:tc>
                <w:tcPr>
                  <w:tcW w:w="876" w:type="pct"/>
                  <w:vMerge w:val="continue"/>
                  <w:noWrap/>
                  <w:vAlign w:val="center"/>
                </w:tcPr>
                <w:p w14:paraId="5300FF5A">
                  <w:pPr>
                    <w:jc w:val="center"/>
                    <w:rPr>
                      <w:bCs/>
                      <w:color w:val="auto"/>
                      <w:sz w:val="18"/>
                      <w:szCs w:val="18"/>
                    </w:rPr>
                  </w:pPr>
                </w:p>
              </w:tc>
              <w:tc>
                <w:tcPr>
                  <w:tcW w:w="601" w:type="pct"/>
                  <w:noWrap/>
                  <w:vAlign w:val="center"/>
                </w:tcPr>
                <w:p w14:paraId="68510944">
                  <w:pPr>
                    <w:jc w:val="center"/>
                    <w:rPr>
                      <w:bCs/>
                      <w:color w:val="auto"/>
                      <w:sz w:val="18"/>
                      <w:szCs w:val="18"/>
                    </w:rPr>
                  </w:pPr>
                </w:p>
              </w:tc>
              <w:tc>
                <w:tcPr>
                  <w:tcW w:w="518" w:type="pct"/>
                  <w:noWrap/>
                  <w:vAlign w:val="center"/>
                </w:tcPr>
                <w:p w14:paraId="07DD7349">
                  <w:pPr>
                    <w:jc w:val="center"/>
                    <w:rPr>
                      <w:bCs/>
                      <w:color w:val="auto"/>
                      <w:sz w:val="18"/>
                      <w:szCs w:val="18"/>
                    </w:rPr>
                  </w:pPr>
                </w:p>
              </w:tc>
              <w:tc>
                <w:tcPr>
                  <w:tcW w:w="1028" w:type="pct"/>
                  <w:vMerge w:val="continue"/>
                  <w:noWrap/>
                  <w:vAlign w:val="center"/>
                </w:tcPr>
                <w:p w14:paraId="559C7B7A">
                  <w:pPr>
                    <w:jc w:val="center"/>
                    <w:rPr>
                      <w:bCs/>
                      <w:color w:val="auto"/>
                      <w:sz w:val="18"/>
                      <w:szCs w:val="18"/>
                      <w:lang w:val="zh-CN"/>
                    </w:rPr>
                  </w:pPr>
                </w:p>
              </w:tc>
              <w:tc>
                <w:tcPr>
                  <w:tcW w:w="865" w:type="pct"/>
                  <w:noWrap/>
                  <w:vAlign w:val="center"/>
                </w:tcPr>
                <w:p w14:paraId="6F39EDDB">
                  <w:pPr>
                    <w:jc w:val="center"/>
                    <w:rPr>
                      <w:bCs/>
                      <w:color w:val="auto"/>
                      <w:sz w:val="18"/>
                      <w:szCs w:val="18"/>
                      <w:lang w:val="zh-CN"/>
                    </w:rPr>
                  </w:pPr>
                </w:p>
              </w:tc>
            </w:tr>
            <w:tr w14:paraId="497FC4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12" w:type="pct"/>
                  <w:noWrap/>
                  <w:vAlign w:val="center"/>
                </w:tcPr>
                <w:p w14:paraId="2F947744">
                  <w:pPr>
                    <w:jc w:val="center"/>
                    <w:rPr>
                      <w:bCs/>
                      <w:color w:val="auto"/>
                      <w:sz w:val="18"/>
                      <w:szCs w:val="18"/>
                    </w:rPr>
                  </w:pPr>
                </w:p>
              </w:tc>
              <w:tc>
                <w:tcPr>
                  <w:tcW w:w="876" w:type="pct"/>
                  <w:vMerge w:val="continue"/>
                  <w:noWrap/>
                  <w:vAlign w:val="center"/>
                </w:tcPr>
                <w:p w14:paraId="6DB036EE">
                  <w:pPr>
                    <w:jc w:val="center"/>
                    <w:rPr>
                      <w:bCs/>
                      <w:color w:val="auto"/>
                      <w:sz w:val="18"/>
                      <w:szCs w:val="18"/>
                    </w:rPr>
                  </w:pPr>
                </w:p>
              </w:tc>
              <w:tc>
                <w:tcPr>
                  <w:tcW w:w="601" w:type="pct"/>
                  <w:noWrap/>
                  <w:vAlign w:val="center"/>
                </w:tcPr>
                <w:p w14:paraId="1C383064">
                  <w:pPr>
                    <w:jc w:val="center"/>
                    <w:rPr>
                      <w:bCs/>
                      <w:color w:val="auto"/>
                      <w:sz w:val="18"/>
                      <w:szCs w:val="18"/>
                    </w:rPr>
                  </w:pPr>
                </w:p>
              </w:tc>
              <w:tc>
                <w:tcPr>
                  <w:tcW w:w="518" w:type="pct"/>
                  <w:noWrap/>
                  <w:vAlign w:val="center"/>
                </w:tcPr>
                <w:p w14:paraId="32A51D68">
                  <w:pPr>
                    <w:jc w:val="center"/>
                    <w:rPr>
                      <w:bCs/>
                      <w:color w:val="auto"/>
                      <w:sz w:val="18"/>
                      <w:szCs w:val="18"/>
                    </w:rPr>
                  </w:pPr>
                </w:p>
              </w:tc>
              <w:tc>
                <w:tcPr>
                  <w:tcW w:w="1028" w:type="pct"/>
                  <w:vMerge w:val="continue"/>
                  <w:noWrap/>
                  <w:vAlign w:val="center"/>
                </w:tcPr>
                <w:p w14:paraId="0365F7A6">
                  <w:pPr>
                    <w:jc w:val="center"/>
                    <w:rPr>
                      <w:bCs/>
                      <w:color w:val="auto"/>
                      <w:sz w:val="18"/>
                      <w:szCs w:val="18"/>
                      <w:lang w:val="zh-CN"/>
                    </w:rPr>
                  </w:pPr>
                </w:p>
              </w:tc>
              <w:tc>
                <w:tcPr>
                  <w:tcW w:w="865" w:type="pct"/>
                  <w:noWrap/>
                  <w:vAlign w:val="center"/>
                </w:tcPr>
                <w:p w14:paraId="79DA5F1D">
                  <w:pPr>
                    <w:jc w:val="center"/>
                    <w:rPr>
                      <w:bCs/>
                      <w:color w:val="auto"/>
                      <w:sz w:val="18"/>
                      <w:szCs w:val="18"/>
                      <w:lang w:val="zh-CN"/>
                    </w:rPr>
                  </w:pPr>
                </w:p>
              </w:tc>
            </w:tr>
            <w:tr w14:paraId="1D75A0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12" w:type="pct"/>
                  <w:noWrap/>
                  <w:vAlign w:val="center"/>
                </w:tcPr>
                <w:p w14:paraId="45943C12">
                  <w:pPr>
                    <w:jc w:val="center"/>
                    <w:rPr>
                      <w:bCs/>
                      <w:color w:val="auto"/>
                      <w:sz w:val="18"/>
                      <w:szCs w:val="18"/>
                    </w:rPr>
                  </w:pPr>
                </w:p>
              </w:tc>
              <w:tc>
                <w:tcPr>
                  <w:tcW w:w="876" w:type="pct"/>
                  <w:vMerge w:val="continue"/>
                  <w:noWrap/>
                  <w:vAlign w:val="center"/>
                </w:tcPr>
                <w:p w14:paraId="62D151B5">
                  <w:pPr>
                    <w:jc w:val="center"/>
                    <w:rPr>
                      <w:bCs/>
                      <w:color w:val="auto"/>
                      <w:sz w:val="18"/>
                      <w:szCs w:val="18"/>
                    </w:rPr>
                  </w:pPr>
                </w:p>
              </w:tc>
              <w:tc>
                <w:tcPr>
                  <w:tcW w:w="601" w:type="pct"/>
                  <w:noWrap/>
                  <w:vAlign w:val="center"/>
                </w:tcPr>
                <w:p w14:paraId="13387E6C">
                  <w:pPr>
                    <w:jc w:val="center"/>
                    <w:rPr>
                      <w:bCs/>
                      <w:color w:val="auto"/>
                      <w:sz w:val="18"/>
                      <w:szCs w:val="18"/>
                    </w:rPr>
                  </w:pPr>
                </w:p>
              </w:tc>
              <w:tc>
                <w:tcPr>
                  <w:tcW w:w="518" w:type="pct"/>
                  <w:noWrap/>
                  <w:vAlign w:val="center"/>
                </w:tcPr>
                <w:p w14:paraId="7956BDC3">
                  <w:pPr>
                    <w:jc w:val="center"/>
                    <w:rPr>
                      <w:bCs/>
                      <w:color w:val="auto"/>
                      <w:sz w:val="18"/>
                      <w:szCs w:val="18"/>
                    </w:rPr>
                  </w:pPr>
                </w:p>
              </w:tc>
              <w:tc>
                <w:tcPr>
                  <w:tcW w:w="1028" w:type="pct"/>
                  <w:vMerge w:val="continue"/>
                  <w:noWrap/>
                  <w:vAlign w:val="center"/>
                </w:tcPr>
                <w:p w14:paraId="0FBADB74">
                  <w:pPr>
                    <w:jc w:val="center"/>
                    <w:rPr>
                      <w:bCs/>
                      <w:color w:val="auto"/>
                      <w:sz w:val="18"/>
                      <w:szCs w:val="18"/>
                      <w:lang w:val="zh-CN"/>
                    </w:rPr>
                  </w:pPr>
                </w:p>
              </w:tc>
              <w:tc>
                <w:tcPr>
                  <w:tcW w:w="865" w:type="pct"/>
                  <w:noWrap/>
                  <w:vAlign w:val="center"/>
                </w:tcPr>
                <w:p w14:paraId="0E819D20">
                  <w:pPr>
                    <w:jc w:val="center"/>
                    <w:rPr>
                      <w:bCs/>
                      <w:color w:val="auto"/>
                      <w:sz w:val="18"/>
                      <w:szCs w:val="18"/>
                      <w:lang w:val="zh-CN"/>
                    </w:rPr>
                  </w:pPr>
                </w:p>
              </w:tc>
            </w:tr>
          </w:tbl>
          <w:p w14:paraId="3DCE5506">
            <w:pPr>
              <w:adjustRightInd w:val="0"/>
              <w:snapToGrid w:val="0"/>
              <w:spacing w:line="500" w:lineRule="exact"/>
              <w:ind w:firstLine="422" w:firstLineChars="200"/>
              <w:rPr>
                <w:b/>
                <w:color w:val="auto"/>
                <w:szCs w:val="21"/>
              </w:rPr>
            </w:pPr>
            <w:r>
              <w:rPr>
                <w:b/>
                <w:color w:val="auto"/>
                <w:szCs w:val="21"/>
              </w:rPr>
              <w:t>7.</w:t>
            </w:r>
            <w:r>
              <w:rPr>
                <w:rFonts w:hint="eastAsia"/>
                <w:b/>
                <w:color w:val="auto"/>
                <w:szCs w:val="21"/>
              </w:rPr>
              <w:t>现有项目污染物产生及排放情况</w:t>
            </w:r>
          </w:p>
          <w:p w14:paraId="2FA095B5">
            <w:pPr>
              <w:adjustRightInd w:val="0"/>
              <w:snapToGrid w:val="0"/>
              <w:spacing w:line="500" w:lineRule="exact"/>
              <w:ind w:firstLine="420" w:firstLineChars="200"/>
              <w:rPr>
                <w:color w:val="auto"/>
                <w:szCs w:val="21"/>
              </w:rPr>
            </w:pPr>
            <w:r>
              <w:rPr>
                <w:rFonts w:hint="eastAsia"/>
                <w:color w:val="auto"/>
                <w:szCs w:val="21"/>
              </w:rPr>
              <w:t>现有项目污染物排放量汇总见表2</w:t>
            </w:r>
            <w:r>
              <w:rPr>
                <w:color w:val="auto"/>
                <w:szCs w:val="21"/>
              </w:rPr>
              <w:t>-20</w:t>
            </w:r>
            <w:r>
              <w:rPr>
                <w:rFonts w:hint="eastAsia"/>
                <w:color w:val="auto"/>
                <w:szCs w:val="21"/>
              </w:rPr>
              <w:t>。</w:t>
            </w:r>
          </w:p>
          <w:p w14:paraId="3E9C0204">
            <w:pPr>
              <w:snapToGrid w:val="0"/>
              <w:spacing w:line="500" w:lineRule="exact"/>
              <w:jc w:val="center"/>
              <w:rPr>
                <w:b/>
                <w:color w:val="auto"/>
                <w:szCs w:val="21"/>
              </w:rPr>
            </w:pPr>
            <w:r>
              <w:rPr>
                <w:b/>
                <w:color w:val="auto"/>
                <w:szCs w:val="21"/>
              </w:rPr>
              <w:t>表</w:t>
            </w:r>
            <w:r>
              <w:rPr>
                <w:rFonts w:hint="eastAsia"/>
                <w:b/>
                <w:color w:val="auto"/>
                <w:szCs w:val="21"/>
              </w:rPr>
              <w:t>2</w:t>
            </w:r>
            <w:r>
              <w:rPr>
                <w:b/>
                <w:color w:val="auto"/>
                <w:szCs w:val="21"/>
              </w:rPr>
              <w:t>-20现有项目</w:t>
            </w:r>
            <w:r>
              <w:rPr>
                <w:rFonts w:hint="eastAsia"/>
                <w:b/>
                <w:color w:val="auto"/>
                <w:szCs w:val="21"/>
              </w:rPr>
              <w:t>污染物排放量一览表（t</w:t>
            </w:r>
            <w:r>
              <w:rPr>
                <w:b/>
                <w:color w:val="auto"/>
                <w:szCs w:val="21"/>
              </w:rPr>
              <w:t>/</w:t>
            </w:r>
            <w:r>
              <w:rPr>
                <w:rFonts w:hint="eastAsia"/>
                <w:b/>
                <w:color w:val="auto"/>
                <w:szCs w:val="21"/>
              </w:rPr>
              <w:t>a）</w:t>
            </w:r>
          </w:p>
          <w:tbl>
            <w:tblPr>
              <w:tblStyle w:val="21"/>
              <w:tblW w:w="5000" w:type="pct"/>
              <w:tblInd w:w="0" w:type="dxa"/>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375"/>
              <w:gridCol w:w="375"/>
              <w:gridCol w:w="692"/>
              <w:gridCol w:w="891"/>
              <w:gridCol w:w="811"/>
              <w:gridCol w:w="891"/>
              <w:gridCol w:w="811"/>
              <w:gridCol w:w="811"/>
              <w:gridCol w:w="573"/>
              <w:gridCol w:w="732"/>
              <w:gridCol w:w="811"/>
              <w:gridCol w:w="653"/>
            </w:tblGrid>
            <w:tr w14:paraId="629DDB33">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849" w:type="pct"/>
                  <w:gridSpan w:val="3"/>
                  <w:shd w:val="clear" w:color="auto" w:fill="FFFFFF"/>
                  <w:vAlign w:val="center"/>
                </w:tcPr>
                <w:p w14:paraId="62C03FCE">
                  <w:pPr>
                    <w:widowControl/>
                    <w:jc w:val="center"/>
                    <w:textAlignment w:val="center"/>
                    <w:rPr>
                      <w:b/>
                      <w:color w:val="auto"/>
                      <w:sz w:val="18"/>
                      <w:szCs w:val="18"/>
                    </w:rPr>
                  </w:pPr>
                  <w:r>
                    <w:rPr>
                      <w:b/>
                      <w:color w:val="auto"/>
                      <w:kern w:val="0"/>
                      <w:sz w:val="18"/>
                      <w:szCs w:val="18"/>
                      <w:lang w:bidi="ar"/>
                    </w:rPr>
                    <w:t>污染物名称</w:t>
                  </w:r>
                </w:p>
              </w:tc>
              <w:tc>
                <w:tcPr>
                  <w:tcW w:w="1012" w:type="pct"/>
                  <w:gridSpan w:val="2"/>
                  <w:shd w:val="clear" w:color="auto" w:fill="FFFFFF"/>
                  <w:vAlign w:val="center"/>
                </w:tcPr>
                <w:p w14:paraId="045CA45F">
                  <w:pPr>
                    <w:widowControl/>
                    <w:jc w:val="center"/>
                    <w:textAlignment w:val="center"/>
                    <w:rPr>
                      <w:b/>
                      <w:color w:val="auto"/>
                      <w:sz w:val="18"/>
                      <w:szCs w:val="18"/>
                    </w:rPr>
                  </w:pPr>
                  <w:r>
                    <w:rPr>
                      <w:b/>
                      <w:color w:val="auto"/>
                      <w:kern w:val="0"/>
                      <w:sz w:val="18"/>
                      <w:szCs w:val="18"/>
                      <w:lang w:bidi="ar"/>
                    </w:rPr>
                    <w:t>现有项目环评批复排放量</w:t>
                  </w:r>
                </w:p>
              </w:tc>
              <w:tc>
                <w:tcPr>
                  <w:tcW w:w="1012" w:type="pct"/>
                  <w:gridSpan w:val="2"/>
                  <w:shd w:val="clear" w:color="auto" w:fill="FFFFFF"/>
                  <w:vAlign w:val="center"/>
                </w:tcPr>
                <w:p w14:paraId="711A7E84">
                  <w:pPr>
                    <w:widowControl/>
                    <w:jc w:val="center"/>
                    <w:textAlignment w:val="center"/>
                    <w:rPr>
                      <w:b/>
                      <w:color w:val="auto"/>
                      <w:sz w:val="18"/>
                      <w:szCs w:val="18"/>
                    </w:rPr>
                  </w:pPr>
                  <w:r>
                    <w:rPr>
                      <w:b/>
                      <w:color w:val="auto"/>
                      <w:kern w:val="0"/>
                      <w:sz w:val="18"/>
                      <w:szCs w:val="18"/>
                      <w:lang w:bidi="ar"/>
                    </w:rPr>
                    <w:t>已建已验项目排放量</w:t>
                  </w:r>
                </w:p>
              </w:tc>
              <w:tc>
                <w:tcPr>
                  <w:tcW w:w="821" w:type="pct"/>
                  <w:gridSpan w:val="2"/>
                  <w:shd w:val="clear" w:color="auto" w:fill="FFFFFF"/>
                  <w:vAlign w:val="center"/>
                </w:tcPr>
                <w:p w14:paraId="20747C06">
                  <w:pPr>
                    <w:widowControl/>
                    <w:jc w:val="center"/>
                    <w:textAlignment w:val="center"/>
                    <w:rPr>
                      <w:b/>
                      <w:color w:val="auto"/>
                      <w:sz w:val="18"/>
                      <w:szCs w:val="18"/>
                    </w:rPr>
                  </w:pPr>
                  <w:r>
                    <w:rPr>
                      <w:rFonts w:hint="eastAsia"/>
                      <w:b/>
                      <w:color w:val="auto"/>
                      <w:kern w:val="0"/>
                      <w:sz w:val="18"/>
                      <w:szCs w:val="18"/>
                      <w:lang w:bidi="ar"/>
                    </w:rPr>
                    <w:t>在建</w:t>
                  </w:r>
                  <w:r>
                    <w:rPr>
                      <w:b/>
                      <w:color w:val="auto"/>
                      <w:kern w:val="0"/>
                      <w:sz w:val="18"/>
                      <w:szCs w:val="18"/>
                      <w:lang w:bidi="ar"/>
                    </w:rPr>
                    <w:t>项目排放量</w:t>
                  </w:r>
                </w:p>
              </w:tc>
              <w:tc>
                <w:tcPr>
                  <w:tcW w:w="799" w:type="pct"/>
                  <w:gridSpan w:val="2"/>
                  <w:shd w:val="clear" w:color="auto" w:fill="FFFFFF"/>
                  <w:vAlign w:val="center"/>
                </w:tcPr>
                <w:p w14:paraId="2FC6C594">
                  <w:pPr>
                    <w:widowControl/>
                    <w:jc w:val="center"/>
                    <w:textAlignment w:val="center"/>
                    <w:rPr>
                      <w:b/>
                      <w:color w:val="auto"/>
                      <w:sz w:val="18"/>
                      <w:szCs w:val="18"/>
                    </w:rPr>
                  </w:pPr>
                  <w:r>
                    <w:rPr>
                      <w:b/>
                      <w:color w:val="auto"/>
                      <w:kern w:val="0"/>
                      <w:sz w:val="18"/>
                      <w:szCs w:val="18"/>
                      <w:lang w:bidi="ar"/>
                    </w:rPr>
                    <w:t>弃建项目排放量</w:t>
                  </w:r>
                </w:p>
              </w:tc>
              <w:tc>
                <w:tcPr>
                  <w:tcW w:w="505" w:type="pct"/>
                  <w:shd w:val="clear" w:color="auto" w:fill="FFFFFF"/>
                  <w:vAlign w:val="center"/>
                </w:tcPr>
                <w:p w14:paraId="7796789B">
                  <w:pPr>
                    <w:widowControl/>
                    <w:jc w:val="center"/>
                    <w:textAlignment w:val="center"/>
                    <w:rPr>
                      <w:b/>
                      <w:color w:val="auto"/>
                      <w:sz w:val="18"/>
                      <w:szCs w:val="18"/>
                    </w:rPr>
                  </w:pPr>
                  <w:r>
                    <w:rPr>
                      <w:b/>
                      <w:color w:val="auto"/>
                      <w:kern w:val="0"/>
                      <w:sz w:val="18"/>
                      <w:szCs w:val="18"/>
                      <w:lang w:bidi="ar"/>
                    </w:rPr>
                    <w:t>排污许可证许可排放量</w:t>
                  </w:r>
                </w:p>
              </w:tc>
            </w:tr>
            <w:tr w14:paraId="6317BCDB">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219" w:type="pct"/>
                  <w:vMerge w:val="restart"/>
                  <w:shd w:val="clear" w:color="auto" w:fill="FFFFFF"/>
                  <w:vAlign w:val="center"/>
                </w:tcPr>
                <w:p w14:paraId="5CEF2E55">
                  <w:pPr>
                    <w:widowControl/>
                    <w:jc w:val="center"/>
                    <w:textAlignment w:val="center"/>
                    <w:rPr>
                      <w:color w:val="auto"/>
                      <w:sz w:val="18"/>
                      <w:szCs w:val="18"/>
                    </w:rPr>
                  </w:pPr>
                  <w:r>
                    <w:rPr>
                      <w:color w:val="auto"/>
                      <w:kern w:val="0"/>
                      <w:sz w:val="18"/>
                      <w:szCs w:val="18"/>
                      <w:lang w:bidi="ar"/>
                    </w:rPr>
                    <w:t>废气</w:t>
                  </w:r>
                </w:p>
              </w:tc>
              <w:tc>
                <w:tcPr>
                  <w:tcW w:w="219" w:type="pct"/>
                  <w:vMerge w:val="restart"/>
                  <w:shd w:val="clear" w:color="auto" w:fill="FFFFFF"/>
                  <w:vAlign w:val="center"/>
                </w:tcPr>
                <w:p w14:paraId="5ED167EA">
                  <w:pPr>
                    <w:widowControl/>
                    <w:jc w:val="center"/>
                    <w:textAlignment w:val="center"/>
                    <w:rPr>
                      <w:color w:val="auto"/>
                      <w:sz w:val="18"/>
                      <w:szCs w:val="18"/>
                    </w:rPr>
                  </w:pPr>
                  <w:r>
                    <w:rPr>
                      <w:color w:val="auto"/>
                      <w:kern w:val="0"/>
                      <w:sz w:val="18"/>
                      <w:szCs w:val="18"/>
                      <w:lang w:bidi="ar"/>
                    </w:rPr>
                    <w:t>有组织</w:t>
                  </w:r>
                </w:p>
              </w:tc>
              <w:tc>
                <w:tcPr>
                  <w:tcW w:w="410" w:type="pct"/>
                  <w:shd w:val="clear" w:color="auto" w:fill="FFFFFF"/>
                  <w:vAlign w:val="center"/>
                </w:tcPr>
                <w:p w14:paraId="228C7193">
                  <w:pPr>
                    <w:widowControl/>
                    <w:jc w:val="center"/>
                    <w:textAlignment w:val="center"/>
                    <w:rPr>
                      <w:color w:val="auto"/>
                      <w:sz w:val="18"/>
                      <w:szCs w:val="18"/>
                    </w:rPr>
                  </w:pPr>
                  <w:r>
                    <w:rPr>
                      <w:color w:val="auto"/>
                      <w:kern w:val="0"/>
                      <w:sz w:val="18"/>
                      <w:szCs w:val="18"/>
                      <w:lang w:bidi="ar"/>
                    </w:rPr>
                    <w:t>NH</w:t>
                  </w:r>
                  <w:r>
                    <w:rPr>
                      <w:color w:val="auto"/>
                      <w:kern w:val="0"/>
                      <w:sz w:val="18"/>
                      <w:szCs w:val="18"/>
                      <w:vertAlign w:val="subscript"/>
                      <w:lang w:bidi="ar"/>
                    </w:rPr>
                    <w:t>3</w:t>
                  </w:r>
                </w:p>
              </w:tc>
              <w:tc>
                <w:tcPr>
                  <w:tcW w:w="1012" w:type="pct"/>
                  <w:gridSpan w:val="2"/>
                  <w:shd w:val="clear" w:color="auto" w:fill="FFFFFF"/>
                  <w:vAlign w:val="center"/>
                </w:tcPr>
                <w:p w14:paraId="00EDC7A8">
                  <w:pPr>
                    <w:widowControl/>
                    <w:jc w:val="center"/>
                    <w:textAlignment w:val="center"/>
                    <w:rPr>
                      <w:bCs/>
                      <w:color w:val="auto"/>
                      <w:sz w:val="18"/>
                      <w:szCs w:val="18"/>
                    </w:rPr>
                  </w:pPr>
                  <w:r>
                    <w:rPr>
                      <w:bCs/>
                      <w:color w:val="auto"/>
                      <w:kern w:val="0"/>
                      <w:sz w:val="18"/>
                      <w:szCs w:val="18"/>
                      <w:lang w:bidi="ar"/>
                    </w:rPr>
                    <w:t>0.211</w:t>
                  </w:r>
                </w:p>
              </w:tc>
              <w:tc>
                <w:tcPr>
                  <w:tcW w:w="1012" w:type="pct"/>
                  <w:gridSpan w:val="2"/>
                  <w:shd w:val="clear" w:color="auto" w:fill="FFFFFF"/>
                  <w:vAlign w:val="center"/>
                </w:tcPr>
                <w:p w14:paraId="3D1134CC">
                  <w:pPr>
                    <w:widowControl/>
                    <w:jc w:val="center"/>
                    <w:textAlignment w:val="center"/>
                    <w:rPr>
                      <w:bCs/>
                      <w:color w:val="auto"/>
                      <w:sz w:val="18"/>
                      <w:szCs w:val="18"/>
                    </w:rPr>
                  </w:pPr>
                  <w:r>
                    <w:rPr>
                      <w:bCs/>
                      <w:color w:val="auto"/>
                      <w:kern w:val="0"/>
                      <w:sz w:val="18"/>
                      <w:szCs w:val="18"/>
                      <w:lang w:bidi="ar"/>
                    </w:rPr>
                    <w:t>0.193</w:t>
                  </w:r>
                </w:p>
              </w:tc>
              <w:tc>
                <w:tcPr>
                  <w:tcW w:w="821" w:type="pct"/>
                  <w:gridSpan w:val="2"/>
                  <w:shd w:val="clear" w:color="auto" w:fill="FFFFFF"/>
                  <w:vAlign w:val="center"/>
                </w:tcPr>
                <w:p w14:paraId="58235BDD">
                  <w:pPr>
                    <w:widowControl/>
                    <w:jc w:val="center"/>
                    <w:textAlignment w:val="center"/>
                    <w:rPr>
                      <w:bCs/>
                      <w:color w:val="auto"/>
                      <w:sz w:val="18"/>
                      <w:szCs w:val="18"/>
                    </w:rPr>
                  </w:pPr>
                  <w:r>
                    <w:rPr>
                      <w:bCs/>
                      <w:color w:val="auto"/>
                      <w:kern w:val="0"/>
                      <w:sz w:val="18"/>
                      <w:szCs w:val="18"/>
                      <w:lang w:bidi="ar"/>
                    </w:rPr>
                    <w:t>0</w:t>
                  </w:r>
                </w:p>
              </w:tc>
              <w:tc>
                <w:tcPr>
                  <w:tcW w:w="799" w:type="pct"/>
                  <w:gridSpan w:val="2"/>
                  <w:shd w:val="clear" w:color="auto" w:fill="FFFFFF"/>
                  <w:vAlign w:val="center"/>
                </w:tcPr>
                <w:p w14:paraId="5F8805D9">
                  <w:pPr>
                    <w:widowControl/>
                    <w:jc w:val="center"/>
                    <w:textAlignment w:val="center"/>
                    <w:rPr>
                      <w:bCs/>
                      <w:color w:val="auto"/>
                      <w:sz w:val="18"/>
                      <w:szCs w:val="18"/>
                    </w:rPr>
                  </w:pPr>
                  <w:r>
                    <w:rPr>
                      <w:bCs/>
                      <w:color w:val="auto"/>
                      <w:kern w:val="0"/>
                      <w:sz w:val="18"/>
                      <w:szCs w:val="18"/>
                      <w:lang w:bidi="ar"/>
                    </w:rPr>
                    <w:t>0.018</w:t>
                  </w:r>
                </w:p>
              </w:tc>
              <w:tc>
                <w:tcPr>
                  <w:tcW w:w="505" w:type="pct"/>
                  <w:shd w:val="clear" w:color="auto" w:fill="FFFFFF"/>
                  <w:noWrap/>
                  <w:vAlign w:val="center"/>
                </w:tcPr>
                <w:p w14:paraId="00554A80">
                  <w:pPr>
                    <w:widowControl/>
                    <w:jc w:val="center"/>
                    <w:textAlignment w:val="center"/>
                    <w:rPr>
                      <w:color w:val="auto"/>
                      <w:sz w:val="18"/>
                      <w:szCs w:val="18"/>
                    </w:rPr>
                  </w:pPr>
                  <w:r>
                    <w:rPr>
                      <w:color w:val="auto"/>
                      <w:kern w:val="0"/>
                      <w:sz w:val="18"/>
                      <w:szCs w:val="18"/>
                      <w:lang w:bidi="ar"/>
                    </w:rPr>
                    <w:t>/</w:t>
                  </w:r>
                </w:p>
              </w:tc>
            </w:tr>
            <w:tr w14:paraId="3B8725B0">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19" w:type="pct"/>
                  <w:vMerge w:val="continue"/>
                  <w:shd w:val="clear" w:color="auto" w:fill="FFFFFF"/>
                  <w:vAlign w:val="center"/>
                </w:tcPr>
                <w:p w14:paraId="20B50BC8">
                  <w:pPr>
                    <w:jc w:val="center"/>
                    <w:rPr>
                      <w:color w:val="auto"/>
                      <w:sz w:val="18"/>
                      <w:szCs w:val="18"/>
                    </w:rPr>
                  </w:pPr>
                </w:p>
              </w:tc>
              <w:tc>
                <w:tcPr>
                  <w:tcW w:w="219" w:type="pct"/>
                  <w:vMerge w:val="continue"/>
                  <w:shd w:val="clear" w:color="auto" w:fill="FFFFFF"/>
                  <w:vAlign w:val="center"/>
                </w:tcPr>
                <w:p w14:paraId="5C91C0EF">
                  <w:pPr>
                    <w:jc w:val="center"/>
                    <w:rPr>
                      <w:color w:val="auto"/>
                      <w:sz w:val="18"/>
                      <w:szCs w:val="18"/>
                    </w:rPr>
                  </w:pPr>
                </w:p>
              </w:tc>
              <w:tc>
                <w:tcPr>
                  <w:tcW w:w="410" w:type="pct"/>
                  <w:shd w:val="clear" w:color="auto" w:fill="FFFFFF"/>
                  <w:vAlign w:val="center"/>
                </w:tcPr>
                <w:p w14:paraId="5EA38363">
                  <w:pPr>
                    <w:widowControl/>
                    <w:jc w:val="center"/>
                    <w:textAlignment w:val="center"/>
                    <w:rPr>
                      <w:color w:val="auto"/>
                      <w:sz w:val="18"/>
                      <w:szCs w:val="18"/>
                    </w:rPr>
                  </w:pPr>
                  <w:r>
                    <w:rPr>
                      <w:color w:val="auto"/>
                      <w:kern w:val="0"/>
                      <w:sz w:val="18"/>
                      <w:szCs w:val="18"/>
                      <w:lang w:bidi="ar"/>
                    </w:rPr>
                    <w:t>Cl</w:t>
                  </w:r>
                  <w:r>
                    <w:rPr>
                      <w:color w:val="auto"/>
                      <w:kern w:val="0"/>
                      <w:sz w:val="18"/>
                      <w:szCs w:val="18"/>
                      <w:vertAlign w:val="subscript"/>
                      <w:lang w:bidi="ar"/>
                    </w:rPr>
                    <w:t>2</w:t>
                  </w:r>
                </w:p>
              </w:tc>
              <w:tc>
                <w:tcPr>
                  <w:tcW w:w="1012" w:type="pct"/>
                  <w:gridSpan w:val="2"/>
                  <w:shd w:val="clear" w:color="auto" w:fill="FFFFFF"/>
                  <w:vAlign w:val="center"/>
                </w:tcPr>
                <w:p w14:paraId="41F462C1">
                  <w:pPr>
                    <w:widowControl/>
                    <w:jc w:val="center"/>
                    <w:textAlignment w:val="center"/>
                    <w:rPr>
                      <w:bCs/>
                      <w:color w:val="auto"/>
                      <w:sz w:val="18"/>
                      <w:szCs w:val="18"/>
                    </w:rPr>
                  </w:pPr>
                  <w:r>
                    <w:rPr>
                      <w:bCs/>
                      <w:color w:val="auto"/>
                      <w:kern w:val="0"/>
                      <w:sz w:val="18"/>
                      <w:szCs w:val="18"/>
                      <w:lang w:bidi="ar"/>
                    </w:rPr>
                    <w:t>0.167</w:t>
                  </w:r>
                </w:p>
              </w:tc>
              <w:tc>
                <w:tcPr>
                  <w:tcW w:w="1012" w:type="pct"/>
                  <w:gridSpan w:val="2"/>
                  <w:shd w:val="clear" w:color="auto" w:fill="FFFFFF"/>
                  <w:vAlign w:val="center"/>
                </w:tcPr>
                <w:p w14:paraId="577D4E45">
                  <w:pPr>
                    <w:widowControl/>
                    <w:jc w:val="center"/>
                    <w:textAlignment w:val="center"/>
                    <w:rPr>
                      <w:bCs/>
                      <w:color w:val="auto"/>
                      <w:sz w:val="18"/>
                      <w:szCs w:val="18"/>
                    </w:rPr>
                  </w:pPr>
                  <w:r>
                    <w:rPr>
                      <w:bCs/>
                      <w:color w:val="auto"/>
                      <w:kern w:val="0"/>
                      <w:sz w:val="18"/>
                      <w:szCs w:val="18"/>
                      <w:lang w:bidi="ar"/>
                    </w:rPr>
                    <w:t>0.097</w:t>
                  </w:r>
                </w:p>
              </w:tc>
              <w:tc>
                <w:tcPr>
                  <w:tcW w:w="821" w:type="pct"/>
                  <w:gridSpan w:val="2"/>
                  <w:shd w:val="clear" w:color="auto" w:fill="FFFFFF"/>
                  <w:vAlign w:val="center"/>
                </w:tcPr>
                <w:p w14:paraId="7D3083D4">
                  <w:pPr>
                    <w:widowControl/>
                    <w:jc w:val="center"/>
                    <w:textAlignment w:val="center"/>
                    <w:rPr>
                      <w:bCs/>
                      <w:color w:val="auto"/>
                      <w:sz w:val="18"/>
                      <w:szCs w:val="18"/>
                    </w:rPr>
                  </w:pPr>
                  <w:r>
                    <w:rPr>
                      <w:bCs/>
                      <w:color w:val="auto"/>
                      <w:kern w:val="0"/>
                      <w:sz w:val="18"/>
                      <w:szCs w:val="18"/>
                      <w:lang w:bidi="ar"/>
                    </w:rPr>
                    <w:t>0</w:t>
                  </w:r>
                </w:p>
              </w:tc>
              <w:tc>
                <w:tcPr>
                  <w:tcW w:w="799" w:type="pct"/>
                  <w:gridSpan w:val="2"/>
                  <w:shd w:val="clear" w:color="auto" w:fill="FFFFFF"/>
                  <w:vAlign w:val="center"/>
                </w:tcPr>
                <w:p w14:paraId="493E6941">
                  <w:pPr>
                    <w:widowControl/>
                    <w:jc w:val="center"/>
                    <w:textAlignment w:val="center"/>
                    <w:rPr>
                      <w:bCs/>
                      <w:color w:val="auto"/>
                      <w:sz w:val="18"/>
                      <w:szCs w:val="18"/>
                    </w:rPr>
                  </w:pPr>
                  <w:r>
                    <w:rPr>
                      <w:bCs/>
                      <w:color w:val="auto"/>
                      <w:kern w:val="0"/>
                      <w:sz w:val="18"/>
                      <w:szCs w:val="18"/>
                      <w:lang w:bidi="ar"/>
                    </w:rPr>
                    <w:t>0.07</w:t>
                  </w:r>
                </w:p>
              </w:tc>
              <w:tc>
                <w:tcPr>
                  <w:tcW w:w="505" w:type="pct"/>
                  <w:shd w:val="clear" w:color="auto" w:fill="FFFFFF"/>
                  <w:noWrap/>
                  <w:vAlign w:val="center"/>
                </w:tcPr>
                <w:p w14:paraId="7A58CB96">
                  <w:pPr>
                    <w:widowControl/>
                    <w:jc w:val="center"/>
                    <w:textAlignment w:val="center"/>
                    <w:rPr>
                      <w:color w:val="auto"/>
                      <w:sz w:val="18"/>
                      <w:szCs w:val="18"/>
                    </w:rPr>
                  </w:pPr>
                  <w:r>
                    <w:rPr>
                      <w:color w:val="auto"/>
                      <w:kern w:val="0"/>
                      <w:sz w:val="18"/>
                      <w:szCs w:val="18"/>
                      <w:lang w:bidi="ar"/>
                    </w:rPr>
                    <w:t>/</w:t>
                  </w:r>
                </w:p>
              </w:tc>
            </w:tr>
            <w:tr w14:paraId="4DB53090">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19" w:type="pct"/>
                  <w:vMerge w:val="continue"/>
                  <w:shd w:val="clear" w:color="auto" w:fill="FFFFFF"/>
                  <w:vAlign w:val="center"/>
                </w:tcPr>
                <w:p w14:paraId="4ABDB5DE">
                  <w:pPr>
                    <w:jc w:val="center"/>
                    <w:rPr>
                      <w:color w:val="auto"/>
                      <w:sz w:val="18"/>
                      <w:szCs w:val="18"/>
                    </w:rPr>
                  </w:pPr>
                </w:p>
              </w:tc>
              <w:tc>
                <w:tcPr>
                  <w:tcW w:w="219" w:type="pct"/>
                  <w:vMerge w:val="continue"/>
                  <w:shd w:val="clear" w:color="auto" w:fill="FFFFFF"/>
                  <w:vAlign w:val="center"/>
                </w:tcPr>
                <w:p w14:paraId="6AF6D2D3">
                  <w:pPr>
                    <w:jc w:val="center"/>
                    <w:rPr>
                      <w:color w:val="auto"/>
                      <w:sz w:val="18"/>
                      <w:szCs w:val="18"/>
                    </w:rPr>
                  </w:pPr>
                </w:p>
              </w:tc>
              <w:tc>
                <w:tcPr>
                  <w:tcW w:w="410" w:type="pct"/>
                  <w:shd w:val="clear" w:color="auto" w:fill="FFFFFF"/>
                  <w:vAlign w:val="center"/>
                </w:tcPr>
                <w:p w14:paraId="1A02C5F1">
                  <w:pPr>
                    <w:widowControl/>
                    <w:jc w:val="center"/>
                    <w:textAlignment w:val="center"/>
                    <w:rPr>
                      <w:color w:val="auto"/>
                      <w:sz w:val="18"/>
                      <w:szCs w:val="18"/>
                    </w:rPr>
                  </w:pPr>
                  <w:r>
                    <w:rPr>
                      <w:color w:val="auto"/>
                      <w:kern w:val="0"/>
                      <w:sz w:val="18"/>
                      <w:szCs w:val="18"/>
                      <w:lang w:bidi="ar"/>
                    </w:rPr>
                    <w:t>HCl</w:t>
                  </w:r>
                </w:p>
              </w:tc>
              <w:tc>
                <w:tcPr>
                  <w:tcW w:w="1012" w:type="pct"/>
                  <w:gridSpan w:val="2"/>
                  <w:shd w:val="clear" w:color="auto" w:fill="FFFFFF"/>
                  <w:vAlign w:val="center"/>
                </w:tcPr>
                <w:p w14:paraId="77706791">
                  <w:pPr>
                    <w:widowControl/>
                    <w:jc w:val="center"/>
                    <w:textAlignment w:val="center"/>
                    <w:rPr>
                      <w:bCs/>
                      <w:color w:val="auto"/>
                      <w:sz w:val="18"/>
                      <w:szCs w:val="18"/>
                    </w:rPr>
                  </w:pPr>
                  <w:r>
                    <w:rPr>
                      <w:bCs/>
                      <w:color w:val="auto"/>
                      <w:kern w:val="0"/>
                      <w:sz w:val="18"/>
                      <w:szCs w:val="18"/>
                      <w:lang w:bidi="ar"/>
                    </w:rPr>
                    <w:t>0.499</w:t>
                  </w:r>
                </w:p>
              </w:tc>
              <w:tc>
                <w:tcPr>
                  <w:tcW w:w="1012" w:type="pct"/>
                  <w:gridSpan w:val="2"/>
                  <w:shd w:val="clear" w:color="auto" w:fill="FFFFFF"/>
                  <w:vAlign w:val="center"/>
                </w:tcPr>
                <w:p w14:paraId="2E422EA5">
                  <w:pPr>
                    <w:widowControl/>
                    <w:jc w:val="center"/>
                    <w:textAlignment w:val="center"/>
                    <w:rPr>
                      <w:bCs/>
                      <w:color w:val="auto"/>
                      <w:sz w:val="18"/>
                      <w:szCs w:val="18"/>
                    </w:rPr>
                  </w:pPr>
                  <w:r>
                    <w:rPr>
                      <w:bCs/>
                      <w:color w:val="auto"/>
                      <w:kern w:val="0"/>
                      <w:sz w:val="18"/>
                      <w:szCs w:val="18"/>
                      <w:lang w:bidi="ar"/>
                    </w:rPr>
                    <w:t>0.0251</w:t>
                  </w:r>
                </w:p>
              </w:tc>
              <w:tc>
                <w:tcPr>
                  <w:tcW w:w="821" w:type="pct"/>
                  <w:gridSpan w:val="2"/>
                  <w:shd w:val="clear" w:color="auto" w:fill="FFFFFF"/>
                  <w:vAlign w:val="center"/>
                </w:tcPr>
                <w:p w14:paraId="3C044B48">
                  <w:pPr>
                    <w:widowControl/>
                    <w:jc w:val="center"/>
                    <w:textAlignment w:val="center"/>
                    <w:rPr>
                      <w:bCs/>
                      <w:color w:val="auto"/>
                      <w:sz w:val="18"/>
                      <w:szCs w:val="18"/>
                    </w:rPr>
                  </w:pPr>
                  <w:r>
                    <w:rPr>
                      <w:bCs/>
                      <w:color w:val="auto"/>
                      <w:kern w:val="0"/>
                      <w:sz w:val="18"/>
                      <w:szCs w:val="18"/>
                      <w:lang w:bidi="ar"/>
                    </w:rPr>
                    <w:t>0</w:t>
                  </w:r>
                </w:p>
              </w:tc>
              <w:tc>
                <w:tcPr>
                  <w:tcW w:w="799" w:type="pct"/>
                  <w:gridSpan w:val="2"/>
                  <w:shd w:val="clear" w:color="auto" w:fill="FFFFFF"/>
                  <w:vAlign w:val="center"/>
                </w:tcPr>
                <w:p w14:paraId="0BC8CCBF">
                  <w:pPr>
                    <w:widowControl/>
                    <w:jc w:val="center"/>
                    <w:textAlignment w:val="center"/>
                    <w:rPr>
                      <w:bCs/>
                      <w:color w:val="auto"/>
                      <w:sz w:val="18"/>
                      <w:szCs w:val="18"/>
                    </w:rPr>
                  </w:pPr>
                  <w:r>
                    <w:rPr>
                      <w:bCs/>
                      <w:color w:val="auto"/>
                      <w:kern w:val="0"/>
                      <w:sz w:val="18"/>
                      <w:szCs w:val="18"/>
                      <w:lang w:bidi="ar"/>
                    </w:rPr>
                    <w:t>0.4739</w:t>
                  </w:r>
                </w:p>
              </w:tc>
              <w:tc>
                <w:tcPr>
                  <w:tcW w:w="505" w:type="pct"/>
                  <w:shd w:val="clear" w:color="auto" w:fill="FFFFFF"/>
                  <w:noWrap/>
                  <w:vAlign w:val="center"/>
                </w:tcPr>
                <w:p w14:paraId="316368B8">
                  <w:pPr>
                    <w:widowControl/>
                    <w:jc w:val="center"/>
                    <w:textAlignment w:val="center"/>
                    <w:rPr>
                      <w:color w:val="auto"/>
                      <w:sz w:val="18"/>
                      <w:szCs w:val="18"/>
                    </w:rPr>
                  </w:pPr>
                  <w:r>
                    <w:rPr>
                      <w:color w:val="auto"/>
                      <w:kern w:val="0"/>
                      <w:sz w:val="18"/>
                      <w:szCs w:val="18"/>
                      <w:lang w:bidi="ar"/>
                    </w:rPr>
                    <w:t>/</w:t>
                  </w:r>
                </w:p>
              </w:tc>
            </w:tr>
            <w:tr w14:paraId="406D07FA">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19" w:type="pct"/>
                  <w:vMerge w:val="continue"/>
                  <w:shd w:val="clear" w:color="auto" w:fill="FFFFFF"/>
                  <w:vAlign w:val="center"/>
                </w:tcPr>
                <w:p w14:paraId="3B14D65C">
                  <w:pPr>
                    <w:jc w:val="center"/>
                    <w:rPr>
                      <w:color w:val="auto"/>
                      <w:sz w:val="18"/>
                      <w:szCs w:val="18"/>
                    </w:rPr>
                  </w:pPr>
                </w:p>
              </w:tc>
              <w:tc>
                <w:tcPr>
                  <w:tcW w:w="219" w:type="pct"/>
                  <w:vMerge w:val="continue"/>
                  <w:shd w:val="clear" w:color="auto" w:fill="FFFFFF"/>
                  <w:vAlign w:val="center"/>
                </w:tcPr>
                <w:p w14:paraId="29705D4B">
                  <w:pPr>
                    <w:jc w:val="center"/>
                    <w:rPr>
                      <w:color w:val="auto"/>
                      <w:sz w:val="18"/>
                      <w:szCs w:val="18"/>
                    </w:rPr>
                  </w:pPr>
                </w:p>
              </w:tc>
              <w:tc>
                <w:tcPr>
                  <w:tcW w:w="410" w:type="pct"/>
                  <w:shd w:val="clear" w:color="auto" w:fill="FFFFFF"/>
                  <w:vAlign w:val="center"/>
                </w:tcPr>
                <w:p w14:paraId="56B7BFDD">
                  <w:pPr>
                    <w:widowControl/>
                    <w:jc w:val="center"/>
                    <w:textAlignment w:val="center"/>
                    <w:rPr>
                      <w:color w:val="auto"/>
                      <w:sz w:val="18"/>
                      <w:szCs w:val="18"/>
                    </w:rPr>
                  </w:pPr>
                  <w:r>
                    <w:rPr>
                      <w:color w:val="auto"/>
                      <w:kern w:val="0"/>
                      <w:sz w:val="18"/>
                      <w:szCs w:val="18"/>
                      <w:lang w:bidi="ar"/>
                    </w:rPr>
                    <w:t>硫酸雾</w:t>
                  </w:r>
                </w:p>
              </w:tc>
              <w:tc>
                <w:tcPr>
                  <w:tcW w:w="1012" w:type="pct"/>
                  <w:gridSpan w:val="2"/>
                  <w:shd w:val="clear" w:color="auto" w:fill="FFFFFF"/>
                  <w:vAlign w:val="center"/>
                </w:tcPr>
                <w:p w14:paraId="62487546">
                  <w:pPr>
                    <w:widowControl/>
                    <w:jc w:val="center"/>
                    <w:textAlignment w:val="center"/>
                    <w:rPr>
                      <w:bCs/>
                      <w:color w:val="auto"/>
                      <w:sz w:val="18"/>
                      <w:szCs w:val="18"/>
                    </w:rPr>
                  </w:pPr>
                  <w:r>
                    <w:rPr>
                      <w:bCs/>
                      <w:color w:val="auto"/>
                      <w:kern w:val="0"/>
                      <w:sz w:val="18"/>
                      <w:szCs w:val="18"/>
                      <w:lang w:bidi="ar"/>
                    </w:rPr>
                    <w:t>0.929</w:t>
                  </w:r>
                </w:p>
              </w:tc>
              <w:tc>
                <w:tcPr>
                  <w:tcW w:w="1012" w:type="pct"/>
                  <w:gridSpan w:val="2"/>
                  <w:shd w:val="clear" w:color="auto" w:fill="FFFFFF"/>
                  <w:vAlign w:val="center"/>
                </w:tcPr>
                <w:p w14:paraId="10C7DF2A">
                  <w:pPr>
                    <w:widowControl/>
                    <w:jc w:val="center"/>
                    <w:textAlignment w:val="center"/>
                    <w:rPr>
                      <w:bCs/>
                      <w:color w:val="auto"/>
                      <w:sz w:val="18"/>
                      <w:szCs w:val="18"/>
                    </w:rPr>
                  </w:pPr>
                  <w:r>
                    <w:rPr>
                      <w:bCs/>
                      <w:color w:val="auto"/>
                      <w:kern w:val="0"/>
                      <w:sz w:val="18"/>
                      <w:szCs w:val="18"/>
                      <w:lang w:bidi="ar"/>
                    </w:rPr>
                    <w:t>0.0009</w:t>
                  </w:r>
                </w:p>
              </w:tc>
              <w:tc>
                <w:tcPr>
                  <w:tcW w:w="821" w:type="pct"/>
                  <w:gridSpan w:val="2"/>
                  <w:shd w:val="clear" w:color="auto" w:fill="FFFFFF"/>
                  <w:vAlign w:val="center"/>
                </w:tcPr>
                <w:p w14:paraId="5EC914D7">
                  <w:pPr>
                    <w:widowControl/>
                    <w:jc w:val="center"/>
                    <w:textAlignment w:val="center"/>
                    <w:rPr>
                      <w:bCs/>
                      <w:color w:val="auto"/>
                      <w:sz w:val="18"/>
                      <w:szCs w:val="18"/>
                    </w:rPr>
                  </w:pPr>
                  <w:r>
                    <w:rPr>
                      <w:bCs/>
                      <w:color w:val="auto"/>
                      <w:kern w:val="0"/>
                      <w:sz w:val="18"/>
                      <w:szCs w:val="18"/>
                      <w:lang w:bidi="ar"/>
                    </w:rPr>
                    <w:t>0.9281</w:t>
                  </w:r>
                </w:p>
              </w:tc>
              <w:tc>
                <w:tcPr>
                  <w:tcW w:w="799" w:type="pct"/>
                  <w:gridSpan w:val="2"/>
                  <w:shd w:val="clear" w:color="auto" w:fill="FFFFFF"/>
                  <w:vAlign w:val="center"/>
                </w:tcPr>
                <w:p w14:paraId="633159FD">
                  <w:pPr>
                    <w:widowControl/>
                    <w:jc w:val="center"/>
                    <w:textAlignment w:val="center"/>
                    <w:rPr>
                      <w:bCs/>
                      <w:color w:val="auto"/>
                      <w:sz w:val="18"/>
                      <w:szCs w:val="18"/>
                    </w:rPr>
                  </w:pPr>
                  <w:r>
                    <w:rPr>
                      <w:bCs/>
                      <w:color w:val="auto"/>
                      <w:kern w:val="0"/>
                      <w:sz w:val="18"/>
                      <w:szCs w:val="18"/>
                      <w:lang w:bidi="ar"/>
                    </w:rPr>
                    <w:t>0</w:t>
                  </w:r>
                </w:p>
              </w:tc>
              <w:tc>
                <w:tcPr>
                  <w:tcW w:w="505" w:type="pct"/>
                  <w:shd w:val="clear" w:color="auto" w:fill="FFFFFF"/>
                  <w:noWrap/>
                  <w:vAlign w:val="center"/>
                </w:tcPr>
                <w:p w14:paraId="77562F99">
                  <w:pPr>
                    <w:widowControl/>
                    <w:jc w:val="center"/>
                    <w:textAlignment w:val="center"/>
                    <w:rPr>
                      <w:color w:val="auto"/>
                      <w:sz w:val="18"/>
                      <w:szCs w:val="18"/>
                    </w:rPr>
                  </w:pPr>
                  <w:r>
                    <w:rPr>
                      <w:color w:val="auto"/>
                      <w:kern w:val="0"/>
                      <w:sz w:val="18"/>
                      <w:szCs w:val="18"/>
                      <w:lang w:bidi="ar"/>
                    </w:rPr>
                    <w:t>/</w:t>
                  </w:r>
                </w:p>
              </w:tc>
            </w:tr>
            <w:tr w14:paraId="46FBA242">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19" w:type="pct"/>
                  <w:vMerge w:val="continue"/>
                  <w:shd w:val="clear" w:color="auto" w:fill="FFFFFF"/>
                  <w:vAlign w:val="center"/>
                </w:tcPr>
                <w:p w14:paraId="31D7E45A">
                  <w:pPr>
                    <w:jc w:val="center"/>
                    <w:rPr>
                      <w:color w:val="auto"/>
                      <w:sz w:val="18"/>
                      <w:szCs w:val="18"/>
                    </w:rPr>
                  </w:pPr>
                </w:p>
              </w:tc>
              <w:tc>
                <w:tcPr>
                  <w:tcW w:w="219" w:type="pct"/>
                  <w:vMerge w:val="continue"/>
                  <w:shd w:val="clear" w:color="auto" w:fill="FFFFFF"/>
                  <w:vAlign w:val="center"/>
                </w:tcPr>
                <w:p w14:paraId="42602511">
                  <w:pPr>
                    <w:jc w:val="center"/>
                    <w:rPr>
                      <w:color w:val="auto"/>
                      <w:sz w:val="18"/>
                      <w:szCs w:val="18"/>
                    </w:rPr>
                  </w:pPr>
                </w:p>
              </w:tc>
              <w:tc>
                <w:tcPr>
                  <w:tcW w:w="410" w:type="pct"/>
                  <w:shd w:val="clear" w:color="auto" w:fill="FFFFFF"/>
                  <w:vAlign w:val="center"/>
                </w:tcPr>
                <w:p w14:paraId="7D7AC4E1">
                  <w:pPr>
                    <w:widowControl/>
                    <w:jc w:val="center"/>
                    <w:textAlignment w:val="center"/>
                    <w:rPr>
                      <w:color w:val="auto"/>
                      <w:sz w:val="18"/>
                      <w:szCs w:val="18"/>
                    </w:rPr>
                  </w:pPr>
                  <w:r>
                    <w:rPr>
                      <w:color w:val="auto"/>
                      <w:kern w:val="0"/>
                      <w:sz w:val="18"/>
                      <w:szCs w:val="18"/>
                      <w:lang w:bidi="ar"/>
                    </w:rPr>
                    <w:t>SO</w:t>
                  </w:r>
                  <w:r>
                    <w:rPr>
                      <w:color w:val="auto"/>
                      <w:kern w:val="0"/>
                      <w:sz w:val="18"/>
                      <w:szCs w:val="18"/>
                      <w:vertAlign w:val="subscript"/>
                      <w:lang w:bidi="ar"/>
                    </w:rPr>
                    <w:t>2</w:t>
                  </w:r>
                </w:p>
              </w:tc>
              <w:tc>
                <w:tcPr>
                  <w:tcW w:w="1012" w:type="pct"/>
                  <w:gridSpan w:val="2"/>
                  <w:shd w:val="clear" w:color="auto" w:fill="FFFFFF"/>
                  <w:vAlign w:val="center"/>
                </w:tcPr>
                <w:p w14:paraId="69DFE56B">
                  <w:pPr>
                    <w:widowControl/>
                    <w:jc w:val="center"/>
                    <w:textAlignment w:val="center"/>
                    <w:rPr>
                      <w:bCs/>
                      <w:color w:val="auto"/>
                      <w:sz w:val="18"/>
                      <w:szCs w:val="18"/>
                    </w:rPr>
                  </w:pPr>
                  <w:r>
                    <w:rPr>
                      <w:bCs/>
                      <w:color w:val="auto"/>
                      <w:kern w:val="0"/>
                      <w:sz w:val="18"/>
                      <w:szCs w:val="18"/>
                      <w:lang w:bidi="ar"/>
                    </w:rPr>
                    <w:t>1.596</w:t>
                  </w:r>
                </w:p>
              </w:tc>
              <w:tc>
                <w:tcPr>
                  <w:tcW w:w="1012" w:type="pct"/>
                  <w:gridSpan w:val="2"/>
                  <w:shd w:val="clear" w:color="auto" w:fill="FFFFFF"/>
                  <w:vAlign w:val="center"/>
                </w:tcPr>
                <w:p w14:paraId="4D713979">
                  <w:pPr>
                    <w:widowControl/>
                    <w:jc w:val="center"/>
                    <w:textAlignment w:val="center"/>
                    <w:rPr>
                      <w:bCs/>
                      <w:color w:val="auto"/>
                      <w:sz w:val="18"/>
                      <w:szCs w:val="18"/>
                    </w:rPr>
                  </w:pPr>
                  <w:r>
                    <w:rPr>
                      <w:bCs/>
                      <w:color w:val="auto"/>
                      <w:kern w:val="0"/>
                      <w:sz w:val="18"/>
                      <w:szCs w:val="18"/>
                      <w:lang w:bidi="ar"/>
                    </w:rPr>
                    <w:t>0</w:t>
                  </w:r>
                </w:p>
              </w:tc>
              <w:tc>
                <w:tcPr>
                  <w:tcW w:w="821" w:type="pct"/>
                  <w:gridSpan w:val="2"/>
                  <w:shd w:val="clear" w:color="auto" w:fill="FFFFFF"/>
                  <w:vAlign w:val="center"/>
                </w:tcPr>
                <w:p w14:paraId="0BB6BD9D">
                  <w:pPr>
                    <w:widowControl/>
                    <w:jc w:val="center"/>
                    <w:textAlignment w:val="center"/>
                    <w:rPr>
                      <w:bCs/>
                      <w:color w:val="auto"/>
                      <w:sz w:val="18"/>
                      <w:szCs w:val="18"/>
                    </w:rPr>
                  </w:pPr>
                  <w:r>
                    <w:rPr>
                      <w:bCs/>
                      <w:color w:val="auto"/>
                      <w:kern w:val="0"/>
                      <w:sz w:val="18"/>
                      <w:szCs w:val="18"/>
                      <w:lang w:bidi="ar"/>
                    </w:rPr>
                    <w:t>1.596</w:t>
                  </w:r>
                </w:p>
              </w:tc>
              <w:tc>
                <w:tcPr>
                  <w:tcW w:w="799" w:type="pct"/>
                  <w:gridSpan w:val="2"/>
                  <w:shd w:val="clear" w:color="auto" w:fill="FFFFFF"/>
                  <w:vAlign w:val="center"/>
                </w:tcPr>
                <w:p w14:paraId="7C94DDAA">
                  <w:pPr>
                    <w:widowControl/>
                    <w:jc w:val="center"/>
                    <w:textAlignment w:val="center"/>
                    <w:rPr>
                      <w:bCs/>
                      <w:color w:val="auto"/>
                      <w:sz w:val="18"/>
                      <w:szCs w:val="18"/>
                    </w:rPr>
                  </w:pPr>
                  <w:r>
                    <w:rPr>
                      <w:bCs/>
                      <w:color w:val="auto"/>
                      <w:kern w:val="0"/>
                      <w:sz w:val="18"/>
                      <w:szCs w:val="18"/>
                      <w:lang w:bidi="ar"/>
                    </w:rPr>
                    <w:t>0</w:t>
                  </w:r>
                </w:p>
              </w:tc>
              <w:tc>
                <w:tcPr>
                  <w:tcW w:w="505" w:type="pct"/>
                  <w:shd w:val="clear" w:color="auto" w:fill="FFFFFF"/>
                  <w:noWrap/>
                  <w:vAlign w:val="center"/>
                </w:tcPr>
                <w:p w14:paraId="7608B459">
                  <w:pPr>
                    <w:widowControl/>
                    <w:jc w:val="center"/>
                    <w:textAlignment w:val="center"/>
                    <w:rPr>
                      <w:color w:val="auto"/>
                      <w:sz w:val="18"/>
                      <w:szCs w:val="18"/>
                    </w:rPr>
                  </w:pPr>
                  <w:r>
                    <w:rPr>
                      <w:color w:val="auto"/>
                      <w:kern w:val="0"/>
                      <w:sz w:val="18"/>
                      <w:szCs w:val="18"/>
                      <w:lang w:bidi="ar"/>
                    </w:rPr>
                    <w:t>1.596</w:t>
                  </w:r>
                </w:p>
              </w:tc>
            </w:tr>
            <w:tr w14:paraId="6F9ADD55">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19" w:type="pct"/>
                  <w:vMerge w:val="continue"/>
                  <w:shd w:val="clear" w:color="auto" w:fill="FFFFFF"/>
                  <w:vAlign w:val="center"/>
                </w:tcPr>
                <w:p w14:paraId="3E8C956B">
                  <w:pPr>
                    <w:jc w:val="center"/>
                    <w:rPr>
                      <w:color w:val="auto"/>
                      <w:sz w:val="18"/>
                      <w:szCs w:val="18"/>
                    </w:rPr>
                  </w:pPr>
                </w:p>
              </w:tc>
              <w:tc>
                <w:tcPr>
                  <w:tcW w:w="219" w:type="pct"/>
                  <w:vMerge w:val="continue"/>
                  <w:shd w:val="clear" w:color="auto" w:fill="FFFFFF"/>
                  <w:vAlign w:val="center"/>
                </w:tcPr>
                <w:p w14:paraId="324D02BD">
                  <w:pPr>
                    <w:jc w:val="center"/>
                    <w:rPr>
                      <w:color w:val="auto"/>
                      <w:sz w:val="18"/>
                      <w:szCs w:val="18"/>
                    </w:rPr>
                  </w:pPr>
                </w:p>
              </w:tc>
              <w:tc>
                <w:tcPr>
                  <w:tcW w:w="410" w:type="pct"/>
                  <w:shd w:val="clear" w:color="auto" w:fill="FFFFFF"/>
                  <w:vAlign w:val="center"/>
                </w:tcPr>
                <w:p w14:paraId="4F6ED078">
                  <w:pPr>
                    <w:widowControl/>
                    <w:jc w:val="center"/>
                    <w:textAlignment w:val="center"/>
                    <w:rPr>
                      <w:color w:val="auto"/>
                      <w:sz w:val="18"/>
                      <w:szCs w:val="18"/>
                    </w:rPr>
                  </w:pPr>
                  <w:r>
                    <w:rPr>
                      <w:color w:val="auto"/>
                      <w:kern w:val="0"/>
                      <w:sz w:val="18"/>
                      <w:szCs w:val="18"/>
                      <w:lang w:bidi="ar"/>
                    </w:rPr>
                    <w:t>粉尘</w:t>
                  </w:r>
                </w:p>
              </w:tc>
              <w:tc>
                <w:tcPr>
                  <w:tcW w:w="1012" w:type="pct"/>
                  <w:gridSpan w:val="2"/>
                  <w:shd w:val="clear" w:color="auto" w:fill="FFFFFF"/>
                  <w:vAlign w:val="center"/>
                </w:tcPr>
                <w:p w14:paraId="69407431">
                  <w:pPr>
                    <w:widowControl/>
                    <w:jc w:val="center"/>
                    <w:textAlignment w:val="center"/>
                    <w:rPr>
                      <w:bCs/>
                      <w:color w:val="auto"/>
                      <w:sz w:val="18"/>
                      <w:szCs w:val="18"/>
                    </w:rPr>
                  </w:pPr>
                  <w:r>
                    <w:rPr>
                      <w:bCs/>
                      <w:color w:val="auto"/>
                      <w:kern w:val="0"/>
                      <w:sz w:val="18"/>
                      <w:szCs w:val="18"/>
                      <w:lang w:bidi="ar"/>
                    </w:rPr>
                    <w:t>0.145</w:t>
                  </w:r>
                </w:p>
              </w:tc>
              <w:tc>
                <w:tcPr>
                  <w:tcW w:w="1012" w:type="pct"/>
                  <w:gridSpan w:val="2"/>
                  <w:shd w:val="clear" w:color="auto" w:fill="FFFFFF"/>
                  <w:vAlign w:val="center"/>
                </w:tcPr>
                <w:p w14:paraId="68B66B84">
                  <w:pPr>
                    <w:widowControl/>
                    <w:jc w:val="center"/>
                    <w:textAlignment w:val="center"/>
                    <w:rPr>
                      <w:bCs/>
                      <w:color w:val="auto"/>
                      <w:sz w:val="18"/>
                      <w:szCs w:val="18"/>
                    </w:rPr>
                  </w:pPr>
                  <w:r>
                    <w:rPr>
                      <w:bCs/>
                      <w:color w:val="auto"/>
                      <w:kern w:val="0"/>
                      <w:sz w:val="18"/>
                      <w:szCs w:val="18"/>
                      <w:lang w:bidi="ar"/>
                    </w:rPr>
                    <w:t>0.0289</w:t>
                  </w:r>
                </w:p>
              </w:tc>
              <w:tc>
                <w:tcPr>
                  <w:tcW w:w="821" w:type="pct"/>
                  <w:gridSpan w:val="2"/>
                  <w:shd w:val="clear" w:color="auto" w:fill="FFFFFF"/>
                  <w:vAlign w:val="center"/>
                </w:tcPr>
                <w:p w14:paraId="3947A07D">
                  <w:pPr>
                    <w:widowControl/>
                    <w:jc w:val="center"/>
                    <w:textAlignment w:val="center"/>
                    <w:rPr>
                      <w:bCs/>
                      <w:color w:val="auto"/>
                      <w:sz w:val="18"/>
                      <w:szCs w:val="18"/>
                    </w:rPr>
                  </w:pPr>
                  <w:r>
                    <w:rPr>
                      <w:bCs/>
                      <w:color w:val="auto"/>
                      <w:kern w:val="0"/>
                      <w:sz w:val="18"/>
                      <w:szCs w:val="18"/>
                      <w:lang w:bidi="ar"/>
                    </w:rPr>
                    <w:t>0</w:t>
                  </w:r>
                </w:p>
              </w:tc>
              <w:tc>
                <w:tcPr>
                  <w:tcW w:w="799" w:type="pct"/>
                  <w:gridSpan w:val="2"/>
                  <w:shd w:val="clear" w:color="auto" w:fill="FFFFFF"/>
                  <w:vAlign w:val="center"/>
                </w:tcPr>
                <w:p w14:paraId="0BE4A6B7">
                  <w:pPr>
                    <w:widowControl/>
                    <w:jc w:val="center"/>
                    <w:textAlignment w:val="center"/>
                    <w:rPr>
                      <w:bCs/>
                      <w:color w:val="auto"/>
                      <w:sz w:val="18"/>
                      <w:szCs w:val="18"/>
                    </w:rPr>
                  </w:pPr>
                  <w:r>
                    <w:rPr>
                      <w:bCs/>
                      <w:color w:val="auto"/>
                      <w:kern w:val="0"/>
                      <w:sz w:val="18"/>
                      <w:szCs w:val="18"/>
                      <w:lang w:bidi="ar"/>
                    </w:rPr>
                    <w:t>0.1161</w:t>
                  </w:r>
                </w:p>
              </w:tc>
              <w:tc>
                <w:tcPr>
                  <w:tcW w:w="505" w:type="pct"/>
                  <w:shd w:val="clear" w:color="auto" w:fill="FFFFFF"/>
                  <w:noWrap/>
                  <w:vAlign w:val="center"/>
                </w:tcPr>
                <w:p w14:paraId="5DDC8302">
                  <w:pPr>
                    <w:widowControl/>
                    <w:jc w:val="center"/>
                    <w:textAlignment w:val="center"/>
                    <w:rPr>
                      <w:color w:val="auto"/>
                      <w:sz w:val="18"/>
                      <w:szCs w:val="18"/>
                    </w:rPr>
                  </w:pPr>
                  <w:r>
                    <w:rPr>
                      <w:color w:val="auto"/>
                      <w:kern w:val="0"/>
                      <w:sz w:val="18"/>
                      <w:szCs w:val="18"/>
                      <w:lang w:bidi="ar"/>
                    </w:rPr>
                    <w:t>0.0289</w:t>
                  </w:r>
                </w:p>
              </w:tc>
            </w:tr>
            <w:tr w14:paraId="10A669CA">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19" w:type="pct"/>
                  <w:vMerge w:val="continue"/>
                  <w:shd w:val="clear" w:color="auto" w:fill="FFFFFF"/>
                  <w:vAlign w:val="center"/>
                </w:tcPr>
                <w:p w14:paraId="2329FE84">
                  <w:pPr>
                    <w:jc w:val="center"/>
                    <w:rPr>
                      <w:color w:val="auto"/>
                      <w:sz w:val="18"/>
                      <w:szCs w:val="18"/>
                    </w:rPr>
                  </w:pPr>
                </w:p>
              </w:tc>
              <w:tc>
                <w:tcPr>
                  <w:tcW w:w="219" w:type="pct"/>
                  <w:vMerge w:val="continue"/>
                  <w:shd w:val="clear" w:color="auto" w:fill="FFFFFF"/>
                  <w:vAlign w:val="center"/>
                </w:tcPr>
                <w:p w14:paraId="1D15D284">
                  <w:pPr>
                    <w:jc w:val="center"/>
                    <w:rPr>
                      <w:color w:val="auto"/>
                      <w:sz w:val="18"/>
                      <w:szCs w:val="18"/>
                    </w:rPr>
                  </w:pPr>
                </w:p>
              </w:tc>
              <w:tc>
                <w:tcPr>
                  <w:tcW w:w="410" w:type="pct"/>
                  <w:shd w:val="clear" w:color="auto" w:fill="FFFFFF"/>
                  <w:vAlign w:val="center"/>
                </w:tcPr>
                <w:p w14:paraId="6939CD25">
                  <w:pPr>
                    <w:widowControl/>
                    <w:jc w:val="center"/>
                    <w:textAlignment w:val="center"/>
                    <w:rPr>
                      <w:color w:val="auto"/>
                      <w:sz w:val="18"/>
                      <w:szCs w:val="18"/>
                    </w:rPr>
                  </w:pPr>
                  <w:r>
                    <w:rPr>
                      <w:color w:val="auto"/>
                      <w:kern w:val="0"/>
                      <w:sz w:val="18"/>
                      <w:szCs w:val="18"/>
                      <w:lang w:bidi="ar"/>
                    </w:rPr>
                    <w:t>氟化物</w:t>
                  </w:r>
                </w:p>
              </w:tc>
              <w:tc>
                <w:tcPr>
                  <w:tcW w:w="1012" w:type="pct"/>
                  <w:gridSpan w:val="2"/>
                  <w:shd w:val="clear" w:color="auto" w:fill="FFFFFF"/>
                  <w:vAlign w:val="center"/>
                </w:tcPr>
                <w:p w14:paraId="697FF14F">
                  <w:pPr>
                    <w:widowControl/>
                    <w:jc w:val="center"/>
                    <w:textAlignment w:val="center"/>
                    <w:rPr>
                      <w:bCs/>
                      <w:color w:val="auto"/>
                      <w:sz w:val="18"/>
                      <w:szCs w:val="18"/>
                    </w:rPr>
                  </w:pPr>
                  <w:r>
                    <w:rPr>
                      <w:bCs/>
                      <w:color w:val="auto"/>
                      <w:kern w:val="0"/>
                      <w:sz w:val="18"/>
                      <w:szCs w:val="18"/>
                      <w:lang w:bidi="ar"/>
                    </w:rPr>
                    <w:t>0.007</w:t>
                  </w:r>
                </w:p>
              </w:tc>
              <w:tc>
                <w:tcPr>
                  <w:tcW w:w="1012" w:type="pct"/>
                  <w:gridSpan w:val="2"/>
                  <w:shd w:val="clear" w:color="auto" w:fill="FFFFFF"/>
                  <w:vAlign w:val="center"/>
                </w:tcPr>
                <w:p w14:paraId="6C5960FA">
                  <w:pPr>
                    <w:widowControl/>
                    <w:jc w:val="center"/>
                    <w:textAlignment w:val="center"/>
                    <w:rPr>
                      <w:bCs/>
                      <w:color w:val="auto"/>
                      <w:sz w:val="18"/>
                      <w:szCs w:val="18"/>
                    </w:rPr>
                  </w:pPr>
                  <w:r>
                    <w:rPr>
                      <w:bCs/>
                      <w:color w:val="auto"/>
                      <w:kern w:val="0"/>
                      <w:sz w:val="18"/>
                      <w:szCs w:val="18"/>
                      <w:lang w:bidi="ar"/>
                    </w:rPr>
                    <w:t>0.0013</w:t>
                  </w:r>
                </w:p>
              </w:tc>
              <w:tc>
                <w:tcPr>
                  <w:tcW w:w="821" w:type="pct"/>
                  <w:gridSpan w:val="2"/>
                  <w:shd w:val="clear" w:color="auto" w:fill="FFFFFF"/>
                  <w:vAlign w:val="center"/>
                </w:tcPr>
                <w:p w14:paraId="3BEA4BA2">
                  <w:pPr>
                    <w:widowControl/>
                    <w:jc w:val="center"/>
                    <w:textAlignment w:val="center"/>
                    <w:rPr>
                      <w:bCs/>
                      <w:color w:val="auto"/>
                      <w:sz w:val="18"/>
                      <w:szCs w:val="18"/>
                    </w:rPr>
                  </w:pPr>
                  <w:r>
                    <w:rPr>
                      <w:bCs/>
                      <w:color w:val="auto"/>
                      <w:kern w:val="0"/>
                      <w:sz w:val="18"/>
                      <w:szCs w:val="18"/>
                      <w:lang w:bidi="ar"/>
                    </w:rPr>
                    <w:t>0</w:t>
                  </w:r>
                </w:p>
              </w:tc>
              <w:tc>
                <w:tcPr>
                  <w:tcW w:w="799" w:type="pct"/>
                  <w:gridSpan w:val="2"/>
                  <w:shd w:val="clear" w:color="auto" w:fill="FFFFFF"/>
                  <w:vAlign w:val="center"/>
                </w:tcPr>
                <w:p w14:paraId="26646696">
                  <w:pPr>
                    <w:widowControl/>
                    <w:jc w:val="center"/>
                    <w:textAlignment w:val="center"/>
                    <w:rPr>
                      <w:bCs/>
                      <w:color w:val="auto"/>
                      <w:sz w:val="18"/>
                      <w:szCs w:val="18"/>
                    </w:rPr>
                  </w:pPr>
                  <w:r>
                    <w:rPr>
                      <w:bCs/>
                      <w:color w:val="auto"/>
                      <w:kern w:val="0"/>
                      <w:sz w:val="18"/>
                      <w:szCs w:val="18"/>
                      <w:lang w:bidi="ar"/>
                    </w:rPr>
                    <w:t>0.0057</w:t>
                  </w:r>
                </w:p>
              </w:tc>
              <w:tc>
                <w:tcPr>
                  <w:tcW w:w="505" w:type="pct"/>
                  <w:shd w:val="clear" w:color="auto" w:fill="FFFFFF"/>
                  <w:noWrap/>
                  <w:vAlign w:val="center"/>
                </w:tcPr>
                <w:p w14:paraId="74C04F12">
                  <w:pPr>
                    <w:widowControl/>
                    <w:jc w:val="center"/>
                    <w:textAlignment w:val="center"/>
                    <w:rPr>
                      <w:color w:val="auto"/>
                      <w:sz w:val="18"/>
                      <w:szCs w:val="18"/>
                    </w:rPr>
                  </w:pPr>
                  <w:r>
                    <w:rPr>
                      <w:color w:val="auto"/>
                      <w:kern w:val="0"/>
                      <w:sz w:val="18"/>
                      <w:szCs w:val="18"/>
                      <w:lang w:bidi="ar"/>
                    </w:rPr>
                    <w:t>/</w:t>
                  </w:r>
                </w:p>
              </w:tc>
            </w:tr>
            <w:tr w14:paraId="437735A0">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19" w:type="pct"/>
                  <w:vMerge w:val="continue"/>
                  <w:shd w:val="clear" w:color="auto" w:fill="FFFFFF"/>
                  <w:vAlign w:val="center"/>
                </w:tcPr>
                <w:p w14:paraId="5B3534C9">
                  <w:pPr>
                    <w:jc w:val="center"/>
                    <w:rPr>
                      <w:color w:val="auto"/>
                      <w:sz w:val="18"/>
                      <w:szCs w:val="18"/>
                    </w:rPr>
                  </w:pPr>
                </w:p>
              </w:tc>
              <w:tc>
                <w:tcPr>
                  <w:tcW w:w="219" w:type="pct"/>
                  <w:vMerge w:val="continue"/>
                  <w:shd w:val="clear" w:color="auto" w:fill="FFFFFF"/>
                  <w:vAlign w:val="center"/>
                </w:tcPr>
                <w:p w14:paraId="2336EB06">
                  <w:pPr>
                    <w:jc w:val="center"/>
                    <w:rPr>
                      <w:color w:val="auto"/>
                      <w:sz w:val="18"/>
                      <w:szCs w:val="18"/>
                    </w:rPr>
                  </w:pPr>
                </w:p>
              </w:tc>
              <w:tc>
                <w:tcPr>
                  <w:tcW w:w="410" w:type="pct"/>
                  <w:shd w:val="clear" w:color="auto" w:fill="FFFFFF"/>
                  <w:vAlign w:val="center"/>
                </w:tcPr>
                <w:p w14:paraId="0CE2FD28">
                  <w:pPr>
                    <w:widowControl/>
                    <w:jc w:val="center"/>
                    <w:textAlignment w:val="center"/>
                    <w:rPr>
                      <w:color w:val="auto"/>
                      <w:sz w:val="18"/>
                      <w:szCs w:val="18"/>
                    </w:rPr>
                  </w:pPr>
                  <w:r>
                    <w:rPr>
                      <w:color w:val="auto"/>
                      <w:kern w:val="0"/>
                      <w:sz w:val="18"/>
                      <w:szCs w:val="18"/>
                      <w:lang w:bidi="ar"/>
                    </w:rPr>
                    <w:t>异丙醇</w:t>
                  </w:r>
                </w:p>
              </w:tc>
              <w:tc>
                <w:tcPr>
                  <w:tcW w:w="1012" w:type="pct"/>
                  <w:gridSpan w:val="2"/>
                  <w:shd w:val="clear" w:color="auto" w:fill="FFFFFF"/>
                  <w:vAlign w:val="center"/>
                </w:tcPr>
                <w:p w14:paraId="7B168EF1">
                  <w:pPr>
                    <w:widowControl/>
                    <w:jc w:val="center"/>
                    <w:textAlignment w:val="center"/>
                    <w:rPr>
                      <w:bCs/>
                      <w:color w:val="auto"/>
                      <w:sz w:val="18"/>
                      <w:szCs w:val="18"/>
                    </w:rPr>
                  </w:pPr>
                  <w:r>
                    <w:rPr>
                      <w:bCs/>
                      <w:color w:val="auto"/>
                      <w:kern w:val="0"/>
                      <w:sz w:val="18"/>
                      <w:szCs w:val="18"/>
                      <w:lang w:bidi="ar"/>
                    </w:rPr>
                    <w:t>0.005</w:t>
                  </w:r>
                </w:p>
              </w:tc>
              <w:tc>
                <w:tcPr>
                  <w:tcW w:w="1012" w:type="pct"/>
                  <w:gridSpan w:val="2"/>
                  <w:shd w:val="clear" w:color="auto" w:fill="FFFFFF"/>
                  <w:vAlign w:val="center"/>
                </w:tcPr>
                <w:p w14:paraId="2B76A239">
                  <w:pPr>
                    <w:widowControl/>
                    <w:jc w:val="center"/>
                    <w:textAlignment w:val="center"/>
                    <w:rPr>
                      <w:bCs/>
                      <w:color w:val="auto"/>
                      <w:sz w:val="18"/>
                      <w:szCs w:val="18"/>
                    </w:rPr>
                  </w:pPr>
                  <w:r>
                    <w:rPr>
                      <w:bCs/>
                      <w:color w:val="auto"/>
                      <w:kern w:val="0"/>
                      <w:sz w:val="18"/>
                      <w:szCs w:val="18"/>
                      <w:lang w:bidi="ar"/>
                    </w:rPr>
                    <w:t>0.0009</w:t>
                  </w:r>
                </w:p>
              </w:tc>
              <w:tc>
                <w:tcPr>
                  <w:tcW w:w="821" w:type="pct"/>
                  <w:gridSpan w:val="2"/>
                  <w:shd w:val="clear" w:color="auto" w:fill="FFFFFF"/>
                  <w:vAlign w:val="center"/>
                </w:tcPr>
                <w:p w14:paraId="013A2320">
                  <w:pPr>
                    <w:widowControl/>
                    <w:jc w:val="center"/>
                    <w:textAlignment w:val="center"/>
                    <w:rPr>
                      <w:bCs/>
                      <w:color w:val="auto"/>
                      <w:sz w:val="18"/>
                      <w:szCs w:val="18"/>
                    </w:rPr>
                  </w:pPr>
                  <w:r>
                    <w:rPr>
                      <w:bCs/>
                      <w:color w:val="auto"/>
                      <w:kern w:val="0"/>
                      <w:sz w:val="18"/>
                      <w:szCs w:val="18"/>
                      <w:lang w:bidi="ar"/>
                    </w:rPr>
                    <w:t>0</w:t>
                  </w:r>
                </w:p>
              </w:tc>
              <w:tc>
                <w:tcPr>
                  <w:tcW w:w="799" w:type="pct"/>
                  <w:gridSpan w:val="2"/>
                  <w:shd w:val="clear" w:color="auto" w:fill="FFFFFF"/>
                  <w:vAlign w:val="center"/>
                </w:tcPr>
                <w:p w14:paraId="2E6241DE">
                  <w:pPr>
                    <w:widowControl/>
                    <w:jc w:val="center"/>
                    <w:textAlignment w:val="center"/>
                    <w:rPr>
                      <w:bCs/>
                      <w:color w:val="auto"/>
                      <w:sz w:val="18"/>
                      <w:szCs w:val="18"/>
                    </w:rPr>
                  </w:pPr>
                  <w:r>
                    <w:rPr>
                      <w:bCs/>
                      <w:color w:val="auto"/>
                      <w:kern w:val="0"/>
                      <w:sz w:val="18"/>
                      <w:szCs w:val="18"/>
                      <w:lang w:bidi="ar"/>
                    </w:rPr>
                    <w:t>0.0041</w:t>
                  </w:r>
                </w:p>
              </w:tc>
              <w:tc>
                <w:tcPr>
                  <w:tcW w:w="505" w:type="pct"/>
                  <w:shd w:val="clear" w:color="auto" w:fill="FFFFFF"/>
                  <w:noWrap/>
                  <w:vAlign w:val="center"/>
                </w:tcPr>
                <w:p w14:paraId="0A85A0D1">
                  <w:pPr>
                    <w:widowControl/>
                    <w:jc w:val="center"/>
                    <w:textAlignment w:val="center"/>
                    <w:rPr>
                      <w:color w:val="auto"/>
                      <w:sz w:val="18"/>
                      <w:szCs w:val="18"/>
                    </w:rPr>
                  </w:pPr>
                  <w:r>
                    <w:rPr>
                      <w:color w:val="auto"/>
                      <w:kern w:val="0"/>
                      <w:sz w:val="18"/>
                      <w:szCs w:val="18"/>
                      <w:lang w:bidi="ar"/>
                    </w:rPr>
                    <w:t>/</w:t>
                  </w:r>
                </w:p>
              </w:tc>
            </w:tr>
            <w:tr w14:paraId="406B6DD6">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19" w:type="pct"/>
                  <w:vMerge w:val="continue"/>
                  <w:shd w:val="clear" w:color="auto" w:fill="FFFFFF"/>
                  <w:vAlign w:val="center"/>
                </w:tcPr>
                <w:p w14:paraId="4F510617">
                  <w:pPr>
                    <w:jc w:val="center"/>
                    <w:rPr>
                      <w:color w:val="auto"/>
                      <w:sz w:val="18"/>
                      <w:szCs w:val="18"/>
                    </w:rPr>
                  </w:pPr>
                </w:p>
              </w:tc>
              <w:tc>
                <w:tcPr>
                  <w:tcW w:w="219" w:type="pct"/>
                  <w:vMerge w:val="continue"/>
                  <w:shd w:val="clear" w:color="auto" w:fill="FFFFFF"/>
                  <w:vAlign w:val="center"/>
                </w:tcPr>
                <w:p w14:paraId="7263831C">
                  <w:pPr>
                    <w:jc w:val="center"/>
                    <w:rPr>
                      <w:color w:val="auto"/>
                      <w:sz w:val="18"/>
                      <w:szCs w:val="18"/>
                    </w:rPr>
                  </w:pPr>
                </w:p>
              </w:tc>
              <w:tc>
                <w:tcPr>
                  <w:tcW w:w="410" w:type="pct"/>
                  <w:shd w:val="clear" w:color="auto" w:fill="FFFFFF"/>
                  <w:vAlign w:val="center"/>
                </w:tcPr>
                <w:p w14:paraId="6EA9B272">
                  <w:pPr>
                    <w:widowControl/>
                    <w:jc w:val="center"/>
                    <w:textAlignment w:val="center"/>
                    <w:rPr>
                      <w:color w:val="auto"/>
                      <w:sz w:val="18"/>
                      <w:szCs w:val="18"/>
                    </w:rPr>
                  </w:pPr>
                  <w:r>
                    <w:rPr>
                      <w:color w:val="auto"/>
                      <w:kern w:val="0"/>
                      <w:sz w:val="18"/>
                      <w:szCs w:val="18"/>
                      <w:lang w:bidi="ar"/>
                    </w:rPr>
                    <w:t>甲醛</w:t>
                  </w:r>
                </w:p>
              </w:tc>
              <w:tc>
                <w:tcPr>
                  <w:tcW w:w="1012" w:type="pct"/>
                  <w:gridSpan w:val="2"/>
                  <w:shd w:val="clear" w:color="auto" w:fill="FFFFFF"/>
                  <w:vAlign w:val="center"/>
                </w:tcPr>
                <w:p w14:paraId="7F2FA131">
                  <w:pPr>
                    <w:widowControl/>
                    <w:jc w:val="center"/>
                    <w:textAlignment w:val="center"/>
                    <w:rPr>
                      <w:bCs/>
                      <w:color w:val="auto"/>
                      <w:sz w:val="18"/>
                      <w:szCs w:val="18"/>
                    </w:rPr>
                  </w:pPr>
                  <w:r>
                    <w:rPr>
                      <w:bCs/>
                      <w:color w:val="auto"/>
                      <w:kern w:val="0"/>
                      <w:sz w:val="18"/>
                      <w:szCs w:val="18"/>
                      <w:lang w:bidi="ar"/>
                    </w:rPr>
                    <w:t>0.002</w:t>
                  </w:r>
                </w:p>
              </w:tc>
              <w:tc>
                <w:tcPr>
                  <w:tcW w:w="1012" w:type="pct"/>
                  <w:gridSpan w:val="2"/>
                  <w:shd w:val="clear" w:color="auto" w:fill="FFFFFF"/>
                  <w:vAlign w:val="center"/>
                </w:tcPr>
                <w:p w14:paraId="6147D6A6">
                  <w:pPr>
                    <w:widowControl/>
                    <w:jc w:val="center"/>
                    <w:textAlignment w:val="center"/>
                    <w:rPr>
                      <w:bCs/>
                      <w:color w:val="auto"/>
                      <w:sz w:val="18"/>
                      <w:szCs w:val="18"/>
                    </w:rPr>
                  </w:pPr>
                  <w:r>
                    <w:rPr>
                      <w:bCs/>
                      <w:color w:val="auto"/>
                      <w:kern w:val="0"/>
                      <w:sz w:val="18"/>
                      <w:szCs w:val="18"/>
                      <w:lang w:bidi="ar"/>
                    </w:rPr>
                    <w:t>0.0004</w:t>
                  </w:r>
                </w:p>
              </w:tc>
              <w:tc>
                <w:tcPr>
                  <w:tcW w:w="821" w:type="pct"/>
                  <w:gridSpan w:val="2"/>
                  <w:shd w:val="clear" w:color="auto" w:fill="FFFFFF"/>
                  <w:vAlign w:val="center"/>
                </w:tcPr>
                <w:p w14:paraId="1C029644">
                  <w:pPr>
                    <w:widowControl/>
                    <w:jc w:val="center"/>
                    <w:textAlignment w:val="center"/>
                    <w:rPr>
                      <w:bCs/>
                      <w:color w:val="auto"/>
                      <w:sz w:val="18"/>
                      <w:szCs w:val="18"/>
                    </w:rPr>
                  </w:pPr>
                  <w:r>
                    <w:rPr>
                      <w:bCs/>
                      <w:color w:val="auto"/>
                      <w:kern w:val="0"/>
                      <w:sz w:val="18"/>
                      <w:szCs w:val="18"/>
                      <w:lang w:bidi="ar"/>
                    </w:rPr>
                    <w:t>0</w:t>
                  </w:r>
                </w:p>
              </w:tc>
              <w:tc>
                <w:tcPr>
                  <w:tcW w:w="799" w:type="pct"/>
                  <w:gridSpan w:val="2"/>
                  <w:shd w:val="clear" w:color="auto" w:fill="FFFFFF"/>
                  <w:vAlign w:val="center"/>
                </w:tcPr>
                <w:p w14:paraId="2A4B8120">
                  <w:pPr>
                    <w:widowControl/>
                    <w:jc w:val="center"/>
                    <w:textAlignment w:val="center"/>
                    <w:rPr>
                      <w:bCs/>
                      <w:color w:val="auto"/>
                      <w:sz w:val="18"/>
                      <w:szCs w:val="18"/>
                    </w:rPr>
                  </w:pPr>
                  <w:r>
                    <w:rPr>
                      <w:bCs/>
                      <w:color w:val="auto"/>
                      <w:kern w:val="0"/>
                      <w:sz w:val="18"/>
                      <w:szCs w:val="18"/>
                      <w:lang w:bidi="ar"/>
                    </w:rPr>
                    <w:t>0.0016</w:t>
                  </w:r>
                </w:p>
              </w:tc>
              <w:tc>
                <w:tcPr>
                  <w:tcW w:w="505" w:type="pct"/>
                  <w:shd w:val="clear" w:color="auto" w:fill="FFFFFF"/>
                  <w:noWrap/>
                  <w:vAlign w:val="center"/>
                </w:tcPr>
                <w:p w14:paraId="2DA57AF9">
                  <w:pPr>
                    <w:widowControl/>
                    <w:jc w:val="center"/>
                    <w:textAlignment w:val="center"/>
                    <w:rPr>
                      <w:color w:val="auto"/>
                      <w:sz w:val="18"/>
                      <w:szCs w:val="18"/>
                    </w:rPr>
                  </w:pPr>
                  <w:r>
                    <w:rPr>
                      <w:color w:val="auto"/>
                      <w:kern w:val="0"/>
                      <w:sz w:val="18"/>
                      <w:szCs w:val="18"/>
                      <w:lang w:bidi="ar"/>
                    </w:rPr>
                    <w:t>/</w:t>
                  </w:r>
                </w:p>
              </w:tc>
            </w:tr>
            <w:tr w14:paraId="67F5FE07">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19" w:type="pct"/>
                  <w:vMerge w:val="continue"/>
                  <w:shd w:val="clear" w:color="auto" w:fill="FFFFFF"/>
                  <w:vAlign w:val="center"/>
                </w:tcPr>
                <w:p w14:paraId="74617A3D">
                  <w:pPr>
                    <w:jc w:val="center"/>
                    <w:rPr>
                      <w:color w:val="auto"/>
                      <w:sz w:val="18"/>
                      <w:szCs w:val="18"/>
                    </w:rPr>
                  </w:pPr>
                </w:p>
              </w:tc>
              <w:tc>
                <w:tcPr>
                  <w:tcW w:w="219" w:type="pct"/>
                  <w:vMerge w:val="continue"/>
                  <w:shd w:val="clear" w:color="auto" w:fill="FFFFFF"/>
                  <w:vAlign w:val="center"/>
                </w:tcPr>
                <w:p w14:paraId="5A9B6BA5">
                  <w:pPr>
                    <w:jc w:val="center"/>
                    <w:rPr>
                      <w:color w:val="auto"/>
                      <w:sz w:val="18"/>
                      <w:szCs w:val="18"/>
                    </w:rPr>
                  </w:pPr>
                </w:p>
              </w:tc>
              <w:tc>
                <w:tcPr>
                  <w:tcW w:w="410" w:type="pct"/>
                  <w:shd w:val="clear" w:color="auto" w:fill="FFFFFF"/>
                  <w:vAlign w:val="center"/>
                </w:tcPr>
                <w:p w14:paraId="177D91F4">
                  <w:pPr>
                    <w:widowControl/>
                    <w:jc w:val="center"/>
                    <w:textAlignment w:val="center"/>
                    <w:rPr>
                      <w:color w:val="auto"/>
                      <w:sz w:val="18"/>
                      <w:szCs w:val="18"/>
                    </w:rPr>
                  </w:pPr>
                  <w:r>
                    <w:rPr>
                      <w:color w:val="auto"/>
                      <w:kern w:val="0"/>
                      <w:sz w:val="18"/>
                      <w:szCs w:val="18"/>
                      <w:lang w:bidi="ar"/>
                    </w:rPr>
                    <w:t>NOx</w:t>
                  </w:r>
                </w:p>
              </w:tc>
              <w:tc>
                <w:tcPr>
                  <w:tcW w:w="1012" w:type="pct"/>
                  <w:gridSpan w:val="2"/>
                  <w:shd w:val="clear" w:color="auto" w:fill="FFFFFF"/>
                  <w:vAlign w:val="center"/>
                </w:tcPr>
                <w:p w14:paraId="4754FE87">
                  <w:pPr>
                    <w:widowControl/>
                    <w:jc w:val="center"/>
                    <w:textAlignment w:val="center"/>
                    <w:rPr>
                      <w:bCs/>
                      <w:color w:val="auto"/>
                      <w:sz w:val="18"/>
                      <w:szCs w:val="18"/>
                    </w:rPr>
                  </w:pPr>
                  <w:r>
                    <w:rPr>
                      <w:bCs/>
                      <w:color w:val="auto"/>
                      <w:kern w:val="0"/>
                      <w:sz w:val="18"/>
                      <w:szCs w:val="18"/>
                      <w:lang w:bidi="ar"/>
                    </w:rPr>
                    <w:t>0.0006</w:t>
                  </w:r>
                </w:p>
              </w:tc>
              <w:tc>
                <w:tcPr>
                  <w:tcW w:w="1012" w:type="pct"/>
                  <w:gridSpan w:val="2"/>
                  <w:shd w:val="clear" w:color="auto" w:fill="FFFFFF"/>
                  <w:vAlign w:val="center"/>
                </w:tcPr>
                <w:p w14:paraId="22B5666C">
                  <w:pPr>
                    <w:widowControl/>
                    <w:jc w:val="center"/>
                    <w:textAlignment w:val="center"/>
                    <w:rPr>
                      <w:bCs/>
                      <w:color w:val="auto"/>
                      <w:sz w:val="18"/>
                      <w:szCs w:val="18"/>
                    </w:rPr>
                  </w:pPr>
                  <w:r>
                    <w:rPr>
                      <w:bCs/>
                      <w:color w:val="auto"/>
                      <w:kern w:val="0"/>
                      <w:sz w:val="18"/>
                      <w:szCs w:val="18"/>
                      <w:lang w:bidi="ar"/>
                    </w:rPr>
                    <w:t>0.0001</w:t>
                  </w:r>
                </w:p>
              </w:tc>
              <w:tc>
                <w:tcPr>
                  <w:tcW w:w="821" w:type="pct"/>
                  <w:gridSpan w:val="2"/>
                  <w:shd w:val="clear" w:color="auto" w:fill="FFFFFF"/>
                  <w:vAlign w:val="center"/>
                </w:tcPr>
                <w:p w14:paraId="24270DDC">
                  <w:pPr>
                    <w:widowControl/>
                    <w:jc w:val="center"/>
                    <w:textAlignment w:val="center"/>
                    <w:rPr>
                      <w:bCs/>
                      <w:color w:val="auto"/>
                      <w:sz w:val="18"/>
                      <w:szCs w:val="18"/>
                    </w:rPr>
                  </w:pPr>
                  <w:r>
                    <w:rPr>
                      <w:bCs/>
                      <w:color w:val="auto"/>
                      <w:kern w:val="0"/>
                      <w:sz w:val="18"/>
                      <w:szCs w:val="18"/>
                      <w:lang w:bidi="ar"/>
                    </w:rPr>
                    <w:t>0</w:t>
                  </w:r>
                </w:p>
              </w:tc>
              <w:tc>
                <w:tcPr>
                  <w:tcW w:w="799" w:type="pct"/>
                  <w:gridSpan w:val="2"/>
                  <w:shd w:val="clear" w:color="auto" w:fill="FFFFFF"/>
                  <w:vAlign w:val="center"/>
                </w:tcPr>
                <w:p w14:paraId="094B757C">
                  <w:pPr>
                    <w:widowControl/>
                    <w:jc w:val="center"/>
                    <w:textAlignment w:val="center"/>
                    <w:rPr>
                      <w:bCs/>
                      <w:color w:val="auto"/>
                      <w:sz w:val="18"/>
                      <w:szCs w:val="18"/>
                    </w:rPr>
                  </w:pPr>
                  <w:r>
                    <w:rPr>
                      <w:bCs/>
                      <w:color w:val="auto"/>
                      <w:kern w:val="0"/>
                      <w:sz w:val="18"/>
                      <w:szCs w:val="18"/>
                      <w:lang w:bidi="ar"/>
                    </w:rPr>
                    <w:t>0.0005</w:t>
                  </w:r>
                </w:p>
              </w:tc>
              <w:tc>
                <w:tcPr>
                  <w:tcW w:w="505" w:type="pct"/>
                  <w:shd w:val="clear" w:color="auto" w:fill="FFFFFF"/>
                  <w:noWrap/>
                  <w:vAlign w:val="center"/>
                </w:tcPr>
                <w:p w14:paraId="2EE6D13E">
                  <w:pPr>
                    <w:widowControl/>
                    <w:jc w:val="center"/>
                    <w:textAlignment w:val="center"/>
                    <w:rPr>
                      <w:color w:val="auto"/>
                      <w:sz w:val="18"/>
                      <w:szCs w:val="18"/>
                    </w:rPr>
                  </w:pPr>
                  <w:r>
                    <w:rPr>
                      <w:color w:val="auto"/>
                      <w:kern w:val="0"/>
                      <w:sz w:val="18"/>
                      <w:szCs w:val="18"/>
                      <w:lang w:bidi="ar"/>
                    </w:rPr>
                    <w:t>0.0001</w:t>
                  </w:r>
                </w:p>
              </w:tc>
            </w:tr>
            <w:tr w14:paraId="686FCBCC">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219" w:type="pct"/>
                  <w:vMerge w:val="continue"/>
                  <w:shd w:val="clear" w:color="auto" w:fill="FFFFFF"/>
                  <w:vAlign w:val="center"/>
                </w:tcPr>
                <w:p w14:paraId="631F4FD2">
                  <w:pPr>
                    <w:jc w:val="center"/>
                    <w:rPr>
                      <w:color w:val="auto"/>
                      <w:sz w:val="18"/>
                      <w:szCs w:val="18"/>
                    </w:rPr>
                  </w:pPr>
                </w:p>
              </w:tc>
              <w:tc>
                <w:tcPr>
                  <w:tcW w:w="219" w:type="pct"/>
                  <w:vMerge w:val="continue"/>
                  <w:shd w:val="clear" w:color="auto" w:fill="FFFFFF"/>
                  <w:vAlign w:val="center"/>
                </w:tcPr>
                <w:p w14:paraId="4346201A">
                  <w:pPr>
                    <w:jc w:val="center"/>
                    <w:rPr>
                      <w:color w:val="auto"/>
                      <w:sz w:val="18"/>
                      <w:szCs w:val="18"/>
                    </w:rPr>
                  </w:pPr>
                </w:p>
              </w:tc>
              <w:tc>
                <w:tcPr>
                  <w:tcW w:w="410" w:type="pct"/>
                  <w:shd w:val="clear" w:color="auto" w:fill="FFFFFF"/>
                  <w:vAlign w:val="center"/>
                </w:tcPr>
                <w:p w14:paraId="744A661A">
                  <w:pPr>
                    <w:widowControl/>
                    <w:jc w:val="center"/>
                    <w:textAlignment w:val="center"/>
                    <w:rPr>
                      <w:color w:val="auto"/>
                      <w:sz w:val="18"/>
                      <w:szCs w:val="18"/>
                    </w:rPr>
                  </w:pPr>
                  <w:r>
                    <w:rPr>
                      <w:color w:val="auto"/>
                      <w:kern w:val="0"/>
                      <w:sz w:val="18"/>
                      <w:szCs w:val="18"/>
                      <w:lang w:bidi="ar"/>
                    </w:rPr>
                    <w:t>非甲烷总烃</w:t>
                  </w:r>
                </w:p>
              </w:tc>
              <w:tc>
                <w:tcPr>
                  <w:tcW w:w="1012" w:type="pct"/>
                  <w:gridSpan w:val="2"/>
                  <w:shd w:val="clear" w:color="auto" w:fill="FFFFFF"/>
                  <w:vAlign w:val="center"/>
                </w:tcPr>
                <w:p w14:paraId="653BD96C">
                  <w:pPr>
                    <w:widowControl/>
                    <w:jc w:val="center"/>
                    <w:textAlignment w:val="center"/>
                    <w:rPr>
                      <w:bCs/>
                      <w:color w:val="auto"/>
                      <w:sz w:val="18"/>
                      <w:szCs w:val="18"/>
                    </w:rPr>
                  </w:pPr>
                  <w:r>
                    <w:rPr>
                      <w:bCs/>
                      <w:color w:val="auto"/>
                      <w:kern w:val="0"/>
                      <w:sz w:val="18"/>
                      <w:szCs w:val="18"/>
                      <w:lang w:bidi="ar"/>
                    </w:rPr>
                    <w:t>0.077</w:t>
                  </w:r>
                </w:p>
              </w:tc>
              <w:tc>
                <w:tcPr>
                  <w:tcW w:w="1012" w:type="pct"/>
                  <w:gridSpan w:val="2"/>
                  <w:shd w:val="clear" w:color="auto" w:fill="FFFFFF"/>
                  <w:vAlign w:val="center"/>
                </w:tcPr>
                <w:p w14:paraId="4410E651">
                  <w:pPr>
                    <w:widowControl/>
                    <w:jc w:val="center"/>
                    <w:textAlignment w:val="center"/>
                    <w:rPr>
                      <w:bCs/>
                      <w:color w:val="auto"/>
                      <w:sz w:val="18"/>
                      <w:szCs w:val="18"/>
                    </w:rPr>
                  </w:pPr>
                  <w:r>
                    <w:rPr>
                      <w:bCs/>
                      <w:color w:val="auto"/>
                      <w:kern w:val="0"/>
                      <w:sz w:val="18"/>
                      <w:szCs w:val="18"/>
                      <w:lang w:bidi="ar"/>
                    </w:rPr>
                    <w:t>0.0154</w:t>
                  </w:r>
                </w:p>
              </w:tc>
              <w:tc>
                <w:tcPr>
                  <w:tcW w:w="821" w:type="pct"/>
                  <w:gridSpan w:val="2"/>
                  <w:shd w:val="clear" w:color="auto" w:fill="FFFFFF"/>
                  <w:vAlign w:val="center"/>
                </w:tcPr>
                <w:p w14:paraId="57608259">
                  <w:pPr>
                    <w:widowControl/>
                    <w:jc w:val="center"/>
                    <w:textAlignment w:val="center"/>
                    <w:rPr>
                      <w:bCs/>
                      <w:color w:val="auto"/>
                      <w:sz w:val="18"/>
                      <w:szCs w:val="18"/>
                    </w:rPr>
                  </w:pPr>
                  <w:r>
                    <w:rPr>
                      <w:bCs/>
                      <w:color w:val="auto"/>
                      <w:kern w:val="0"/>
                      <w:sz w:val="18"/>
                      <w:szCs w:val="18"/>
                      <w:lang w:bidi="ar"/>
                    </w:rPr>
                    <w:t>0</w:t>
                  </w:r>
                </w:p>
              </w:tc>
              <w:tc>
                <w:tcPr>
                  <w:tcW w:w="799" w:type="pct"/>
                  <w:gridSpan w:val="2"/>
                  <w:shd w:val="clear" w:color="auto" w:fill="FFFFFF"/>
                  <w:vAlign w:val="center"/>
                </w:tcPr>
                <w:p w14:paraId="2C7570C4">
                  <w:pPr>
                    <w:widowControl/>
                    <w:jc w:val="center"/>
                    <w:textAlignment w:val="center"/>
                    <w:rPr>
                      <w:bCs/>
                      <w:color w:val="auto"/>
                      <w:sz w:val="18"/>
                      <w:szCs w:val="18"/>
                    </w:rPr>
                  </w:pPr>
                  <w:r>
                    <w:rPr>
                      <w:bCs/>
                      <w:color w:val="auto"/>
                      <w:kern w:val="0"/>
                      <w:sz w:val="18"/>
                      <w:szCs w:val="18"/>
                      <w:lang w:bidi="ar"/>
                    </w:rPr>
                    <w:t>0.0616</w:t>
                  </w:r>
                </w:p>
              </w:tc>
              <w:tc>
                <w:tcPr>
                  <w:tcW w:w="505" w:type="pct"/>
                  <w:shd w:val="clear" w:color="auto" w:fill="FFFFFF"/>
                  <w:noWrap/>
                  <w:vAlign w:val="center"/>
                </w:tcPr>
                <w:p w14:paraId="3073E047">
                  <w:pPr>
                    <w:widowControl/>
                    <w:jc w:val="center"/>
                    <w:textAlignment w:val="center"/>
                    <w:rPr>
                      <w:color w:val="auto"/>
                      <w:sz w:val="18"/>
                      <w:szCs w:val="18"/>
                    </w:rPr>
                  </w:pPr>
                  <w:r>
                    <w:rPr>
                      <w:color w:val="auto"/>
                      <w:kern w:val="0"/>
                      <w:sz w:val="18"/>
                      <w:szCs w:val="18"/>
                      <w:lang w:bidi="ar"/>
                    </w:rPr>
                    <w:t>0.0154</w:t>
                  </w:r>
                </w:p>
              </w:tc>
            </w:tr>
            <w:tr w14:paraId="2E3310C2">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219" w:type="pct"/>
                  <w:vMerge w:val="continue"/>
                  <w:shd w:val="clear" w:color="auto" w:fill="FFFFFF"/>
                  <w:vAlign w:val="center"/>
                </w:tcPr>
                <w:p w14:paraId="23EA404E">
                  <w:pPr>
                    <w:jc w:val="center"/>
                    <w:rPr>
                      <w:color w:val="auto"/>
                      <w:sz w:val="18"/>
                      <w:szCs w:val="18"/>
                    </w:rPr>
                  </w:pPr>
                </w:p>
              </w:tc>
              <w:tc>
                <w:tcPr>
                  <w:tcW w:w="219" w:type="pct"/>
                  <w:vMerge w:val="restart"/>
                  <w:shd w:val="clear" w:color="auto" w:fill="FFFFFF"/>
                  <w:vAlign w:val="center"/>
                </w:tcPr>
                <w:p w14:paraId="6CB1B917">
                  <w:pPr>
                    <w:widowControl/>
                    <w:jc w:val="center"/>
                    <w:textAlignment w:val="center"/>
                    <w:rPr>
                      <w:color w:val="auto"/>
                      <w:sz w:val="18"/>
                      <w:szCs w:val="18"/>
                    </w:rPr>
                  </w:pPr>
                  <w:r>
                    <w:rPr>
                      <w:color w:val="auto"/>
                      <w:kern w:val="0"/>
                      <w:sz w:val="18"/>
                      <w:szCs w:val="18"/>
                      <w:lang w:bidi="ar"/>
                    </w:rPr>
                    <w:t>无组织</w:t>
                  </w:r>
                </w:p>
              </w:tc>
              <w:tc>
                <w:tcPr>
                  <w:tcW w:w="410" w:type="pct"/>
                  <w:shd w:val="clear" w:color="auto" w:fill="FFFFFF"/>
                  <w:vAlign w:val="center"/>
                </w:tcPr>
                <w:p w14:paraId="79168F81">
                  <w:pPr>
                    <w:widowControl/>
                    <w:jc w:val="center"/>
                    <w:textAlignment w:val="center"/>
                    <w:rPr>
                      <w:color w:val="auto"/>
                      <w:sz w:val="18"/>
                      <w:szCs w:val="18"/>
                    </w:rPr>
                  </w:pPr>
                  <w:r>
                    <w:rPr>
                      <w:color w:val="auto"/>
                      <w:kern w:val="0"/>
                      <w:sz w:val="18"/>
                      <w:szCs w:val="18"/>
                      <w:lang w:bidi="ar"/>
                    </w:rPr>
                    <w:t>NH</w:t>
                  </w:r>
                  <w:r>
                    <w:rPr>
                      <w:color w:val="auto"/>
                      <w:kern w:val="0"/>
                      <w:sz w:val="18"/>
                      <w:szCs w:val="18"/>
                      <w:vertAlign w:val="subscript"/>
                      <w:lang w:bidi="ar"/>
                    </w:rPr>
                    <w:t>3</w:t>
                  </w:r>
                </w:p>
              </w:tc>
              <w:tc>
                <w:tcPr>
                  <w:tcW w:w="1012" w:type="pct"/>
                  <w:gridSpan w:val="2"/>
                  <w:shd w:val="clear" w:color="auto" w:fill="FFFFFF"/>
                  <w:vAlign w:val="center"/>
                </w:tcPr>
                <w:p w14:paraId="718C3448">
                  <w:pPr>
                    <w:widowControl/>
                    <w:jc w:val="center"/>
                    <w:textAlignment w:val="center"/>
                    <w:rPr>
                      <w:bCs/>
                      <w:color w:val="auto"/>
                      <w:sz w:val="18"/>
                      <w:szCs w:val="18"/>
                    </w:rPr>
                  </w:pPr>
                  <w:r>
                    <w:rPr>
                      <w:bCs/>
                      <w:color w:val="auto"/>
                      <w:kern w:val="0"/>
                      <w:sz w:val="18"/>
                      <w:szCs w:val="18"/>
                      <w:lang w:bidi="ar"/>
                    </w:rPr>
                    <w:t>0.031</w:t>
                  </w:r>
                </w:p>
              </w:tc>
              <w:tc>
                <w:tcPr>
                  <w:tcW w:w="1012" w:type="pct"/>
                  <w:gridSpan w:val="2"/>
                  <w:shd w:val="clear" w:color="auto" w:fill="FFFFFF"/>
                  <w:vAlign w:val="center"/>
                </w:tcPr>
                <w:p w14:paraId="2ABEA811">
                  <w:pPr>
                    <w:widowControl/>
                    <w:jc w:val="center"/>
                    <w:textAlignment w:val="center"/>
                    <w:rPr>
                      <w:bCs/>
                      <w:color w:val="auto"/>
                      <w:sz w:val="18"/>
                      <w:szCs w:val="18"/>
                    </w:rPr>
                  </w:pPr>
                  <w:r>
                    <w:rPr>
                      <w:bCs/>
                      <w:color w:val="auto"/>
                      <w:kern w:val="0"/>
                      <w:sz w:val="18"/>
                      <w:szCs w:val="18"/>
                      <w:lang w:bidi="ar"/>
                    </w:rPr>
                    <w:t>0.0258</w:t>
                  </w:r>
                </w:p>
              </w:tc>
              <w:tc>
                <w:tcPr>
                  <w:tcW w:w="821" w:type="pct"/>
                  <w:gridSpan w:val="2"/>
                  <w:shd w:val="clear" w:color="auto" w:fill="FFFFFF"/>
                  <w:vAlign w:val="center"/>
                </w:tcPr>
                <w:p w14:paraId="6F425C08">
                  <w:pPr>
                    <w:widowControl/>
                    <w:jc w:val="center"/>
                    <w:textAlignment w:val="center"/>
                    <w:rPr>
                      <w:bCs/>
                      <w:color w:val="auto"/>
                      <w:sz w:val="18"/>
                      <w:szCs w:val="18"/>
                    </w:rPr>
                  </w:pPr>
                  <w:r>
                    <w:rPr>
                      <w:bCs/>
                      <w:color w:val="auto"/>
                      <w:kern w:val="0"/>
                      <w:sz w:val="18"/>
                      <w:szCs w:val="18"/>
                      <w:lang w:bidi="ar"/>
                    </w:rPr>
                    <w:t>0</w:t>
                  </w:r>
                </w:p>
              </w:tc>
              <w:tc>
                <w:tcPr>
                  <w:tcW w:w="799" w:type="pct"/>
                  <w:gridSpan w:val="2"/>
                  <w:shd w:val="clear" w:color="auto" w:fill="FFFFFF"/>
                  <w:vAlign w:val="center"/>
                </w:tcPr>
                <w:p w14:paraId="5FD18029">
                  <w:pPr>
                    <w:widowControl/>
                    <w:jc w:val="center"/>
                    <w:textAlignment w:val="center"/>
                    <w:rPr>
                      <w:bCs/>
                      <w:color w:val="auto"/>
                      <w:sz w:val="18"/>
                      <w:szCs w:val="18"/>
                    </w:rPr>
                  </w:pPr>
                  <w:r>
                    <w:rPr>
                      <w:bCs/>
                      <w:color w:val="auto"/>
                      <w:kern w:val="0"/>
                      <w:sz w:val="18"/>
                      <w:szCs w:val="18"/>
                      <w:lang w:bidi="ar"/>
                    </w:rPr>
                    <w:t>0.0052</w:t>
                  </w:r>
                </w:p>
              </w:tc>
              <w:tc>
                <w:tcPr>
                  <w:tcW w:w="505" w:type="pct"/>
                  <w:shd w:val="clear" w:color="auto" w:fill="FFFFFF"/>
                  <w:noWrap/>
                  <w:vAlign w:val="center"/>
                </w:tcPr>
                <w:p w14:paraId="032E9C69">
                  <w:pPr>
                    <w:widowControl/>
                    <w:jc w:val="center"/>
                    <w:textAlignment w:val="center"/>
                    <w:rPr>
                      <w:color w:val="auto"/>
                      <w:sz w:val="18"/>
                      <w:szCs w:val="18"/>
                    </w:rPr>
                  </w:pPr>
                  <w:r>
                    <w:rPr>
                      <w:color w:val="auto"/>
                      <w:kern w:val="0"/>
                      <w:sz w:val="18"/>
                      <w:szCs w:val="18"/>
                      <w:lang w:bidi="ar"/>
                    </w:rPr>
                    <w:t>/</w:t>
                  </w:r>
                </w:p>
              </w:tc>
            </w:tr>
            <w:tr w14:paraId="12F09EEC">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19" w:type="pct"/>
                  <w:vMerge w:val="continue"/>
                  <w:shd w:val="clear" w:color="auto" w:fill="FFFFFF"/>
                  <w:vAlign w:val="center"/>
                </w:tcPr>
                <w:p w14:paraId="7816A72F">
                  <w:pPr>
                    <w:jc w:val="center"/>
                    <w:rPr>
                      <w:color w:val="auto"/>
                      <w:sz w:val="18"/>
                      <w:szCs w:val="18"/>
                    </w:rPr>
                  </w:pPr>
                </w:p>
              </w:tc>
              <w:tc>
                <w:tcPr>
                  <w:tcW w:w="219" w:type="pct"/>
                  <w:vMerge w:val="continue"/>
                  <w:shd w:val="clear" w:color="auto" w:fill="FFFFFF"/>
                  <w:vAlign w:val="center"/>
                </w:tcPr>
                <w:p w14:paraId="1818BC93">
                  <w:pPr>
                    <w:jc w:val="center"/>
                    <w:rPr>
                      <w:color w:val="auto"/>
                      <w:sz w:val="18"/>
                      <w:szCs w:val="18"/>
                    </w:rPr>
                  </w:pPr>
                </w:p>
              </w:tc>
              <w:tc>
                <w:tcPr>
                  <w:tcW w:w="410" w:type="pct"/>
                  <w:shd w:val="clear" w:color="auto" w:fill="FFFFFF"/>
                  <w:vAlign w:val="center"/>
                </w:tcPr>
                <w:p w14:paraId="080708AE">
                  <w:pPr>
                    <w:widowControl/>
                    <w:jc w:val="center"/>
                    <w:textAlignment w:val="center"/>
                    <w:rPr>
                      <w:color w:val="auto"/>
                      <w:sz w:val="18"/>
                      <w:szCs w:val="18"/>
                    </w:rPr>
                  </w:pPr>
                  <w:r>
                    <w:rPr>
                      <w:color w:val="auto"/>
                      <w:kern w:val="0"/>
                      <w:sz w:val="18"/>
                      <w:szCs w:val="18"/>
                      <w:lang w:bidi="ar"/>
                    </w:rPr>
                    <w:t>Cl</w:t>
                  </w:r>
                  <w:r>
                    <w:rPr>
                      <w:color w:val="auto"/>
                      <w:kern w:val="0"/>
                      <w:sz w:val="18"/>
                      <w:szCs w:val="18"/>
                      <w:vertAlign w:val="subscript"/>
                      <w:lang w:bidi="ar"/>
                    </w:rPr>
                    <w:t>2</w:t>
                  </w:r>
                </w:p>
              </w:tc>
              <w:tc>
                <w:tcPr>
                  <w:tcW w:w="1012" w:type="pct"/>
                  <w:gridSpan w:val="2"/>
                  <w:shd w:val="clear" w:color="auto" w:fill="FFFFFF"/>
                  <w:vAlign w:val="center"/>
                </w:tcPr>
                <w:p w14:paraId="10E4B44F">
                  <w:pPr>
                    <w:widowControl/>
                    <w:jc w:val="center"/>
                    <w:textAlignment w:val="center"/>
                    <w:rPr>
                      <w:bCs/>
                      <w:color w:val="auto"/>
                      <w:sz w:val="18"/>
                      <w:szCs w:val="18"/>
                    </w:rPr>
                  </w:pPr>
                  <w:r>
                    <w:rPr>
                      <w:bCs/>
                      <w:color w:val="auto"/>
                      <w:kern w:val="0"/>
                      <w:sz w:val="18"/>
                      <w:szCs w:val="18"/>
                      <w:lang w:bidi="ar"/>
                    </w:rPr>
                    <w:t>0.013</w:t>
                  </w:r>
                </w:p>
              </w:tc>
              <w:tc>
                <w:tcPr>
                  <w:tcW w:w="1012" w:type="pct"/>
                  <w:gridSpan w:val="2"/>
                  <w:shd w:val="clear" w:color="auto" w:fill="FFFFFF"/>
                  <w:vAlign w:val="center"/>
                </w:tcPr>
                <w:p w14:paraId="30E5FDE9">
                  <w:pPr>
                    <w:widowControl/>
                    <w:jc w:val="center"/>
                    <w:textAlignment w:val="center"/>
                    <w:rPr>
                      <w:bCs/>
                      <w:color w:val="auto"/>
                      <w:sz w:val="18"/>
                      <w:szCs w:val="18"/>
                    </w:rPr>
                  </w:pPr>
                  <w:r>
                    <w:rPr>
                      <w:bCs/>
                      <w:color w:val="auto"/>
                      <w:kern w:val="0"/>
                      <w:sz w:val="18"/>
                      <w:szCs w:val="18"/>
                      <w:lang w:bidi="ar"/>
                    </w:rPr>
                    <w:t>0.0029</w:t>
                  </w:r>
                </w:p>
              </w:tc>
              <w:tc>
                <w:tcPr>
                  <w:tcW w:w="821" w:type="pct"/>
                  <w:gridSpan w:val="2"/>
                  <w:shd w:val="clear" w:color="auto" w:fill="FFFFFF"/>
                  <w:vAlign w:val="center"/>
                </w:tcPr>
                <w:p w14:paraId="024AAADD">
                  <w:pPr>
                    <w:widowControl/>
                    <w:jc w:val="center"/>
                    <w:textAlignment w:val="center"/>
                    <w:rPr>
                      <w:bCs/>
                      <w:color w:val="auto"/>
                      <w:sz w:val="18"/>
                      <w:szCs w:val="18"/>
                    </w:rPr>
                  </w:pPr>
                  <w:r>
                    <w:rPr>
                      <w:bCs/>
                      <w:color w:val="auto"/>
                      <w:kern w:val="0"/>
                      <w:sz w:val="18"/>
                      <w:szCs w:val="18"/>
                      <w:lang w:bidi="ar"/>
                    </w:rPr>
                    <w:t>0</w:t>
                  </w:r>
                </w:p>
              </w:tc>
              <w:tc>
                <w:tcPr>
                  <w:tcW w:w="799" w:type="pct"/>
                  <w:gridSpan w:val="2"/>
                  <w:shd w:val="clear" w:color="auto" w:fill="FFFFFF"/>
                  <w:vAlign w:val="center"/>
                </w:tcPr>
                <w:p w14:paraId="0589A440">
                  <w:pPr>
                    <w:widowControl/>
                    <w:jc w:val="center"/>
                    <w:textAlignment w:val="center"/>
                    <w:rPr>
                      <w:bCs/>
                      <w:color w:val="auto"/>
                      <w:sz w:val="18"/>
                      <w:szCs w:val="18"/>
                    </w:rPr>
                  </w:pPr>
                  <w:r>
                    <w:rPr>
                      <w:bCs/>
                      <w:color w:val="auto"/>
                      <w:kern w:val="0"/>
                      <w:sz w:val="18"/>
                      <w:szCs w:val="18"/>
                      <w:lang w:bidi="ar"/>
                    </w:rPr>
                    <w:t>0.0101</w:t>
                  </w:r>
                </w:p>
              </w:tc>
              <w:tc>
                <w:tcPr>
                  <w:tcW w:w="505" w:type="pct"/>
                  <w:shd w:val="clear" w:color="auto" w:fill="FFFFFF"/>
                  <w:noWrap/>
                  <w:vAlign w:val="center"/>
                </w:tcPr>
                <w:p w14:paraId="0C6ED511">
                  <w:pPr>
                    <w:widowControl/>
                    <w:jc w:val="center"/>
                    <w:textAlignment w:val="center"/>
                    <w:rPr>
                      <w:color w:val="auto"/>
                      <w:sz w:val="18"/>
                      <w:szCs w:val="18"/>
                    </w:rPr>
                  </w:pPr>
                  <w:r>
                    <w:rPr>
                      <w:color w:val="auto"/>
                      <w:kern w:val="0"/>
                      <w:sz w:val="18"/>
                      <w:szCs w:val="18"/>
                      <w:lang w:bidi="ar"/>
                    </w:rPr>
                    <w:t>/</w:t>
                  </w:r>
                </w:p>
              </w:tc>
            </w:tr>
            <w:tr w14:paraId="2C940B58">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19" w:type="pct"/>
                  <w:vMerge w:val="continue"/>
                  <w:shd w:val="clear" w:color="auto" w:fill="FFFFFF"/>
                  <w:vAlign w:val="center"/>
                </w:tcPr>
                <w:p w14:paraId="340D7F55">
                  <w:pPr>
                    <w:jc w:val="center"/>
                    <w:rPr>
                      <w:color w:val="auto"/>
                      <w:sz w:val="18"/>
                      <w:szCs w:val="18"/>
                    </w:rPr>
                  </w:pPr>
                </w:p>
              </w:tc>
              <w:tc>
                <w:tcPr>
                  <w:tcW w:w="219" w:type="pct"/>
                  <w:vMerge w:val="continue"/>
                  <w:shd w:val="clear" w:color="auto" w:fill="FFFFFF"/>
                  <w:vAlign w:val="center"/>
                </w:tcPr>
                <w:p w14:paraId="04DAAA49">
                  <w:pPr>
                    <w:jc w:val="center"/>
                    <w:rPr>
                      <w:color w:val="auto"/>
                      <w:sz w:val="18"/>
                      <w:szCs w:val="18"/>
                    </w:rPr>
                  </w:pPr>
                </w:p>
              </w:tc>
              <w:tc>
                <w:tcPr>
                  <w:tcW w:w="410" w:type="pct"/>
                  <w:shd w:val="clear" w:color="auto" w:fill="FFFFFF"/>
                  <w:vAlign w:val="center"/>
                </w:tcPr>
                <w:p w14:paraId="53C37428">
                  <w:pPr>
                    <w:widowControl/>
                    <w:jc w:val="center"/>
                    <w:textAlignment w:val="center"/>
                    <w:rPr>
                      <w:color w:val="auto"/>
                      <w:sz w:val="18"/>
                      <w:szCs w:val="18"/>
                    </w:rPr>
                  </w:pPr>
                  <w:r>
                    <w:rPr>
                      <w:color w:val="auto"/>
                      <w:kern w:val="0"/>
                      <w:sz w:val="18"/>
                      <w:szCs w:val="18"/>
                      <w:lang w:bidi="ar"/>
                    </w:rPr>
                    <w:t>HCl</w:t>
                  </w:r>
                </w:p>
              </w:tc>
              <w:tc>
                <w:tcPr>
                  <w:tcW w:w="1012" w:type="pct"/>
                  <w:gridSpan w:val="2"/>
                  <w:shd w:val="clear" w:color="auto" w:fill="FFFFFF"/>
                  <w:vAlign w:val="center"/>
                </w:tcPr>
                <w:p w14:paraId="0C4C00DF">
                  <w:pPr>
                    <w:widowControl/>
                    <w:jc w:val="center"/>
                    <w:textAlignment w:val="center"/>
                    <w:rPr>
                      <w:bCs/>
                      <w:color w:val="auto"/>
                      <w:sz w:val="18"/>
                      <w:szCs w:val="18"/>
                    </w:rPr>
                  </w:pPr>
                  <w:r>
                    <w:rPr>
                      <w:bCs/>
                      <w:color w:val="auto"/>
                      <w:kern w:val="0"/>
                      <w:sz w:val="18"/>
                      <w:szCs w:val="18"/>
                      <w:lang w:bidi="ar"/>
                    </w:rPr>
                    <w:t>0.04</w:t>
                  </w:r>
                </w:p>
              </w:tc>
              <w:tc>
                <w:tcPr>
                  <w:tcW w:w="1012" w:type="pct"/>
                  <w:gridSpan w:val="2"/>
                  <w:shd w:val="clear" w:color="auto" w:fill="FFFFFF"/>
                  <w:vAlign w:val="center"/>
                </w:tcPr>
                <w:p w14:paraId="5ACA126C">
                  <w:pPr>
                    <w:widowControl/>
                    <w:jc w:val="center"/>
                    <w:textAlignment w:val="center"/>
                    <w:rPr>
                      <w:bCs/>
                      <w:color w:val="auto"/>
                      <w:sz w:val="18"/>
                      <w:szCs w:val="18"/>
                    </w:rPr>
                  </w:pPr>
                  <w:r>
                    <w:rPr>
                      <w:bCs/>
                      <w:color w:val="auto"/>
                      <w:kern w:val="0"/>
                      <w:sz w:val="18"/>
                      <w:szCs w:val="18"/>
                      <w:lang w:bidi="ar"/>
                    </w:rPr>
                    <w:t>0.0001</w:t>
                  </w:r>
                </w:p>
              </w:tc>
              <w:tc>
                <w:tcPr>
                  <w:tcW w:w="821" w:type="pct"/>
                  <w:gridSpan w:val="2"/>
                  <w:shd w:val="clear" w:color="auto" w:fill="FFFFFF"/>
                  <w:vAlign w:val="center"/>
                </w:tcPr>
                <w:p w14:paraId="1531A7E8">
                  <w:pPr>
                    <w:widowControl/>
                    <w:jc w:val="center"/>
                    <w:textAlignment w:val="center"/>
                    <w:rPr>
                      <w:bCs/>
                      <w:color w:val="auto"/>
                      <w:sz w:val="18"/>
                      <w:szCs w:val="18"/>
                    </w:rPr>
                  </w:pPr>
                  <w:r>
                    <w:rPr>
                      <w:bCs/>
                      <w:color w:val="auto"/>
                      <w:kern w:val="0"/>
                      <w:sz w:val="18"/>
                      <w:szCs w:val="18"/>
                      <w:lang w:bidi="ar"/>
                    </w:rPr>
                    <w:t>0</w:t>
                  </w:r>
                </w:p>
              </w:tc>
              <w:tc>
                <w:tcPr>
                  <w:tcW w:w="799" w:type="pct"/>
                  <w:gridSpan w:val="2"/>
                  <w:shd w:val="clear" w:color="auto" w:fill="FFFFFF"/>
                  <w:vAlign w:val="center"/>
                </w:tcPr>
                <w:p w14:paraId="2D032DA0">
                  <w:pPr>
                    <w:widowControl/>
                    <w:jc w:val="center"/>
                    <w:textAlignment w:val="center"/>
                    <w:rPr>
                      <w:bCs/>
                      <w:color w:val="auto"/>
                      <w:sz w:val="18"/>
                      <w:szCs w:val="18"/>
                    </w:rPr>
                  </w:pPr>
                  <w:r>
                    <w:rPr>
                      <w:bCs/>
                      <w:color w:val="auto"/>
                      <w:kern w:val="0"/>
                      <w:sz w:val="18"/>
                      <w:szCs w:val="18"/>
                      <w:lang w:bidi="ar"/>
                    </w:rPr>
                    <w:t>0.0399</w:t>
                  </w:r>
                </w:p>
              </w:tc>
              <w:tc>
                <w:tcPr>
                  <w:tcW w:w="505" w:type="pct"/>
                  <w:shd w:val="clear" w:color="auto" w:fill="FFFFFF"/>
                  <w:noWrap/>
                  <w:vAlign w:val="center"/>
                </w:tcPr>
                <w:p w14:paraId="6DFA0B65">
                  <w:pPr>
                    <w:widowControl/>
                    <w:jc w:val="center"/>
                    <w:textAlignment w:val="center"/>
                    <w:rPr>
                      <w:color w:val="auto"/>
                      <w:sz w:val="18"/>
                      <w:szCs w:val="18"/>
                    </w:rPr>
                  </w:pPr>
                  <w:r>
                    <w:rPr>
                      <w:color w:val="auto"/>
                      <w:kern w:val="0"/>
                      <w:sz w:val="18"/>
                      <w:szCs w:val="18"/>
                      <w:lang w:bidi="ar"/>
                    </w:rPr>
                    <w:t>/</w:t>
                  </w:r>
                </w:p>
              </w:tc>
            </w:tr>
            <w:tr w14:paraId="6AAE2824">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19" w:type="pct"/>
                  <w:vMerge w:val="continue"/>
                  <w:shd w:val="clear" w:color="auto" w:fill="FFFFFF"/>
                  <w:vAlign w:val="center"/>
                </w:tcPr>
                <w:p w14:paraId="4683E6F1">
                  <w:pPr>
                    <w:jc w:val="center"/>
                    <w:rPr>
                      <w:color w:val="auto"/>
                      <w:sz w:val="18"/>
                      <w:szCs w:val="18"/>
                    </w:rPr>
                  </w:pPr>
                </w:p>
              </w:tc>
              <w:tc>
                <w:tcPr>
                  <w:tcW w:w="219" w:type="pct"/>
                  <w:vMerge w:val="continue"/>
                  <w:shd w:val="clear" w:color="auto" w:fill="FFFFFF"/>
                  <w:vAlign w:val="center"/>
                </w:tcPr>
                <w:p w14:paraId="4D3F7953">
                  <w:pPr>
                    <w:jc w:val="center"/>
                    <w:rPr>
                      <w:color w:val="auto"/>
                      <w:sz w:val="18"/>
                      <w:szCs w:val="18"/>
                    </w:rPr>
                  </w:pPr>
                </w:p>
              </w:tc>
              <w:tc>
                <w:tcPr>
                  <w:tcW w:w="410" w:type="pct"/>
                  <w:shd w:val="clear" w:color="auto" w:fill="FFFFFF"/>
                  <w:vAlign w:val="center"/>
                </w:tcPr>
                <w:p w14:paraId="171E53D3">
                  <w:pPr>
                    <w:widowControl/>
                    <w:jc w:val="center"/>
                    <w:textAlignment w:val="center"/>
                    <w:rPr>
                      <w:color w:val="auto"/>
                      <w:sz w:val="18"/>
                      <w:szCs w:val="18"/>
                    </w:rPr>
                  </w:pPr>
                  <w:r>
                    <w:rPr>
                      <w:color w:val="auto"/>
                      <w:kern w:val="0"/>
                      <w:sz w:val="18"/>
                      <w:szCs w:val="18"/>
                      <w:lang w:bidi="ar"/>
                    </w:rPr>
                    <w:t>硫酸雾</w:t>
                  </w:r>
                </w:p>
              </w:tc>
              <w:tc>
                <w:tcPr>
                  <w:tcW w:w="1012" w:type="pct"/>
                  <w:gridSpan w:val="2"/>
                  <w:shd w:val="clear" w:color="auto" w:fill="FFFFFF"/>
                  <w:vAlign w:val="center"/>
                </w:tcPr>
                <w:p w14:paraId="018283FF">
                  <w:pPr>
                    <w:widowControl/>
                    <w:jc w:val="center"/>
                    <w:textAlignment w:val="center"/>
                    <w:rPr>
                      <w:bCs/>
                      <w:color w:val="auto"/>
                      <w:sz w:val="18"/>
                      <w:szCs w:val="18"/>
                    </w:rPr>
                  </w:pPr>
                  <w:r>
                    <w:rPr>
                      <w:bCs/>
                      <w:color w:val="auto"/>
                      <w:kern w:val="0"/>
                      <w:sz w:val="18"/>
                      <w:szCs w:val="18"/>
                      <w:lang w:bidi="ar"/>
                    </w:rPr>
                    <w:t>0.019</w:t>
                  </w:r>
                </w:p>
              </w:tc>
              <w:tc>
                <w:tcPr>
                  <w:tcW w:w="1012" w:type="pct"/>
                  <w:gridSpan w:val="2"/>
                  <w:shd w:val="clear" w:color="auto" w:fill="FFFFFF"/>
                  <w:vAlign w:val="center"/>
                </w:tcPr>
                <w:p w14:paraId="070E85E9">
                  <w:pPr>
                    <w:widowControl/>
                    <w:jc w:val="center"/>
                    <w:textAlignment w:val="center"/>
                    <w:rPr>
                      <w:bCs/>
                      <w:color w:val="auto"/>
                      <w:sz w:val="18"/>
                      <w:szCs w:val="18"/>
                    </w:rPr>
                  </w:pPr>
                  <w:r>
                    <w:rPr>
                      <w:bCs/>
                      <w:color w:val="auto"/>
                      <w:kern w:val="0"/>
                      <w:sz w:val="18"/>
                      <w:szCs w:val="18"/>
                      <w:lang w:bidi="ar"/>
                    </w:rPr>
                    <w:t>0.0022</w:t>
                  </w:r>
                </w:p>
              </w:tc>
              <w:tc>
                <w:tcPr>
                  <w:tcW w:w="821" w:type="pct"/>
                  <w:gridSpan w:val="2"/>
                  <w:shd w:val="clear" w:color="auto" w:fill="FFFFFF"/>
                  <w:vAlign w:val="center"/>
                </w:tcPr>
                <w:p w14:paraId="5333FEEE">
                  <w:pPr>
                    <w:widowControl/>
                    <w:jc w:val="center"/>
                    <w:textAlignment w:val="center"/>
                    <w:rPr>
                      <w:bCs/>
                      <w:color w:val="auto"/>
                      <w:sz w:val="18"/>
                      <w:szCs w:val="18"/>
                    </w:rPr>
                  </w:pPr>
                  <w:r>
                    <w:rPr>
                      <w:bCs/>
                      <w:color w:val="auto"/>
                      <w:kern w:val="0"/>
                      <w:sz w:val="18"/>
                      <w:szCs w:val="18"/>
                      <w:lang w:bidi="ar"/>
                    </w:rPr>
                    <w:t>0</w:t>
                  </w:r>
                </w:p>
              </w:tc>
              <w:tc>
                <w:tcPr>
                  <w:tcW w:w="799" w:type="pct"/>
                  <w:gridSpan w:val="2"/>
                  <w:shd w:val="clear" w:color="auto" w:fill="FFFFFF"/>
                  <w:vAlign w:val="center"/>
                </w:tcPr>
                <w:p w14:paraId="0CC7DA27">
                  <w:pPr>
                    <w:widowControl/>
                    <w:jc w:val="center"/>
                    <w:textAlignment w:val="center"/>
                    <w:rPr>
                      <w:bCs/>
                      <w:color w:val="auto"/>
                      <w:sz w:val="18"/>
                      <w:szCs w:val="18"/>
                    </w:rPr>
                  </w:pPr>
                  <w:r>
                    <w:rPr>
                      <w:bCs/>
                      <w:color w:val="auto"/>
                      <w:kern w:val="0"/>
                      <w:sz w:val="18"/>
                      <w:szCs w:val="18"/>
                      <w:lang w:bidi="ar"/>
                    </w:rPr>
                    <w:t>0.0168</w:t>
                  </w:r>
                </w:p>
              </w:tc>
              <w:tc>
                <w:tcPr>
                  <w:tcW w:w="505" w:type="pct"/>
                  <w:shd w:val="clear" w:color="auto" w:fill="FFFFFF"/>
                  <w:noWrap/>
                  <w:vAlign w:val="center"/>
                </w:tcPr>
                <w:p w14:paraId="6A08B254">
                  <w:pPr>
                    <w:widowControl/>
                    <w:jc w:val="center"/>
                    <w:textAlignment w:val="center"/>
                    <w:rPr>
                      <w:color w:val="auto"/>
                      <w:sz w:val="18"/>
                      <w:szCs w:val="18"/>
                    </w:rPr>
                  </w:pPr>
                  <w:r>
                    <w:rPr>
                      <w:color w:val="auto"/>
                      <w:kern w:val="0"/>
                      <w:sz w:val="18"/>
                      <w:szCs w:val="18"/>
                      <w:lang w:bidi="ar"/>
                    </w:rPr>
                    <w:t>/</w:t>
                  </w:r>
                </w:p>
              </w:tc>
            </w:tr>
            <w:tr w14:paraId="13EB3297">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19" w:type="pct"/>
                  <w:vMerge w:val="continue"/>
                  <w:shd w:val="clear" w:color="auto" w:fill="FFFFFF"/>
                  <w:vAlign w:val="center"/>
                </w:tcPr>
                <w:p w14:paraId="3646CEEF">
                  <w:pPr>
                    <w:jc w:val="center"/>
                    <w:rPr>
                      <w:color w:val="auto"/>
                      <w:sz w:val="18"/>
                      <w:szCs w:val="18"/>
                    </w:rPr>
                  </w:pPr>
                </w:p>
              </w:tc>
              <w:tc>
                <w:tcPr>
                  <w:tcW w:w="219" w:type="pct"/>
                  <w:vMerge w:val="continue"/>
                  <w:shd w:val="clear" w:color="auto" w:fill="FFFFFF"/>
                  <w:vAlign w:val="center"/>
                </w:tcPr>
                <w:p w14:paraId="557D8934">
                  <w:pPr>
                    <w:jc w:val="center"/>
                    <w:rPr>
                      <w:color w:val="auto"/>
                      <w:sz w:val="18"/>
                      <w:szCs w:val="18"/>
                    </w:rPr>
                  </w:pPr>
                </w:p>
              </w:tc>
              <w:tc>
                <w:tcPr>
                  <w:tcW w:w="410" w:type="pct"/>
                  <w:shd w:val="clear" w:color="auto" w:fill="FFFFFF"/>
                  <w:vAlign w:val="center"/>
                </w:tcPr>
                <w:p w14:paraId="4C057CB0">
                  <w:pPr>
                    <w:widowControl/>
                    <w:jc w:val="center"/>
                    <w:textAlignment w:val="center"/>
                    <w:rPr>
                      <w:color w:val="auto"/>
                      <w:sz w:val="18"/>
                      <w:szCs w:val="18"/>
                    </w:rPr>
                  </w:pPr>
                  <w:r>
                    <w:rPr>
                      <w:color w:val="auto"/>
                      <w:kern w:val="0"/>
                      <w:sz w:val="18"/>
                      <w:szCs w:val="18"/>
                      <w:lang w:bidi="ar"/>
                    </w:rPr>
                    <w:t>SO</w:t>
                  </w:r>
                  <w:r>
                    <w:rPr>
                      <w:color w:val="auto"/>
                      <w:kern w:val="0"/>
                      <w:sz w:val="18"/>
                      <w:szCs w:val="18"/>
                      <w:vertAlign w:val="subscript"/>
                      <w:lang w:bidi="ar"/>
                    </w:rPr>
                    <w:t>2</w:t>
                  </w:r>
                </w:p>
              </w:tc>
              <w:tc>
                <w:tcPr>
                  <w:tcW w:w="1012" w:type="pct"/>
                  <w:gridSpan w:val="2"/>
                  <w:shd w:val="clear" w:color="auto" w:fill="FFFFFF"/>
                  <w:vAlign w:val="center"/>
                </w:tcPr>
                <w:p w14:paraId="098D3BE4">
                  <w:pPr>
                    <w:widowControl/>
                    <w:jc w:val="center"/>
                    <w:textAlignment w:val="center"/>
                    <w:rPr>
                      <w:bCs/>
                      <w:color w:val="auto"/>
                      <w:sz w:val="18"/>
                      <w:szCs w:val="18"/>
                    </w:rPr>
                  </w:pPr>
                  <w:r>
                    <w:rPr>
                      <w:bCs/>
                      <w:color w:val="auto"/>
                      <w:kern w:val="0"/>
                      <w:sz w:val="18"/>
                      <w:szCs w:val="18"/>
                      <w:lang w:bidi="ar"/>
                    </w:rPr>
                    <w:t>0.002</w:t>
                  </w:r>
                </w:p>
              </w:tc>
              <w:tc>
                <w:tcPr>
                  <w:tcW w:w="1012" w:type="pct"/>
                  <w:gridSpan w:val="2"/>
                  <w:shd w:val="clear" w:color="auto" w:fill="FFFFFF"/>
                  <w:vAlign w:val="center"/>
                </w:tcPr>
                <w:p w14:paraId="0A3F460A">
                  <w:pPr>
                    <w:widowControl/>
                    <w:jc w:val="center"/>
                    <w:textAlignment w:val="center"/>
                    <w:rPr>
                      <w:bCs/>
                      <w:color w:val="auto"/>
                      <w:sz w:val="18"/>
                      <w:szCs w:val="18"/>
                    </w:rPr>
                  </w:pPr>
                  <w:r>
                    <w:rPr>
                      <w:bCs/>
                      <w:color w:val="auto"/>
                      <w:kern w:val="0"/>
                      <w:sz w:val="18"/>
                      <w:szCs w:val="18"/>
                      <w:lang w:bidi="ar"/>
                    </w:rPr>
                    <w:t>0.0016</w:t>
                  </w:r>
                </w:p>
              </w:tc>
              <w:tc>
                <w:tcPr>
                  <w:tcW w:w="821" w:type="pct"/>
                  <w:gridSpan w:val="2"/>
                  <w:shd w:val="clear" w:color="auto" w:fill="FFFFFF"/>
                  <w:vAlign w:val="center"/>
                </w:tcPr>
                <w:p w14:paraId="386EA78E">
                  <w:pPr>
                    <w:widowControl/>
                    <w:jc w:val="center"/>
                    <w:textAlignment w:val="center"/>
                    <w:rPr>
                      <w:bCs/>
                      <w:color w:val="auto"/>
                      <w:sz w:val="18"/>
                      <w:szCs w:val="18"/>
                    </w:rPr>
                  </w:pPr>
                  <w:r>
                    <w:rPr>
                      <w:bCs/>
                      <w:color w:val="auto"/>
                      <w:kern w:val="0"/>
                      <w:sz w:val="18"/>
                      <w:szCs w:val="18"/>
                      <w:lang w:bidi="ar"/>
                    </w:rPr>
                    <w:t>0</w:t>
                  </w:r>
                </w:p>
              </w:tc>
              <w:tc>
                <w:tcPr>
                  <w:tcW w:w="799" w:type="pct"/>
                  <w:gridSpan w:val="2"/>
                  <w:shd w:val="clear" w:color="auto" w:fill="FFFFFF"/>
                  <w:vAlign w:val="center"/>
                </w:tcPr>
                <w:p w14:paraId="081EB5BA">
                  <w:pPr>
                    <w:widowControl/>
                    <w:jc w:val="center"/>
                    <w:textAlignment w:val="center"/>
                    <w:rPr>
                      <w:bCs/>
                      <w:color w:val="auto"/>
                      <w:sz w:val="18"/>
                      <w:szCs w:val="18"/>
                    </w:rPr>
                  </w:pPr>
                  <w:r>
                    <w:rPr>
                      <w:bCs/>
                      <w:color w:val="auto"/>
                      <w:kern w:val="0"/>
                      <w:sz w:val="18"/>
                      <w:szCs w:val="18"/>
                      <w:lang w:bidi="ar"/>
                    </w:rPr>
                    <w:t>0.0004</w:t>
                  </w:r>
                </w:p>
              </w:tc>
              <w:tc>
                <w:tcPr>
                  <w:tcW w:w="505" w:type="pct"/>
                  <w:shd w:val="clear" w:color="auto" w:fill="FFFFFF"/>
                  <w:noWrap/>
                  <w:vAlign w:val="center"/>
                </w:tcPr>
                <w:p w14:paraId="1D2E4A75">
                  <w:pPr>
                    <w:widowControl/>
                    <w:jc w:val="center"/>
                    <w:textAlignment w:val="center"/>
                    <w:rPr>
                      <w:color w:val="auto"/>
                      <w:sz w:val="18"/>
                      <w:szCs w:val="18"/>
                    </w:rPr>
                  </w:pPr>
                  <w:r>
                    <w:rPr>
                      <w:color w:val="auto"/>
                      <w:kern w:val="0"/>
                      <w:sz w:val="18"/>
                      <w:szCs w:val="18"/>
                      <w:lang w:bidi="ar"/>
                    </w:rPr>
                    <w:t>/</w:t>
                  </w:r>
                </w:p>
              </w:tc>
            </w:tr>
            <w:tr w14:paraId="3D233595">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19" w:type="pct"/>
                  <w:vMerge w:val="continue"/>
                  <w:shd w:val="clear" w:color="auto" w:fill="FFFFFF"/>
                  <w:vAlign w:val="center"/>
                </w:tcPr>
                <w:p w14:paraId="4100744B">
                  <w:pPr>
                    <w:jc w:val="center"/>
                    <w:rPr>
                      <w:color w:val="auto"/>
                      <w:sz w:val="18"/>
                      <w:szCs w:val="18"/>
                    </w:rPr>
                  </w:pPr>
                </w:p>
              </w:tc>
              <w:tc>
                <w:tcPr>
                  <w:tcW w:w="219" w:type="pct"/>
                  <w:vMerge w:val="continue"/>
                  <w:shd w:val="clear" w:color="auto" w:fill="FFFFFF"/>
                  <w:vAlign w:val="center"/>
                </w:tcPr>
                <w:p w14:paraId="497A25E1">
                  <w:pPr>
                    <w:jc w:val="center"/>
                    <w:rPr>
                      <w:color w:val="auto"/>
                      <w:sz w:val="18"/>
                      <w:szCs w:val="18"/>
                    </w:rPr>
                  </w:pPr>
                </w:p>
              </w:tc>
              <w:tc>
                <w:tcPr>
                  <w:tcW w:w="410" w:type="pct"/>
                  <w:shd w:val="clear" w:color="auto" w:fill="FFFFFF"/>
                  <w:vAlign w:val="center"/>
                </w:tcPr>
                <w:p w14:paraId="6E0C1143">
                  <w:pPr>
                    <w:widowControl/>
                    <w:jc w:val="center"/>
                    <w:textAlignment w:val="center"/>
                    <w:rPr>
                      <w:color w:val="auto"/>
                      <w:sz w:val="18"/>
                      <w:szCs w:val="18"/>
                    </w:rPr>
                  </w:pPr>
                  <w:r>
                    <w:rPr>
                      <w:color w:val="auto"/>
                      <w:kern w:val="0"/>
                      <w:sz w:val="18"/>
                      <w:szCs w:val="18"/>
                      <w:lang w:bidi="ar"/>
                    </w:rPr>
                    <w:t>粉尘</w:t>
                  </w:r>
                </w:p>
              </w:tc>
              <w:tc>
                <w:tcPr>
                  <w:tcW w:w="1012" w:type="pct"/>
                  <w:gridSpan w:val="2"/>
                  <w:shd w:val="clear" w:color="auto" w:fill="FFFFFF"/>
                  <w:vAlign w:val="center"/>
                </w:tcPr>
                <w:p w14:paraId="5FFF2017">
                  <w:pPr>
                    <w:widowControl/>
                    <w:jc w:val="center"/>
                    <w:textAlignment w:val="center"/>
                    <w:rPr>
                      <w:bCs/>
                      <w:color w:val="auto"/>
                      <w:sz w:val="18"/>
                      <w:szCs w:val="18"/>
                    </w:rPr>
                  </w:pPr>
                  <w:r>
                    <w:rPr>
                      <w:bCs/>
                      <w:color w:val="auto"/>
                      <w:kern w:val="0"/>
                      <w:sz w:val="18"/>
                      <w:szCs w:val="18"/>
                      <w:lang w:bidi="ar"/>
                    </w:rPr>
                    <w:t>0.076</w:t>
                  </w:r>
                </w:p>
              </w:tc>
              <w:tc>
                <w:tcPr>
                  <w:tcW w:w="1012" w:type="pct"/>
                  <w:gridSpan w:val="2"/>
                  <w:shd w:val="clear" w:color="auto" w:fill="FFFFFF"/>
                  <w:vAlign w:val="center"/>
                </w:tcPr>
                <w:p w14:paraId="597EE9CC">
                  <w:pPr>
                    <w:widowControl/>
                    <w:jc w:val="center"/>
                    <w:textAlignment w:val="center"/>
                    <w:rPr>
                      <w:bCs/>
                      <w:color w:val="auto"/>
                      <w:sz w:val="18"/>
                      <w:szCs w:val="18"/>
                    </w:rPr>
                  </w:pPr>
                  <w:r>
                    <w:rPr>
                      <w:bCs/>
                      <w:color w:val="auto"/>
                      <w:kern w:val="0"/>
                      <w:sz w:val="18"/>
                      <w:szCs w:val="18"/>
                      <w:lang w:bidi="ar"/>
                    </w:rPr>
                    <w:t>0.0152</w:t>
                  </w:r>
                </w:p>
              </w:tc>
              <w:tc>
                <w:tcPr>
                  <w:tcW w:w="821" w:type="pct"/>
                  <w:gridSpan w:val="2"/>
                  <w:shd w:val="clear" w:color="auto" w:fill="FFFFFF"/>
                  <w:vAlign w:val="center"/>
                </w:tcPr>
                <w:p w14:paraId="74DC0FF9">
                  <w:pPr>
                    <w:widowControl/>
                    <w:jc w:val="center"/>
                    <w:textAlignment w:val="center"/>
                    <w:rPr>
                      <w:bCs/>
                      <w:color w:val="auto"/>
                      <w:sz w:val="18"/>
                      <w:szCs w:val="18"/>
                    </w:rPr>
                  </w:pPr>
                  <w:r>
                    <w:rPr>
                      <w:bCs/>
                      <w:color w:val="auto"/>
                      <w:kern w:val="0"/>
                      <w:sz w:val="18"/>
                      <w:szCs w:val="18"/>
                      <w:lang w:bidi="ar"/>
                    </w:rPr>
                    <w:t>0</w:t>
                  </w:r>
                </w:p>
              </w:tc>
              <w:tc>
                <w:tcPr>
                  <w:tcW w:w="799" w:type="pct"/>
                  <w:gridSpan w:val="2"/>
                  <w:shd w:val="clear" w:color="auto" w:fill="FFFFFF"/>
                  <w:vAlign w:val="center"/>
                </w:tcPr>
                <w:p w14:paraId="395DADA2">
                  <w:pPr>
                    <w:widowControl/>
                    <w:jc w:val="center"/>
                    <w:textAlignment w:val="center"/>
                    <w:rPr>
                      <w:bCs/>
                      <w:color w:val="auto"/>
                      <w:sz w:val="18"/>
                      <w:szCs w:val="18"/>
                    </w:rPr>
                  </w:pPr>
                  <w:r>
                    <w:rPr>
                      <w:bCs/>
                      <w:color w:val="auto"/>
                      <w:kern w:val="0"/>
                      <w:sz w:val="18"/>
                      <w:szCs w:val="18"/>
                      <w:lang w:bidi="ar"/>
                    </w:rPr>
                    <w:t>0.0608</w:t>
                  </w:r>
                </w:p>
              </w:tc>
              <w:tc>
                <w:tcPr>
                  <w:tcW w:w="505" w:type="pct"/>
                  <w:shd w:val="clear" w:color="auto" w:fill="FFFFFF"/>
                  <w:noWrap/>
                  <w:vAlign w:val="center"/>
                </w:tcPr>
                <w:p w14:paraId="59DAE229">
                  <w:pPr>
                    <w:widowControl/>
                    <w:jc w:val="center"/>
                    <w:textAlignment w:val="center"/>
                    <w:rPr>
                      <w:color w:val="auto"/>
                      <w:sz w:val="18"/>
                      <w:szCs w:val="18"/>
                    </w:rPr>
                  </w:pPr>
                  <w:r>
                    <w:rPr>
                      <w:color w:val="auto"/>
                      <w:kern w:val="0"/>
                      <w:sz w:val="18"/>
                      <w:szCs w:val="18"/>
                      <w:lang w:bidi="ar"/>
                    </w:rPr>
                    <w:t>/</w:t>
                  </w:r>
                </w:p>
              </w:tc>
            </w:tr>
            <w:tr w14:paraId="45966B60">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19" w:type="pct"/>
                  <w:vMerge w:val="continue"/>
                  <w:shd w:val="clear" w:color="auto" w:fill="FFFFFF"/>
                  <w:vAlign w:val="center"/>
                </w:tcPr>
                <w:p w14:paraId="0ACB642F">
                  <w:pPr>
                    <w:jc w:val="center"/>
                    <w:rPr>
                      <w:color w:val="auto"/>
                      <w:sz w:val="18"/>
                      <w:szCs w:val="18"/>
                    </w:rPr>
                  </w:pPr>
                </w:p>
              </w:tc>
              <w:tc>
                <w:tcPr>
                  <w:tcW w:w="219" w:type="pct"/>
                  <w:vMerge w:val="continue"/>
                  <w:shd w:val="clear" w:color="auto" w:fill="FFFFFF"/>
                  <w:vAlign w:val="center"/>
                </w:tcPr>
                <w:p w14:paraId="37CF0464">
                  <w:pPr>
                    <w:jc w:val="center"/>
                    <w:rPr>
                      <w:color w:val="auto"/>
                      <w:sz w:val="18"/>
                      <w:szCs w:val="18"/>
                    </w:rPr>
                  </w:pPr>
                </w:p>
              </w:tc>
              <w:tc>
                <w:tcPr>
                  <w:tcW w:w="410" w:type="pct"/>
                  <w:shd w:val="clear" w:color="auto" w:fill="FFFFFF"/>
                  <w:vAlign w:val="center"/>
                </w:tcPr>
                <w:p w14:paraId="1BE83557">
                  <w:pPr>
                    <w:widowControl/>
                    <w:jc w:val="center"/>
                    <w:textAlignment w:val="center"/>
                    <w:rPr>
                      <w:color w:val="auto"/>
                      <w:sz w:val="18"/>
                      <w:szCs w:val="18"/>
                    </w:rPr>
                  </w:pPr>
                  <w:r>
                    <w:rPr>
                      <w:color w:val="auto"/>
                      <w:kern w:val="0"/>
                      <w:sz w:val="18"/>
                      <w:szCs w:val="18"/>
                      <w:lang w:bidi="ar"/>
                    </w:rPr>
                    <w:t>氟化物</w:t>
                  </w:r>
                </w:p>
              </w:tc>
              <w:tc>
                <w:tcPr>
                  <w:tcW w:w="1012" w:type="pct"/>
                  <w:gridSpan w:val="2"/>
                  <w:shd w:val="clear" w:color="auto" w:fill="FFFFFF"/>
                  <w:vAlign w:val="center"/>
                </w:tcPr>
                <w:p w14:paraId="3653093F">
                  <w:pPr>
                    <w:widowControl/>
                    <w:jc w:val="center"/>
                    <w:textAlignment w:val="center"/>
                    <w:rPr>
                      <w:bCs/>
                      <w:color w:val="auto"/>
                      <w:sz w:val="18"/>
                      <w:szCs w:val="18"/>
                    </w:rPr>
                  </w:pPr>
                  <w:r>
                    <w:rPr>
                      <w:bCs/>
                      <w:color w:val="auto"/>
                      <w:kern w:val="0"/>
                      <w:sz w:val="18"/>
                      <w:szCs w:val="18"/>
                      <w:lang w:bidi="ar"/>
                    </w:rPr>
                    <w:t>0.0035</w:t>
                  </w:r>
                </w:p>
              </w:tc>
              <w:tc>
                <w:tcPr>
                  <w:tcW w:w="1012" w:type="pct"/>
                  <w:gridSpan w:val="2"/>
                  <w:shd w:val="clear" w:color="auto" w:fill="FFFFFF"/>
                  <w:vAlign w:val="center"/>
                </w:tcPr>
                <w:p w14:paraId="2A968A08">
                  <w:pPr>
                    <w:widowControl/>
                    <w:jc w:val="center"/>
                    <w:textAlignment w:val="center"/>
                    <w:rPr>
                      <w:bCs/>
                      <w:color w:val="auto"/>
                      <w:sz w:val="18"/>
                      <w:szCs w:val="18"/>
                    </w:rPr>
                  </w:pPr>
                  <w:r>
                    <w:rPr>
                      <w:bCs/>
                      <w:color w:val="auto"/>
                      <w:kern w:val="0"/>
                      <w:sz w:val="18"/>
                      <w:szCs w:val="18"/>
                      <w:lang w:bidi="ar"/>
                    </w:rPr>
                    <w:t>0.0007</w:t>
                  </w:r>
                </w:p>
              </w:tc>
              <w:tc>
                <w:tcPr>
                  <w:tcW w:w="821" w:type="pct"/>
                  <w:gridSpan w:val="2"/>
                  <w:shd w:val="clear" w:color="auto" w:fill="FFFFFF"/>
                  <w:vAlign w:val="center"/>
                </w:tcPr>
                <w:p w14:paraId="6C3A2E12">
                  <w:pPr>
                    <w:widowControl/>
                    <w:jc w:val="center"/>
                    <w:textAlignment w:val="center"/>
                    <w:rPr>
                      <w:bCs/>
                      <w:color w:val="auto"/>
                      <w:sz w:val="18"/>
                      <w:szCs w:val="18"/>
                    </w:rPr>
                  </w:pPr>
                  <w:r>
                    <w:rPr>
                      <w:bCs/>
                      <w:color w:val="auto"/>
                      <w:kern w:val="0"/>
                      <w:sz w:val="18"/>
                      <w:szCs w:val="18"/>
                      <w:lang w:bidi="ar"/>
                    </w:rPr>
                    <w:t>0</w:t>
                  </w:r>
                </w:p>
              </w:tc>
              <w:tc>
                <w:tcPr>
                  <w:tcW w:w="799" w:type="pct"/>
                  <w:gridSpan w:val="2"/>
                  <w:shd w:val="clear" w:color="auto" w:fill="FFFFFF"/>
                  <w:vAlign w:val="center"/>
                </w:tcPr>
                <w:p w14:paraId="0F06483A">
                  <w:pPr>
                    <w:widowControl/>
                    <w:jc w:val="center"/>
                    <w:textAlignment w:val="center"/>
                    <w:rPr>
                      <w:bCs/>
                      <w:color w:val="auto"/>
                      <w:sz w:val="18"/>
                      <w:szCs w:val="18"/>
                    </w:rPr>
                  </w:pPr>
                  <w:r>
                    <w:rPr>
                      <w:bCs/>
                      <w:color w:val="auto"/>
                      <w:kern w:val="0"/>
                      <w:sz w:val="18"/>
                      <w:szCs w:val="18"/>
                      <w:lang w:bidi="ar"/>
                    </w:rPr>
                    <w:t>0.0028</w:t>
                  </w:r>
                </w:p>
              </w:tc>
              <w:tc>
                <w:tcPr>
                  <w:tcW w:w="505" w:type="pct"/>
                  <w:shd w:val="clear" w:color="auto" w:fill="FFFFFF"/>
                  <w:noWrap/>
                  <w:vAlign w:val="center"/>
                </w:tcPr>
                <w:p w14:paraId="7F0D8AE5">
                  <w:pPr>
                    <w:widowControl/>
                    <w:jc w:val="center"/>
                    <w:textAlignment w:val="center"/>
                    <w:rPr>
                      <w:color w:val="auto"/>
                      <w:sz w:val="18"/>
                      <w:szCs w:val="18"/>
                    </w:rPr>
                  </w:pPr>
                  <w:r>
                    <w:rPr>
                      <w:color w:val="auto"/>
                      <w:kern w:val="0"/>
                      <w:sz w:val="18"/>
                      <w:szCs w:val="18"/>
                      <w:lang w:bidi="ar"/>
                    </w:rPr>
                    <w:t>/</w:t>
                  </w:r>
                </w:p>
              </w:tc>
            </w:tr>
            <w:tr w14:paraId="7E512E1F">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19" w:type="pct"/>
                  <w:vMerge w:val="continue"/>
                  <w:shd w:val="clear" w:color="auto" w:fill="FFFFFF"/>
                  <w:vAlign w:val="center"/>
                </w:tcPr>
                <w:p w14:paraId="36A22934">
                  <w:pPr>
                    <w:jc w:val="center"/>
                    <w:rPr>
                      <w:color w:val="auto"/>
                      <w:sz w:val="18"/>
                      <w:szCs w:val="18"/>
                    </w:rPr>
                  </w:pPr>
                </w:p>
              </w:tc>
              <w:tc>
                <w:tcPr>
                  <w:tcW w:w="219" w:type="pct"/>
                  <w:vMerge w:val="continue"/>
                  <w:shd w:val="clear" w:color="auto" w:fill="FFFFFF"/>
                  <w:vAlign w:val="center"/>
                </w:tcPr>
                <w:p w14:paraId="061375E1">
                  <w:pPr>
                    <w:jc w:val="center"/>
                    <w:rPr>
                      <w:color w:val="auto"/>
                      <w:sz w:val="18"/>
                      <w:szCs w:val="18"/>
                    </w:rPr>
                  </w:pPr>
                </w:p>
              </w:tc>
              <w:tc>
                <w:tcPr>
                  <w:tcW w:w="410" w:type="pct"/>
                  <w:shd w:val="clear" w:color="auto" w:fill="FFFFFF"/>
                  <w:vAlign w:val="center"/>
                </w:tcPr>
                <w:p w14:paraId="339DDEE1">
                  <w:pPr>
                    <w:widowControl/>
                    <w:jc w:val="center"/>
                    <w:textAlignment w:val="center"/>
                    <w:rPr>
                      <w:color w:val="auto"/>
                      <w:sz w:val="18"/>
                      <w:szCs w:val="18"/>
                    </w:rPr>
                  </w:pPr>
                  <w:r>
                    <w:rPr>
                      <w:color w:val="auto"/>
                      <w:kern w:val="0"/>
                      <w:sz w:val="18"/>
                      <w:szCs w:val="18"/>
                      <w:lang w:bidi="ar"/>
                    </w:rPr>
                    <w:t>异丙醇</w:t>
                  </w:r>
                </w:p>
              </w:tc>
              <w:tc>
                <w:tcPr>
                  <w:tcW w:w="1012" w:type="pct"/>
                  <w:gridSpan w:val="2"/>
                  <w:shd w:val="clear" w:color="auto" w:fill="FFFFFF"/>
                  <w:vAlign w:val="center"/>
                </w:tcPr>
                <w:p w14:paraId="4A7C22AC">
                  <w:pPr>
                    <w:widowControl/>
                    <w:jc w:val="center"/>
                    <w:textAlignment w:val="center"/>
                    <w:rPr>
                      <w:bCs/>
                      <w:color w:val="auto"/>
                      <w:sz w:val="18"/>
                      <w:szCs w:val="18"/>
                    </w:rPr>
                  </w:pPr>
                  <w:r>
                    <w:rPr>
                      <w:bCs/>
                      <w:color w:val="auto"/>
                      <w:kern w:val="0"/>
                      <w:sz w:val="18"/>
                      <w:szCs w:val="18"/>
                      <w:lang w:bidi="ar"/>
                    </w:rPr>
                    <w:t>0.0012</w:t>
                  </w:r>
                </w:p>
              </w:tc>
              <w:tc>
                <w:tcPr>
                  <w:tcW w:w="1012" w:type="pct"/>
                  <w:gridSpan w:val="2"/>
                  <w:shd w:val="clear" w:color="auto" w:fill="FFFFFF"/>
                  <w:vAlign w:val="center"/>
                </w:tcPr>
                <w:p w14:paraId="174AFE86">
                  <w:pPr>
                    <w:widowControl/>
                    <w:jc w:val="center"/>
                    <w:textAlignment w:val="center"/>
                    <w:rPr>
                      <w:bCs/>
                      <w:color w:val="auto"/>
                      <w:sz w:val="18"/>
                      <w:szCs w:val="18"/>
                    </w:rPr>
                  </w:pPr>
                  <w:r>
                    <w:rPr>
                      <w:bCs/>
                      <w:color w:val="auto"/>
                      <w:kern w:val="0"/>
                      <w:sz w:val="18"/>
                      <w:szCs w:val="18"/>
                      <w:lang w:bidi="ar"/>
                    </w:rPr>
                    <w:t>0.0002</w:t>
                  </w:r>
                </w:p>
              </w:tc>
              <w:tc>
                <w:tcPr>
                  <w:tcW w:w="821" w:type="pct"/>
                  <w:gridSpan w:val="2"/>
                  <w:shd w:val="clear" w:color="auto" w:fill="FFFFFF"/>
                  <w:vAlign w:val="center"/>
                </w:tcPr>
                <w:p w14:paraId="33130C95">
                  <w:pPr>
                    <w:widowControl/>
                    <w:jc w:val="center"/>
                    <w:textAlignment w:val="center"/>
                    <w:rPr>
                      <w:bCs/>
                      <w:color w:val="auto"/>
                      <w:sz w:val="18"/>
                      <w:szCs w:val="18"/>
                    </w:rPr>
                  </w:pPr>
                  <w:r>
                    <w:rPr>
                      <w:bCs/>
                      <w:color w:val="auto"/>
                      <w:kern w:val="0"/>
                      <w:sz w:val="18"/>
                      <w:szCs w:val="18"/>
                      <w:lang w:bidi="ar"/>
                    </w:rPr>
                    <w:t>0</w:t>
                  </w:r>
                </w:p>
              </w:tc>
              <w:tc>
                <w:tcPr>
                  <w:tcW w:w="799" w:type="pct"/>
                  <w:gridSpan w:val="2"/>
                  <w:shd w:val="clear" w:color="auto" w:fill="FFFFFF"/>
                  <w:vAlign w:val="center"/>
                </w:tcPr>
                <w:p w14:paraId="7CD688EA">
                  <w:pPr>
                    <w:widowControl/>
                    <w:jc w:val="center"/>
                    <w:textAlignment w:val="center"/>
                    <w:rPr>
                      <w:bCs/>
                      <w:color w:val="auto"/>
                      <w:sz w:val="18"/>
                      <w:szCs w:val="18"/>
                    </w:rPr>
                  </w:pPr>
                  <w:r>
                    <w:rPr>
                      <w:bCs/>
                      <w:color w:val="auto"/>
                      <w:kern w:val="0"/>
                      <w:sz w:val="18"/>
                      <w:szCs w:val="18"/>
                      <w:lang w:bidi="ar"/>
                    </w:rPr>
                    <w:t>0.001</w:t>
                  </w:r>
                </w:p>
              </w:tc>
              <w:tc>
                <w:tcPr>
                  <w:tcW w:w="505" w:type="pct"/>
                  <w:shd w:val="clear" w:color="auto" w:fill="FFFFFF"/>
                  <w:noWrap/>
                  <w:vAlign w:val="center"/>
                </w:tcPr>
                <w:p w14:paraId="4D4F8293">
                  <w:pPr>
                    <w:widowControl/>
                    <w:jc w:val="center"/>
                    <w:textAlignment w:val="center"/>
                    <w:rPr>
                      <w:color w:val="auto"/>
                      <w:sz w:val="18"/>
                      <w:szCs w:val="18"/>
                    </w:rPr>
                  </w:pPr>
                  <w:r>
                    <w:rPr>
                      <w:color w:val="auto"/>
                      <w:kern w:val="0"/>
                      <w:sz w:val="18"/>
                      <w:szCs w:val="18"/>
                      <w:lang w:bidi="ar"/>
                    </w:rPr>
                    <w:t>/</w:t>
                  </w:r>
                </w:p>
              </w:tc>
            </w:tr>
            <w:tr w14:paraId="4D9F034D">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19" w:type="pct"/>
                  <w:vMerge w:val="continue"/>
                  <w:shd w:val="clear" w:color="auto" w:fill="FFFFFF"/>
                  <w:vAlign w:val="center"/>
                </w:tcPr>
                <w:p w14:paraId="0B634A9C">
                  <w:pPr>
                    <w:jc w:val="center"/>
                    <w:rPr>
                      <w:color w:val="auto"/>
                      <w:sz w:val="18"/>
                      <w:szCs w:val="18"/>
                    </w:rPr>
                  </w:pPr>
                </w:p>
              </w:tc>
              <w:tc>
                <w:tcPr>
                  <w:tcW w:w="219" w:type="pct"/>
                  <w:vMerge w:val="continue"/>
                  <w:shd w:val="clear" w:color="auto" w:fill="FFFFFF"/>
                  <w:vAlign w:val="center"/>
                </w:tcPr>
                <w:p w14:paraId="7B31F326">
                  <w:pPr>
                    <w:jc w:val="center"/>
                    <w:rPr>
                      <w:color w:val="auto"/>
                      <w:sz w:val="18"/>
                      <w:szCs w:val="18"/>
                    </w:rPr>
                  </w:pPr>
                </w:p>
              </w:tc>
              <w:tc>
                <w:tcPr>
                  <w:tcW w:w="410" w:type="pct"/>
                  <w:shd w:val="clear" w:color="auto" w:fill="FFFFFF"/>
                  <w:vAlign w:val="center"/>
                </w:tcPr>
                <w:p w14:paraId="4649E6A6">
                  <w:pPr>
                    <w:widowControl/>
                    <w:jc w:val="center"/>
                    <w:textAlignment w:val="center"/>
                    <w:rPr>
                      <w:color w:val="auto"/>
                      <w:sz w:val="18"/>
                      <w:szCs w:val="18"/>
                    </w:rPr>
                  </w:pPr>
                  <w:r>
                    <w:rPr>
                      <w:color w:val="auto"/>
                      <w:kern w:val="0"/>
                      <w:sz w:val="18"/>
                      <w:szCs w:val="18"/>
                      <w:lang w:bidi="ar"/>
                    </w:rPr>
                    <w:t>甲醛</w:t>
                  </w:r>
                </w:p>
              </w:tc>
              <w:tc>
                <w:tcPr>
                  <w:tcW w:w="1012" w:type="pct"/>
                  <w:gridSpan w:val="2"/>
                  <w:shd w:val="clear" w:color="auto" w:fill="FFFFFF"/>
                  <w:vAlign w:val="center"/>
                </w:tcPr>
                <w:p w14:paraId="1C22533C">
                  <w:pPr>
                    <w:widowControl/>
                    <w:jc w:val="center"/>
                    <w:textAlignment w:val="center"/>
                    <w:rPr>
                      <w:bCs/>
                      <w:color w:val="auto"/>
                      <w:sz w:val="18"/>
                      <w:szCs w:val="18"/>
                    </w:rPr>
                  </w:pPr>
                  <w:r>
                    <w:rPr>
                      <w:bCs/>
                      <w:color w:val="auto"/>
                      <w:kern w:val="0"/>
                      <w:sz w:val="18"/>
                      <w:szCs w:val="18"/>
                      <w:lang w:bidi="ar"/>
                    </w:rPr>
                    <w:t>0.0005</w:t>
                  </w:r>
                </w:p>
              </w:tc>
              <w:tc>
                <w:tcPr>
                  <w:tcW w:w="1012" w:type="pct"/>
                  <w:gridSpan w:val="2"/>
                  <w:shd w:val="clear" w:color="auto" w:fill="FFFFFF"/>
                  <w:vAlign w:val="center"/>
                </w:tcPr>
                <w:p w14:paraId="6BDFF1F8">
                  <w:pPr>
                    <w:widowControl/>
                    <w:jc w:val="center"/>
                    <w:textAlignment w:val="center"/>
                    <w:rPr>
                      <w:bCs/>
                      <w:color w:val="auto"/>
                      <w:sz w:val="18"/>
                      <w:szCs w:val="18"/>
                    </w:rPr>
                  </w:pPr>
                  <w:r>
                    <w:rPr>
                      <w:bCs/>
                      <w:color w:val="auto"/>
                      <w:kern w:val="0"/>
                      <w:sz w:val="18"/>
                      <w:szCs w:val="18"/>
                      <w:lang w:bidi="ar"/>
                    </w:rPr>
                    <w:t>0.0001</w:t>
                  </w:r>
                </w:p>
              </w:tc>
              <w:tc>
                <w:tcPr>
                  <w:tcW w:w="821" w:type="pct"/>
                  <w:gridSpan w:val="2"/>
                  <w:shd w:val="clear" w:color="auto" w:fill="FFFFFF"/>
                  <w:vAlign w:val="center"/>
                </w:tcPr>
                <w:p w14:paraId="0952BABF">
                  <w:pPr>
                    <w:widowControl/>
                    <w:jc w:val="center"/>
                    <w:textAlignment w:val="center"/>
                    <w:rPr>
                      <w:bCs/>
                      <w:color w:val="auto"/>
                      <w:sz w:val="18"/>
                      <w:szCs w:val="18"/>
                    </w:rPr>
                  </w:pPr>
                  <w:r>
                    <w:rPr>
                      <w:bCs/>
                      <w:color w:val="auto"/>
                      <w:kern w:val="0"/>
                      <w:sz w:val="18"/>
                      <w:szCs w:val="18"/>
                      <w:lang w:bidi="ar"/>
                    </w:rPr>
                    <w:t>0</w:t>
                  </w:r>
                </w:p>
              </w:tc>
              <w:tc>
                <w:tcPr>
                  <w:tcW w:w="799" w:type="pct"/>
                  <w:gridSpan w:val="2"/>
                  <w:shd w:val="clear" w:color="auto" w:fill="FFFFFF"/>
                  <w:vAlign w:val="center"/>
                </w:tcPr>
                <w:p w14:paraId="45D2EA68">
                  <w:pPr>
                    <w:widowControl/>
                    <w:jc w:val="center"/>
                    <w:textAlignment w:val="center"/>
                    <w:rPr>
                      <w:bCs/>
                      <w:color w:val="auto"/>
                      <w:sz w:val="18"/>
                      <w:szCs w:val="18"/>
                    </w:rPr>
                  </w:pPr>
                  <w:r>
                    <w:rPr>
                      <w:bCs/>
                      <w:color w:val="auto"/>
                      <w:kern w:val="0"/>
                      <w:sz w:val="18"/>
                      <w:szCs w:val="18"/>
                      <w:lang w:bidi="ar"/>
                    </w:rPr>
                    <w:t>0.0004</w:t>
                  </w:r>
                </w:p>
              </w:tc>
              <w:tc>
                <w:tcPr>
                  <w:tcW w:w="505" w:type="pct"/>
                  <w:shd w:val="clear" w:color="auto" w:fill="FFFFFF"/>
                  <w:noWrap/>
                  <w:vAlign w:val="center"/>
                </w:tcPr>
                <w:p w14:paraId="47777A63">
                  <w:pPr>
                    <w:widowControl/>
                    <w:jc w:val="center"/>
                    <w:textAlignment w:val="center"/>
                    <w:rPr>
                      <w:color w:val="auto"/>
                      <w:sz w:val="18"/>
                      <w:szCs w:val="18"/>
                    </w:rPr>
                  </w:pPr>
                  <w:r>
                    <w:rPr>
                      <w:color w:val="auto"/>
                      <w:kern w:val="0"/>
                      <w:sz w:val="18"/>
                      <w:szCs w:val="18"/>
                      <w:lang w:bidi="ar"/>
                    </w:rPr>
                    <w:t>/</w:t>
                  </w:r>
                </w:p>
              </w:tc>
            </w:tr>
            <w:tr w14:paraId="2147A76B">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19" w:type="pct"/>
                  <w:vMerge w:val="continue"/>
                  <w:shd w:val="clear" w:color="auto" w:fill="FFFFFF"/>
                  <w:vAlign w:val="center"/>
                </w:tcPr>
                <w:p w14:paraId="684E8AEB">
                  <w:pPr>
                    <w:jc w:val="center"/>
                    <w:rPr>
                      <w:color w:val="auto"/>
                      <w:sz w:val="18"/>
                      <w:szCs w:val="18"/>
                    </w:rPr>
                  </w:pPr>
                </w:p>
              </w:tc>
              <w:tc>
                <w:tcPr>
                  <w:tcW w:w="219" w:type="pct"/>
                  <w:vMerge w:val="continue"/>
                  <w:shd w:val="clear" w:color="auto" w:fill="FFFFFF"/>
                  <w:vAlign w:val="center"/>
                </w:tcPr>
                <w:p w14:paraId="2834536E">
                  <w:pPr>
                    <w:jc w:val="center"/>
                    <w:rPr>
                      <w:color w:val="auto"/>
                      <w:sz w:val="18"/>
                      <w:szCs w:val="18"/>
                    </w:rPr>
                  </w:pPr>
                </w:p>
              </w:tc>
              <w:tc>
                <w:tcPr>
                  <w:tcW w:w="410" w:type="pct"/>
                  <w:shd w:val="clear" w:color="auto" w:fill="FFFFFF"/>
                  <w:vAlign w:val="center"/>
                </w:tcPr>
                <w:p w14:paraId="7A7178AD">
                  <w:pPr>
                    <w:widowControl/>
                    <w:jc w:val="center"/>
                    <w:textAlignment w:val="center"/>
                    <w:rPr>
                      <w:color w:val="auto"/>
                      <w:sz w:val="18"/>
                      <w:szCs w:val="18"/>
                    </w:rPr>
                  </w:pPr>
                  <w:r>
                    <w:rPr>
                      <w:color w:val="auto"/>
                      <w:kern w:val="0"/>
                      <w:sz w:val="18"/>
                      <w:szCs w:val="18"/>
                      <w:lang w:bidi="ar"/>
                    </w:rPr>
                    <w:t>NOx</w:t>
                  </w:r>
                </w:p>
              </w:tc>
              <w:tc>
                <w:tcPr>
                  <w:tcW w:w="1012" w:type="pct"/>
                  <w:gridSpan w:val="2"/>
                  <w:shd w:val="clear" w:color="auto" w:fill="FFFFFF"/>
                  <w:vAlign w:val="center"/>
                </w:tcPr>
                <w:p w14:paraId="6E2F7D41">
                  <w:pPr>
                    <w:widowControl/>
                    <w:jc w:val="center"/>
                    <w:textAlignment w:val="center"/>
                    <w:rPr>
                      <w:bCs/>
                      <w:color w:val="auto"/>
                      <w:sz w:val="18"/>
                      <w:szCs w:val="18"/>
                    </w:rPr>
                  </w:pPr>
                  <w:r>
                    <w:rPr>
                      <w:bCs/>
                      <w:color w:val="auto"/>
                      <w:kern w:val="0"/>
                      <w:sz w:val="18"/>
                      <w:szCs w:val="18"/>
                      <w:lang w:bidi="ar"/>
                    </w:rPr>
                    <w:t>0.0002</w:t>
                  </w:r>
                </w:p>
              </w:tc>
              <w:tc>
                <w:tcPr>
                  <w:tcW w:w="1012" w:type="pct"/>
                  <w:gridSpan w:val="2"/>
                  <w:shd w:val="clear" w:color="auto" w:fill="FFFFFF"/>
                  <w:vAlign w:val="center"/>
                </w:tcPr>
                <w:p w14:paraId="2EE522EC">
                  <w:pPr>
                    <w:widowControl/>
                    <w:jc w:val="center"/>
                    <w:textAlignment w:val="center"/>
                    <w:rPr>
                      <w:bCs/>
                      <w:color w:val="auto"/>
                      <w:sz w:val="18"/>
                      <w:szCs w:val="18"/>
                    </w:rPr>
                  </w:pPr>
                  <w:r>
                    <w:rPr>
                      <w:bCs/>
                      <w:color w:val="auto"/>
                      <w:kern w:val="0"/>
                      <w:sz w:val="18"/>
                      <w:szCs w:val="18"/>
                      <w:lang w:bidi="ar"/>
                    </w:rPr>
                    <w:t>0.00003</w:t>
                  </w:r>
                </w:p>
              </w:tc>
              <w:tc>
                <w:tcPr>
                  <w:tcW w:w="821" w:type="pct"/>
                  <w:gridSpan w:val="2"/>
                  <w:shd w:val="clear" w:color="auto" w:fill="FFFFFF"/>
                  <w:vAlign w:val="center"/>
                </w:tcPr>
                <w:p w14:paraId="27797866">
                  <w:pPr>
                    <w:widowControl/>
                    <w:jc w:val="center"/>
                    <w:textAlignment w:val="center"/>
                    <w:rPr>
                      <w:bCs/>
                      <w:color w:val="auto"/>
                      <w:sz w:val="18"/>
                      <w:szCs w:val="18"/>
                    </w:rPr>
                  </w:pPr>
                  <w:r>
                    <w:rPr>
                      <w:bCs/>
                      <w:color w:val="auto"/>
                      <w:kern w:val="0"/>
                      <w:sz w:val="18"/>
                      <w:szCs w:val="18"/>
                      <w:lang w:bidi="ar"/>
                    </w:rPr>
                    <w:t>0</w:t>
                  </w:r>
                </w:p>
              </w:tc>
              <w:tc>
                <w:tcPr>
                  <w:tcW w:w="799" w:type="pct"/>
                  <w:gridSpan w:val="2"/>
                  <w:shd w:val="clear" w:color="auto" w:fill="FFFFFF"/>
                  <w:vAlign w:val="center"/>
                </w:tcPr>
                <w:p w14:paraId="7A0CB186">
                  <w:pPr>
                    <w:widowControl/>
                    <w:jc w:val="center"/>
                    <w:textAlignment w:val="center"/>
                    <w:rPr>
                      <w:bCs/>
                      <w:color w:val="auto"/>
                      <w:sz w:val="18"/>
                      <w:szCs w:val="18"/>
                    </w:rPr>
                  </w:pPr>
                  <w:r>
                    <w:rPr>
                      <w:bCs/>
                      <w:color w:val="auto"/>
                      <w:kern w:val="0"/>
                      <w:sz w:val="18"/>
                      <w:szCs w:val="18"/>
                      <w:lang w:bidi="ar"/>
                    </w:rPr>
                    <w:t>0.00017</w:t>
                  </w:r>
                </w:p>
              </w:tc>
              <w:tc>
                <w:tcPr>
                  <w:tcW w:w="505" w:type="pct"/>
                  <w:shd w:val="clear" w:color="auto" w:fill="FFFFFF"/>
                  <w:noWrap/>
                  <w:vAlign w:val="center"/>
                </w:tcPr>
                <w:p w14:paraId="54036507">
                  <w:pPr>
                    <w:widowControl/>
                    <w:jc w:val="center"/>
                    <w:textAlignment w:val="center"/>
                    <w:rPr>
                      <w:color w:val="auto"/>
                      <w:sz w:val="18"/>
                      <w:szCs w:val="18"/>
                    </w:rPr>
                  </w:pPr>
                  <w:r>
                    <w:rPr>
                      <w:color w:val="auto"/>
                      <w:kern w:val="0"/>
                      <w:sz w:val="18"/>
                      <w:szCs w:val="18"/>
                      <w:lang w:bidi="ar"/>
                    </w:rPr>
                    <w:t>/</w:t>
                  </w:r>
                </w:p>
              </w:tc>
            </w:tr>
            <w:tr w14:paraId="46685D44">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219" w:type="pct"/>
                  <w:vMerge w:val="continue"/>
                  <w:shd w:val="clear" w:color="auto" w:fill="FFFFFF"/>
                  <w:vAlign w:val="center"/>
                </w:tcPr>
                <w:p w14:paraId="54EE8099">
                  <w:pPr>
                    <w:jc w:val="center"/>
                    <w:rPr>
                      <w:color w:val="auto"/>
                      <w:sz w:val="18"/>
                      <w:szCs w:val="18"/>
                    </w:rPr>
                  </w:pPr>
                </w:p>
              </w:tc>
              <w:tc>
                <w:tcPr>
                  <w:tcW w:w="219" w:type="pct"/>
                  <w:vMerge w:val="continue"/>
                  <w:shd w:val="clear" w:color="auto" w:fill="FFFFFF"/>
                  <w:vAlign w:val="center"/>
                </w:tcPr>
                <w:p w14:paraId="5CC8476B">
                  <w:pPr>
                    <w:jc w:val="center"/>
                    <w:rPr>
                      <w:color w:val="auto"/>
                      <w:sz w:val="18"/>
                      <w:szCs w:val="18"/>
                    </w:rPr>
                  </w:pPr>
                </w:p>
              </w:tc>
              <w:tc>
                <w:tcPr>
                  <w:tcW w:w="410" w:type="pct"/>
                  <w:shd w:val="clear" w:color="auto" w:fill="FFFFFF"/>
                  <w:vAlign w:val="center"/>
                </w:tcPr>
                <w:p w14:paraId="0A68CBE9">
                  <w:pPr>
                    <w:widowControl/>
                    <w:jc w:val="center"/>
                    <w:textAlignment w:val="center"/>
                    <w:rPr>
                      <w:color w:val="auto"/>
                      <w:sz w:val="18"/>
                      <w:szCs w:val="18"/>
                    </w:rPr>
                  </w:pPr>
                  <w:r>
                    <w:rPr>
                      <w:color w:val="auto"/>
                      <w:kern w:val="0"/>
                      <w:sz w:val="18"/>
                      <w:szCs w:val="18"/>
                      <w:lang w:bidi="ar"/>
                    </w:rPr>
                    <w:t>非甲烷总烃</w:t>
                  </w:r>
                </w:p>
              </w:tc>
              <w:tc>
                <w:tcPr>
                  <w:tcW w:w="1012" w:type="pct"/>
                  <w:gridSpan w:val="2"/>
                  <w:shd w:val="clear" w:color="auto" w:fill="FFFFFF"/>
                  <w:vAlign w:val="center"/>
                </w:tcPr>
                <w:p w14:paraId="71635CAB">
                  <w:pPr>
                    <w:widowControl/>
                    <w:jc w:val="center"/>
                    <w:textAlignment w:val="center"/>
                    <w:rPr>
                      <w:bCs/>
                      <w:color w:val="auto"/>
                      <w:sz w:val="18"/>
                      <w:szCs w:val="18"/>
                    </w:rPr>
                  </w:pPr>
                  <w:r>
                    <w:rPr>
                      <w:bCs/>
                      <w:color w:val="auto"/>
                      <w:kern w:val="0"/>
                      <w:sz w:val="18"/>
                      <w:szCs w:val="18"/>
                      <w:lang w:bidi="ar"/>
                    </w:rPr>
                    <w:t>0.0203</w:t>
                  </w:r>
                </w:p>
              </w:tc>
              <w:tc>
                <w:tcPr>
                  <w:tcW w:w="1012" w:type="pct"/>
                  <w:gridSpan w:val="2"/>
                  <w:shd w:val="clear" w:color="auto" w:fill="FFFFFF"/>
                  <w:vAlign w:val="center"/>
                </w:tcPr>
                <w:p w14:paraId="0BE700B7">
                  <w:pPr>
                    <w:widowControl/>
                    <w:jc w:val="center"/>
                    <w:textAlignment w:val="center"/>
                    <w:rPr>
                      <w:bCs/>
                      <w:color w:val="auto"/>
                      <w:sz w:val="18"/>
                      <w:szCs w:val="18"/>
                    </w:rPr>
                  </w:pPr>
                  <w:r>
                    <w:rPr>
                      <w:bCs/>
                      <w:color w:val="auto"/>
                      <w:kern w:val="0"/>
                      <w:sz w:val="18"/>
                      <w:szCs w:val="18"/>
                      <w:lang w:bidi="ar"/>
                    </w:rPr>
                    <w:t>0.0041</w:t>
                  </w:r>
                </w:p>
              </w:tc>
              <w:tc>
                <w:tcPr>
                  <w:tcW w:w="821" w:type="pct"/>
                  <w:gridSpan w:val="2"/>
                  <w:shd w:val="clear" w:color="auto" w:fill="FFFFFF"/>
                  <w:vAlign w:val="center"/>
                </w:tcPr>
                <w:p w14:paraId="381311DF">
                  <w:pPr>
                    <w:widowControl/>
                    <w:jc w:val="center"/>
                    <w:textAlignment w:val="center"/>
                    <w:rPr>
                      <w:bCs/>
                      <w:color w:val="auto"/>
                      <w:sz w:val="18"/>
                      <w:szCs w:val="18"/>
                    </w:rPr>
                  </w:pPr>
                  <w:r>
                    <w:rPr>
                      <w:bCs/>
                      <w:color w:val="auto"/>
                      <w:kern w:val="0"/>
                      <w:sz w:val="18"/>
                      <w:szCs w:val="18"/>
                      <w:lang w:bidi="ar"/>
                    </w:rPr>
                    <w:t>0</w:t>
                  </w:r>
                </w:p>
              </w:tc>
              <w:tc>
                <w:tcPr>
                  <w:tcW w:w="799" w:type="pct"/>
                  <w:gridSpan w:val="2"/>
                  <w:shd w:val="clear" w:color="auto" w:fill="FFFFFF"/>
                  <w:vAlign w:val="center"/>
                </w:tcPr>
                <w:p w14:paraId="4EA163FD">
                  <w:pPr>
                    <w:widowControl/>
                    <w:jc w:val="center"/>
                    <w:textAlignment w:val="center"/>
                    <w:rPr>
                      <w:bCs/>
                      <w:color w:val="auto"/>
                      <w:sz w:val="18"/>
                      <w:szCs w:val="18"/>
                    </w:rPr>
                  </w:pPr>
                  <w:r>
                    <w:rPr>
                      <w:bCs/>
                      <w:color w:val="auto"/>
                      <w:kern w:val="0"/>
                      <w:sz w:val="18"/>
                      <w:szCs w:val="18"/>
                      <w:lang w:bidi="ar"/>
                    </w:rPr>
                    <w:t>0.0162</w:t>
                  </w:r>
                </w:p>
              </w:tc>
              <w:tc>
                <w:tcPr>
                  <w:tcW w:w="505" w:type="pct"/>
                  <w:shd w:val="clear" w:color="auto" w:fill="FFFFFF"/>
                  <w:noWrap/>
                  <w:vAlign w:val="center"/>
                </w:tcPr>
                <w:p w14:paraId="2085C1CB">
                  <w:pPr>
                    <w:widowControl/>
                    <w:jc w:val="center"/>
                    <w:textAlignment w:val="center"/>
                    <w:rPr>
                      <w:color w:val="auto"/>
                      <w:sz w:val="18"/>
                      <w:szCs w:val="18"/>
                    </w:rPr>
                  </w:pPr>
                  <w:r>
                    <w:rPr>
                      <w:color w:val="auto"/>
                      <w:kern w:val="0"/>
                      <w:sz w:val="18"/>
                      <w:szCs w:val="18"/>
                      <w:lang w:bidi="ar"/>
                    </w:rPr>
                    <w:t>/</w:t>
                  </w:r>
                </w:p>
              </w:tc>
            </w:tr>
            <w:tr w14:paraId="2DEDE21C">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19" w:type="pct"/>
                  <w:vMerge w:val="continue"/>
                  <w:shd w:val="clear" w:color="auto" w:fill="FFFFFF"/>
                  <w:vAlign w:val="center"/>
                </w:tcPr>
                <w:p w14:paraId="2CCECF59">
                  <w:pPr>
                    <w:jc w:val="center"/>
                    <w:rPr>
                      <w:color w:val="auto"/>
                      <w:sz w:val="18"/>
                      <w:szCs w:val="18"/>
                    </w:rPr>
                  </w:pPr>
                </w:p>
              </w:tc>
              <w:tc>
                <w:tcPr>
                  <w:tcW w:w="219" w:type="pct"/>
                  <w:vMerge w:val="continue"/>
                  <w:shd w:val="clear" w:color="auto" w:fill="FFFFFF"/>
                  <w:vAlign w:val="center"/>
                </w:tcPr>
                <w:p w14:paraId="14F5546A">
                  <w:pPr>
                    <w:jc w:val="center"/>
                    <w:rPr>
                      <w:color w:val="auto"/>
                      <w:sz w:val="18"/>
                      <w:szCs w:val="18"/>
                    </w:rPr>
                  </w:pPr>
                </w:p>
              </w:tc>
              <w:tc>
                <w:tcPr>
                  <w:tcW w:w="410" w:type="pct"/>
                  <w:shd w:val="clear" w:color="auto" w:fill="FFFFFF"/>
                  <w:vAlign w:val="center"/>
                </w:tcPr>
                <w:p w14:paraId="22B41A23">
                  <w:pPr>
                    <w:widowControl/>
                    <w:jc w:val="center"/>
                    <w:textAlignment w:val="center"/>
                    <w:rPr>
                      <w:color w:val="auto"/>
                      <w:sz w:val="18"/>
                      <w:szCs w:val="18"/>
                    </w:rPr>
                  </w:pPr>
                  <w:r>
                    <w:rPr>
                      <w:color w:val="auto"/>
                      <w:kern w:val="0"/>
                      <w:sz w:val="18"/>
                      <w:szCs w:val="18"/>
                      <w:lang w:bidi="ar"/>
                    </w:rPr>
                    <w:t>油烟</w:t>
                  </w:r>
                </w:p>
              </w:tc>
              <w:tc>
                <w:tcPr>
                  <w:tcW w:w="1012" w:type="pct"/>
                  <w:gridSpan w:val="2"/>
                  <w:shd w:val="clear" w:color="auto" w:fill="FFFFFF"/>
                  <w:vAlign w:val="center"/>
                </w:tcPr>
                <w:p w14:paraId="725B69F5">
                  <w:pPr>
                    <w:widowControl/>
                    <w:jc w:val="center"/>
                    <w:textAlignment w:val="center"/>
                    <w:rPr>
                      <w:bCs/>
                      <w:color w:val="auto"/>
                      <w:sz w:val="18"/>
                      <w:szCs w:val="18"/>
                    </w:rPr>
                  </w:pPr>
                  <w:r>
                    <w:rPr>
                      <w:bCs/>
                      <w:color w:val="auto"/>
                      <w:kern w:val="0"/>
                      <w:sz w:val="18"/>
                      <w:szCs w:val="18"/>
                      <w:lang w:bidi="ar"/>
                    </w:rPr>
                    <w:t>0.0055</w:t>
                  </w:r>
                </w:p>
              </w:tc>
              <w:tc>
                <w:tcPr>
                  <w:tcW w:w="1012" w:type="pct"/>
                  <w:gridSpan w:val="2"/>
                  <w:shd w:val="clear" w:color="auto" w:fill="FFFFFF"/>
                  <w:vAlign w:val="center"/>
                </w:tcPr>
                <w:p w14:paraId="37FCD384">
                  <w:pPr>
                    <w:widowControl/>
                    <w:jc w:val="center"/>
                    <w:textAlignment w:val="center"/>
                    <w:rPr>
                      <w:bCs/>
                      <w:color w:val="auto"/>
                      <w:sz w:val="18"/>
                      <w:szCs w:val="18"/>
                    </w:rPr>
                  </w:pPr>
                  <w:r>
                    <w:rPr>
                      <w:bCs/>
                      <w:color w:val="auto"/>
                      <w:kern w:val="0"/>
                      <w:sz w:val="18"/>
                      <w:szCs w:val="18"/>
                      <w:lang w:bidi="ar"/>
                    </w:rPr>
                    <w:t>0</w:t>
                  </w:r>
                </w:p>
              </w:tc>
              <w:tc>
                <w:tcPr>
                  <w:tcW w:w="821" w:type="pct"/>
                  <w:gridSpan w:val="2"/>
                  <w:shd w:val="clear" w:color="auto" w:fill="FFFFFF"/>
                  <w:vAlign w:val="center"/>
                </w:tcPr>
                <w:p w14:paraId="794B3E00">
                  <w:pPr>
                    <w:widowControl/>
                    <w:jc w:val="center"/>
                    <w:textAlignment w:val="center"/>
                    <w:rPr>
                      <w:bCs/>
                      <w:color w:val="auto"/>
                      <w:sz w:val="18"/>
                      <w:szCs w:val="18"/>
                    </w:rPr>
                  </w:pPr>
                  <w:r>
                    <w:rPr>
                      <w:bCs/>
                      <w:color w:val="auto"/>
                      <w:kern w:val="0"/>
                      <w:sz w:val="18"/>
                      <w:szCs w:val="18"/>
                      <w:lang w:bidi="ar"/>
                    </w:rPr>
                    <w:t>0</w:t>
                  </w:r>
                </w:p>
              </w:tc>
              <w:tc>
                <w:tcPr>
                  <w:tcW w:w="799" w:type="pct"/>
                  <w:gridSpan w:val="2"/>
                  <w:shd w:val="clear" w:color="auto" w:fill="FFFFFF"/>
                  <w:vAlign w:val="center"/>
                </w:tcPr>
                <w:p w14:paraId="5696780A">
                  <w:pPr>
                    <w:widowControl/>
                    <w:jc w:val="center"/>
                    <w:textAlignment w:val="center"/>
                    <w:rPr>
                      <w:bCs/>
                      <w:color w:val="auto"/>
                      <w:sz w:val="18"/>
                      <w:szCs w:val="18"/>
                    </w:rPr>
                  </w:pPr>
                  <w:r>
                    <w:rPr>
                      <w:bCs/>
                      <w:color w:val="auto"/>
                      <w:kern w:val="0"/>
                      <w:sz w:val="18"/>
                      <w:szCs w:val="18"/>
                      <w:lang w:bidi="ar"/>
                    </w:rPr>
                    <w:t>0.0055</w:t>
                  </w:r>
                </w:p>
              </w:tc>
              <w:tc>
                <w:tcPr>
                  <w:tcW w:w="505" w:type="pct"/>
                  <w:shd w:val="clear" w:color="auto" w:fill="FFFFFF"/>
                  <w:noWrap/>
                  <w:vAlign w:val="center"/>
                </w:tcPr>
                <w:p w14:paraId="65880327">
                  <w:pPr>
                    <w:widowControl/>
                    <w:jc w:val="center"/>
                    <w:textAlignment w:val="center"/>
                    <w:rPr>
                      <w:color w:val="auto"/>
                      <w:sz w:val="18"/>
                      <w:szCs w:val="18"/>
                    </w:rPr>
                  </w:pPr>
                  <w:r>
                    <w:rPr>
                      <w:color w:val="auto"/>
                      <w:kern w:val="0"/>
                      <w:sz w:val="18"/>
                      <w:szCs w:val="18"/>
                      <w:lang w:bidi="ar"/>
                    </w:rPr>
                    <w:t>/</w:t>
                  </w:r>
                </w:p>
              </w:tc>
            </w:tr>
            <w:tr w14:paraId="656270EC">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39" w:type="pct"/>
                  <w:gridSpan w:val="2"/>
                  <w:vMerge w:val="restart"/>
                  <w:shd w:val="clear" w:color="auto" w:fill="FFFFFF"/>
                  <w:vAlign w:val="center"/>
                </w:tcPr>
                <w:p w14:paraId="1A081814">
                  <w:pPr>
                    <w:widowControl/>
                    <w:jc w:val="center"/>
                    <w:textAlignment w:val="center"/>
                    <w:rPr>
                      <w:color w:val="auto"/>
                      <w:sz w:val="18"/>
                      <w:szCs w:val="18"/>
                    </w:rPr>
                  </w:pPr>
                  <w:r>
                    <w:rPr>
                      <w:color w:val="auto"/>
                      <w:kern w:val="0"/>
                      <w:sz w:val="18"/>
                      <w:szCs w:val="18"/>
                      <w:lang w:bidi="ar"/>
                    </w:rPr>
                    <w:t>生产污水</w:t>
                  </w:r>
                </w:p>
              </w:tc>
              <w:tc>
                <w:tcPr>
                  <w:tcW w:w="410" w:type="pct"/>
                  <w:shd w:val="clear" w:color="auto" w:fill="FFFFFF"/>
                  <w:noWrap/>
                  <w:vAlign w:val="center"/>
                </w:tcPr>
                <w:p w14:paraId="43906AD1">
                  <w:pPr>
                    <w:widowControl/>
                    <w:jc w:val="center"/>
                    <w:textAlignment w:val="center"/>
                    <w:rPr>
                      <w:color w:val="auto"/>
                      <w:sz w:val="18"/>
                      <w:szCs w:val="18"/>
                    </w:rPr>
                  </w:pPr>
                  <w:r>
                    <w:rPr>
                      <w:color w:val="auto"/>
                      <w:kern w:val="0"/>
                      <w:sz w:val="18"/>
                      <w:szCs w:val="18"/>
                      <w:lang w:bidi="ar"/>
                    </w:rPr>
                    <w:t>水量</w:t>
                  </w:r>
                </w:p>
              </w:tc>
              <w:tc>
                <w:tcPr>
                  <w:tcW w:w="529" w:type="pct"/>
                  <w:shd w:val="clear" w:color="auto" w:fill="FFFFFF"/>
                  <w:noWrap/>
                  <w:vAlign w:val="center"/>
                </w:tcPr>
                <w:p w14:paraId="165EAC92">
                  <w:pPr>
                    <w:widowControl/>
                    <w:jc w:val="center"/>
                    <w:textAlignment w:val="center"/>
                    <w:rPr>
                      <w:color w:val="auto"/>
                      <w:sz w:val="18"/>
                      <w:szCs w:val="18"/>
                    </w:rPr>
                  </w:pPr>
                  <w:bookmarkStart w:id="11" w:name="_Hlk235697593"/>
                  <w:r>
                    <w:rPr>
                      <w:color w:val="auto"/>
                      <w:kern w:val="0"/>
                      <w:sz w:val="18"/>
                      <w:szCs w:val="18"/>
                      <w:lang w:bidi="ar"/>
                    </w:rPr>
                    <w:t>67466.4</w:t>
                  </w:r>
                  <w:bookmarkEnd w:id="11"/>
                  <w:r>
                    <w:rPr>
                      <w:color w:val="auto"/>
                      <w:kern w:val="0"/>
                      <w:sz w:val="18"/>
                      <w:szCs w:val="18"/>
                      <w:lang w:bidi="ar"/>
                    </w:rPr>
                    <w:t>00</w:t>
                  </w:r>
                </w:p>
              </w:tc>
              <w:tc>
                <w:tcPr>
                  <w:tcW w:w="482" w:type="pct"/>
                  <w:shd w:val="clear" w:color="auto" w:fill="FFFFFF"/>
                  <w:vAlign w:val="center"/>
                </w:tcPr>
                <w:p w14:paraId="490F0BF2">
                  <w:pPr>
                    <w:widowControl/>
                    <w:jc w:val="center"/>
                    <w:textAlignment w:val="center"/>
                    <w:rPr>
                      <w:color w:val="auto"/>
                      <w:sz w:val="18"/>
                      <w:szCs w:val="18"/>
                    </w:rPr>
                  </w:pPr>
                  <w:r>
                    <w:rPr>
                      <w:color w:val="auto"/>
                      <w:kern w:val="0"/>
                      <w:sz w:val="18"/>
                      <w:szCs w:val="18"/>
                      <w:lang w:bidi="ar"/>
                    </w:rPr>
                    <w:t>20239.9</w:t>
                  </w:r>
                </w:p>
              </w:tc>
              <w:tc>
                <w:tcPr>
                  <w:tcW w:w="529" w:type="pct"/>
                  <w:shd w:val="clear" w:color="auto" w:fill="FFFFFF"/>
                  <w:noWrap/>
                  <w:vAlign w:val="center"/>
                </w:tcPr>
                <w:p w14:paraId="614A1183">
                  <w:pPr>
                    <w:widowControl/>
                    <w:jc w:val="center"/>
                    <w:textAlignment w:val="center"/>
                    <w:rPr>
                      <w:color w:val="auto"/>
                      <w:sz w:val="18"/>
                      <w:szCs w:val="18"/>
                    </w:rPr>
                  </w:pPr>
                  <w:r>
                    <w:rPr>
                      <w:color w:val="auto"/>
                      <w:kern w:val="0"/>
                      <w:sz w:val="18"/>
                      <w:szCs w:val="18"/>
                      <w:lang w:bidi="ar"/>
                    </w:rPr>
                    <w:t>36446.095</w:t>
                  </w:r>
                </w:p>
              </w:tc>
              <w:tc>
                <w:tcPr>
                  <w:tcW w:w="482" w:type="pct"/>
                  <w:shd w:val="clear" w:color="auto" w:fill="FFFFFF"/>
                  <w:vAlign w:val="center"/>
                </w:tcPr>
                <w:p w14:paraId="718EBD2E">
                  <w:pPr>
                    <w:widowControl/>
                    <w:jc w:val="center"/>
                    <w:textAlignment w:val="center"/>
                    <w:rPr>
                      <w:color w:val="auto"/>
                      <w:sz w:val="18"/>
                      <w:szCs w:val="18"/>
                    </w:rPr>
                  </w:pPr>
                  <w:r>
                    <w:rPr>
                      <w:color w:val="auto"/>
                      <w:kern w:val="0"/>
                      <w:sz w:val="18"/>
                      <w:szCs w:val="18"/>
                      <w:lang w:bidi="ar"/>
                    </w:rPr>
                    <w:t>11992.8</w:t>
                  </w:r>
                </w:p>
              </w:tc>
              <w:tc>
                <w:tcPr>
                  <w:tcW w:w="482" w:type="pct"/>
                  <w:shd w:val="clear" w:color="auto" w:fill="FFFFFF"/>
                  <w:noWrap/>
                  <w:vAlign w:val="center"/>
                </w:tcPr>
                <w:p w14:paraId="0BFC91D0">
                  <w:pPr>
                    <w:widowControl/>
                    <w:jc w:val="center"/>
                    <w:textAlignment w:val="center"/>
                    <w:rPr>
                      <w:color w:val="auto"/>
                      <w:sz w:val="18"/>
                      <w:szCs w:val="18"/>
                    </w:rPr>
                  </w:pPr>
                  <w:r>
                    <w:rPr>
                      <w:color w:val="auto"/>
                      <w:kern w:val="0"/>
                      <w:sz w:val="18"/>
                      <w:szCs w:val="18"/>
                      <w:lang w:bidi="ar"/>
                    </w:rPr>
                    <w:t>3718.605</w:t>
                  </w:r>
                </w:p>
              </w:tc>
              <w:tc>
                <w:tcPr>
                  <w:tcW w:w="338" w:type="pct"/>
                  <w:shd w:val="clear" w:color="auto" w:fill="FFFFFF"/>
                  <w:vAlign w:val="center"/>
                </w:tcPr>
                <w:p w14:paraId="73729507">
                  <w:pPr>
                    <w:widowControl/>
                    <w:jc w:val="center"/>
                    <w:textAlignment w:val="center"/>
                    <w:rPr>
                      <w:color w:val="auto"/>
                      <w:sz w:val="18"/>
                      <w:szCs w:val="18"/>
                    </w:rPr>
                  </w:pPr>
                  <w:r>
                    <w:rPr>
                      <w:color w:val="auto"/>
                      <w:kern w:val="0"/>
                      <w:sz w:val="18"/>
                      <w:szCs w:val="18"/>
                      <w:lang w:bidi="ar"/>
                    </w:rPr>
                    <w:t>1482</w:t>
                  </w:r>
                </w:p>
              </w:tc>
              <w:tc>
                <w:tcPr>
                  <w:tcW w:w="434" w:type="pct"/>
                  <w:shd w:val="clear" w:color="auto" w:fill="FFFFFF"/>
                  <w:noWrap/>
                  <w:vAlign w:val="center"/>
                </w:tcPr>
                <w:p w14:paraId="0DCC1DCA">
                  <w:pPr>
                    <w:widowControl/>
                    <w:jc w:val="center"/>
                    <w:textAlignment w:val="center"/>
                    <w:rPr>
                      <w:color w:val="auto"/>
                      <w:sz w:val="18"/>
                      <w:szCs w:val="18"/>
                    </w:rPr>
                  </w:pPr>
                  <w:bookmarkStart w:id="12" w:name="_Hlk235697599"/>
                  <w:r>
                    <w:rPr>
                      <w:color w:val="auto"/>
                      <w:kern w:val="0"/>
                      <w:sz w:val="18"/>
                      <w:szCs w:val="18"/>
                      <w:lang w:bidi="ar"/>
                    </w:rPr>
                    <w:t>27301.7</w:t>
                  </w:r>
                  <w:bookmarkEnd w:id="12"/>
                </w:p>
              </w:tc>
              <w:tc>
                <w:tcPr>
                  <w:tcW w:w="364" w:type="pct"/>
                  <w:shd w:val="clear" w:color="auto" w:fill="FFFFFF"/>
                  <w:noWrap/>
                  <w:vAlign w:val="center"/>
                </w:tcPr>
                <w:p w14:paraId="6A9F85C1">
                  <w:pPr>
                    <w:widowControl/>
                    <w:jc w:val="center"/>
                    <w:textAlignment w:val="center"/>
                    <w:rPr>
                      <w:color w:val="auto"/>
                      <w:sz w:val="18"/>
                      <w:szCs w:val="18"/>
                    </w:rPr>
                  </w:pPr>
                  <w:r>
                    <w:rPr>
                      <w:color w:val="auto"/>
                      <w:kern w:val="0"/>
                      <w:sz w:val="18"/>
                      <w:szCs w:val="18"/>
                      <w:lang w:bidi="ar"/>
                    </w:rPr>
                    <w:t>6765.1</w:t>
                  </w:r>
                </w:p>
              </w:tc>
              <w:tc>
                <w:tcPr>
                  <w:tcW w:w="505" w:type="pct"/>
                  <w:shd w:val="clear" w:color="auto" w:fill="FFFFFF"/>
                  <w:noWrap/>
                  <w:vAlign w:val="center"/>
                </w:tcPr>
                <w:p w14:paraId="04DB1FDF">
                  <w:pPr>
                    <w:widowControl/>
                    <w:jc w:val="center"/>
                    <w:textAlignment w:val="center"/>
                    <w:rPr>
                      <w:color w:val="auto"/>
                      <w:sz w:val="18"/>
                      <w:szCs w:val="18"/>
                    </w:rPr>
                  </w:pPr>
                  <w:r>
                    <w:rPr>
                      <w:color w:val="auto"/>
                      <w:kern w:val="0"/>
                      <w:sz w:val="18"/>
                      <w:szCs w:val="18"/>
                      <w:lang w:bidi="ar"/>
                    </w:rPr>
                    <w:t>/</w:t>
                  </w:r>
                </w:p>
              </w:tc>
            </w:tr>
            <w:tr w14:paraId="5D66EAD0">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39" w:type="pct"/>
                  <w:gridSpan w:val="2"/>
                  <w:vMerge w:val="continue"/>
                  <w:shd w:val="clear" w:color="auto" w:fill="FFFFFF"/>
                  <w:vAlign w:val="center"/>
                </w:tcPr>
                <w:p w14:paraId="0C92EF72">
                  <w:pPr>
                    <w:jc w:val="center"/>
                    <w:rPr>
                      <w:color w:val="auto"/>
                      <w:sz w:val="18"/>
                      <w:szCs w:val="18"/>
                    </w:rPr>
                  </w:pPr>
                </w:p>
              </w:tc>
              <w:tc>
                <w:tcPr>
                  <w:tcW w:w="410" w:type="pct"/>
                  <w:shd w:val="clear" w:color="auto" w:fill="FFFFFF"/>
                  <w:noWrap/>
                  <w:vAlign w:val="center"/>
                </w:tcPr>
                <w:p w14:paraId="7BF8967E">
                  <w:pPr>
                    <w:widowControl/>
                    <w:jc w:val="center"/>
                    <w:textAlignment w:val="center"/>
                    <w:rPr>
                      <w:color w:val="auto"/>
                      <w:sz w:val="18"/>
                      <w:szCs w:val="18"/>
                    </w:rPr>
                  </w:pPr>
                  <w:r>
                    <w:rPr>
                      <w:color w:val="auto"/>
                      <w:kern w:val="0"/>
                      <w:sz w:val="18"/>
                      <w:szCs w:val="18"/>
                      <w:lang w:bidi="ar"/>
                    </w:rPr>
                    <w:t>COD</w:t>
                  </w:r>
                </w:p>
              </w:tc>
              <w:tc>
                <w:tcPr>
                  <w:tcW w:w="529" w:type="pct"/>
                  <w:shd w:val="clear" w:color="auto" w:fill="FFFFFF"/>
                  <w:noWrap/>
                  <w:vAlign w:val="center"/>
                </w:tcPr>
                <w:p w14:paraId="0AB254D1">
                  <w:pPr>
                    <w:widowControl/>
                    <w:jc w:val="center"/>
                    <w:textAlignment w:val="center"/>
                    <w:rPr>
                      <w:color w:val="auto"/>
                      <w:sz w:val="18"/>
                      <w:szCs w:val="18"/>
                    </w:rPr>
                  </w:pPr>
                  <w:r>
                    <w:rPr>
                      <w:color w:val="auto"/>
                      <w:kern w:val="0"/>
                      <w:sz w:val="18"/>
                      <w:szCs w:val="18"/>
                      <w:lang w:bidi="ar"/>
                    </w:rPr>
                    <w:t>11.337</w:t>
                  </w:r>
                </w:p>
              </w:tc>
              <w:tc>
                <w:tcPr>
                  <w:tcW w:w="482" w:type="pct"/>
                  <w:shd w:val="clear" w:color="auto" w:fill="FFFFFF"/>
                  <w:vAlign w:val="center"/>
                </w:tcPr>
                <w:p w14:paraId="766C7EE9">
                  <w:pPr>
                    <w:widowControl/>
                    <w:jc w:val="center"/>
                    <w:textAlignment w:val="center"/>
                    <w:rPr>
                      <w:color w:val="auto"/>
                      <w:sz w:val="18"/>
                      <w:szCs w:val="18"/>
                    </w:rPr>
                  </w:pPr>
                  <w:r>
                    <w:rPr>
                      <w:color w:val="auto"/>
                      <w:kern w:val="0"/>
                      <w:sz w:val="18"/>
                      <w:szCs w:val="18"/>
                      <w:lang w:bidi="ar"/>
                    </w:rPr>
                    <w:t>1.009</w:t>
                  </w:r>
                </w:p>
              </w:tc>
              <w:tc>
                <w:tcPr>
                  <w:tcW w:w="529" w:type="pct"/>
                  <w:shd w:val="clear" w:color="auto" w:fill="FFFFFF"/>
                  <w:noWrap/>
                  <w:vAlign w:val="center"/>
                </w:tcPr>
                <w:p w14:paraId="3B4D9832">
                  <w:pPr>
                    <w:widowControl/>
                    <w:jc w:val="center"/>
                    <w:textAlignment w:val="center"/>
                    <w:rPr>
                      <w:color w:val="auto"/>
                      <w:sz w:val="18"/>
                      <w:szCs w:val="18"/>
                    </w:rPr>
                  </w:pPr>
                  <w:r>
                    <w:rPr>
                      <w:color w:val="auto"/>
                      <w:kern w:val="0"/>
                      <w:sz w:val="18"/>
                      <w:szCs w:val="18"/>
                      <w:lang w:bidi="ar"/>
                    </w:rPr>
                    <w:t>7.238</w:t>
                  </w:r>
                </w:p>
              </w:tc>
              <w:tc>
                <w:tcPr>
                  <w:tcW w:w="482" w:type="pct"/>
                  <w:shd w:val="clear" w:color="auto" w:fill="FFFFFF"/>
                  <w:vAlign w:val="center"/>
                </w:tcPr>
                <w:p w14:paraId="2AD49134">
                  <w:pPr>
                    <w:widowControl/>
                    <w:jc w:val="center"/>
                    <w:textAlignment w:val="center"/>
                    <w:rPr>
                      <w:color w:val="auto"/>
                      <w:sz w:val="18"/>
                      <w:szCs w:val="18"/>
                    </w:rPr>
                  </w:pPr>
                  <w:r>
                    <w:rPr>
                      <w:color w:val="auto"/>
                      <w:kern w:val="0"/>
                      <w:sz w:val="18"/>
                      <w:szCs w:val="18"/>
                      <w:lang w:bidi="ar"/>
                    </w:rPr>
                    <w:t>0.598</w:t>
                  </w:r>
                </w:p>
              </w:tc>
              <w:tc>
                <w:tcPr>
                  <w:tcW w:w="482" w:type="pct"/>
                  <w:shd w:val="clear" w:color="auto" w:fill="FFFFFF"/>
                  <w:noWrap/>
                  <w:vAlign w:val="center"/>
                </w:tcPr>
                <w:p w14:paraId="37D345F7">
                  <w:pPr>
                    <w:widowControl/>
                    <w:jc w:val="center"/>
                    <w:textAlignment w:val="center"/>
                    <w:rPr>
                      <w:color w:val="auto"/>
                      <w:sz w:val="18"/>
                      <w:szCs w:val="18"/>
                    </w:rPr>
                  </w:pPr>
                  <w:r>
                    <w:rPr>
                      <w:color w:val="auto"/>
                      <w:kern w:val="0"/>
                      <w:sz w:val="18"/>
                      <w:szCs w:val="18"/>
                      <w:lang w:bidi="ar"/>
                    </w:rPr>
                    <w:t>0.899</w:t>
                  </w:r>
                </w:p>
              </w:tc>
              <w:tc>
                <w:tcPr>
                  <w:tcW w:w="338" w:type="pct"/>
                  <w:shd w:val="clear" w:color="auto" w:fill="FFFFFF"/>
                  <w:vAlign w:val="center"/>
                </w:tcPr>
                <w:p w14:paraId="3F2FF8E9">
                  <w:pPr>
                    <w:widowControl/>
                    <w:jc w:val="center"/>
                    <w:textAlignment w:val="center"/>
                    <w:rPr>
                      <w:color w:val="auto"/>
                      <w:sz w:val="18"/>
                      <w:szCs w:val="18"/>
                    </w:rPr>
                  </w:pPr>
                  <w:r>
                    <w:rPr>
                      <w:color w:val="auto"/>
                      <w:kern w:val="0"/>
                      <w:sz w:val="18"/>
                      <w:szCs w:val="18"/>
                      <w:lang w:bidi="ar"/>
                    </w:rPr>
                    <w:t>0.0</w:t>
                  </w:r>
                  <w:r>
                    <w:rPr>
                      <w:rFonts w:hint="eastAsia"/>
                      <w:color w:val="auto"/>
                      <w:kern w:val="0"/>
                      <w:sz w:val="18"/>
                      <w:szCs w:val="18"/>
                      <w:lang w:bidi="ar"/>
                    </w:rPr>
                    <w:t>74</w:t>
                  </w:r>
                </w:p>
              </w:tc>
              <w:tc>
                <w:tcPr>
                  <w:tcW w:w="434" w:type="pct"/>
                  <w:shd w:val="clear" w:color="auto" w:fill="FFFFFF"/>
                  <w:noWrap/>
                  <w:vAlign w:val="center"/>
                </w:tcPr>
                <w:p w14:paraId="2E6CD6DE">
                  <w:pPr>
                    <w:widowControl/>
                    <w:jc w:val="center"/>
                    <w:textAlignment w:val="center"/>
                    <w:rPr>
                      <w:color w:val="auto"/>
                      <w:sz w:val="18"/>
                      <w:szCs w:val="18"/>
                    </w:rPr>
                  </w:pPr>
                  <w:r>
                    <w:rPr>
                      <w:color w:val="auto"/>
                      <w:kern w:val="0"/>
                      <w:sz w:val="18"/>
                      <w:szCs w:val="18"/>
                      <w:lang w:bidi="ar"/>
                    </w:rPr>
                    <w:t>3.200</w:t>
                  </w:r>
                </w:p>
              </w:tc>
              <w:tc>
                <w:tcPr>
                  <w:tcW w:w="364" w:type="pct"/>
                  <w:shd w:val="clear" w:color="auto" w:fill="FFFFFF"/>
                  <w:noWrap/>
                  <w:vAlign w:val="center"/>
                </w:tcPr>
                <w:p w14:paraId="207BBC6C">
                  <w:pPr>
                    <w:widowControl/>
                    <w:jc w:val="center"/>
                    <w:textAlignment w:val="center"/>
                    <w:rPr>
                      <w:color w:val="auto"/>
                      <w:sz w:val="18"/>
                      <w:szCs w:val="18"/>
                    </w:rPr>
                  </w:pPr>
                  <w:r>
                    <w:rPr>
                      <w:color w:val="auto"/>
                      <w:kern w:val="0"/>
                      <w:sz w:val="18"/>
                      <w:szCs w:val="18"/>
                      <w:lang w:bidi="ar"/>
                    </w:rPr>
                    <w:t>0.33</w:t>
                  </w:r>
                  <w:r>
                    <w:rPr>
                      <w:rFonts w:hint="eastAsia"/>
                      <w:color w:val="auto"/>
                      <w:kern w:val="0"/>
                      <w:sz w:val="18"/>
                      <w:szCs w:val="18"/>
                      <w:lang w:bidi="ar"/>
                    </w:rPr>
                    <w:t>7</w:t>
                  </w:r>
                </w:p>
              </w:tc>
              <w:tc>
                <w:tcPr>
                  <w:tcW w:w="505" w:type="pct"/>
                  <w:shd w:val="clear" w:color="auto" w:fill="FFFFFF"/>
                  <w:noWrap/>
                  <w:vAlign w:val="center"/>
                </w:tcPr>
                <w:p w14:paraId="45F8306F">
                  <w:pPr>
                    <w:widowControl/>
                    <w:jc w:val="center"/>
                    <w:textAlignment w:val="center"/>
                    <w:rPr>
                      <w:color w:val="auto"/>
                      <w:sz w:val="18"/>
                      <w:szCs w:val="18"/>
                    </w:rPr>
                  </w:pPr>
                  <w:r>
                    <w:rPr>
                      <w:color w:val="auto"/>
                      <w:kern w:val="0"/>
                      <w:sz w:val="18"/>
                      <w:szCs w:val="18"/>
                      <w:lang w:bidi="ar"/>
                    </w:rPr>
                    <w:t>8.91</w:t>
                  </w:r>
                </w:p>
              </w:tc>
            </w:tr>
            <w:tr w14:paraId="3B0E461D">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39" w:type="pct"/>
                  <w:gridSpan w:val="2"/>
                  <w:vMerge w:val="continue"/>
                  <w:shd w:val="clear" w:color="auto" w:fill="FFFFFF"/>
                  <w:vAlign w:val="center"/>
                </w:tcPr>
                <w:p w14:paraId="504B1B42">
                  <w:pPr>
                    <w:jc w:val="center"/>
                    <w:rPr>
                      <w:color w:val="auto"/>
                      <w:sz w:val="18"/>
                      <w:szCs w:val="18"/>
                    </w:rPr>
                  </w:pPr>
                </w:p>
              </w:tc>
              <w:tc>
                <w:tcPr>
                  <w:tcW w:w="410" w:type="pct"/>
                  <w:shd w:val="clear" w:color="auto" w:fill="FFFFFF"/>
                  <w:noWrap/>
                  <w:vAlign w:val="center"/>
                </w:tcPr>
                <w:p w14:paraId="6C6189D1">
                  <w:pPr>
                    <w:widowControl/>
                    <w:jc w:val="center"/>
                    <w:textAlignment w:val="center"/>
                    <w:rPr>
                      <w:color w:val="auto"/>
                      <w:sz w:val="18"/>
                      <w:szCs w:val="18"/>
                    </w:rPr>
                  </w:pPr>
                  <w:r>
                    <w:rPr>
                      <w:color w:val="auto"/>
                      <w:kern w:val="0"/>
                      <w:sz w:val="18"/>
                      <w:szCs w:val="18"/>
                      <w:lang w:bidi="ar"/>
                    </w:rPr>
                    <w:t>SS</w:t>
                  </w:r>
                </w:p>
              </w:tc>
              <w:tc>
                <w:tcPr>
                  <w:tcW w:w="529" w:type="pct"/>
                  <w:shd w:val="clear" w:color="auto" w:fill="FFFFFF"/>
                  <w:noWrap/>
                  <w:vAlign w:val="center"/>
                </w:tcPr>
                <w:p w14:paraId="74F104C5">
                  <w:pPr>
                    <w:widowControl/>
                    <w:jc w:val="center"/>
                    <w:textAlignment w:val="center"/>
                    <w:rPr>
                      <w:color w:val="auto"/>
                      <w:sz w:val="18"/>
                      <w:szCs w:val="18"/>
                    </w:rPr>
                  </w:pPr>
                  <w:r>
                    <w:rPr>
                      <w:color w:val="auto"/>
                      <w:kern w:val="0"/>
                      <w:sz w:val="18"/>
                      <w:szCs w:val="18"/>
                      <w:lang w:bidi="ar"/>
                    </w:rPr>
                    <w:t>7.089</w:t>
                  </w:r>
                </w:p>
              </w:tc>
              <w:tc>
                <w:tcPr>
                  <w:tcW w:w="482" w:type="pct"/>
                  <w:shd w:val="clear" w:color="auto" w:fill="FFFFFF"/>
                  <w:vAlign w:val="center"/>
                </w:tcPr>
                <w:p w14:paraId="5D50DE7E">
                  <w:pPr>
                    <w:widowControl/>
                    <w:jc w:val="center"/>
                    <w:textAlignment w:val="center"/>
                    <w:rPr>
                      <w:color w:val="auto"/>
                      <w:sz w:val="18"/>
                      <w:szCs w:val="18"/>
                    </w:rPr>
                  </w:pPr>
                  <w:r>
                    <w:rPr>
                      <w:color w:val="auto"/>
                      <w:kern w:val="0"/>
                      <w:sz w:val="18"/>
                      <w:szCs w:val="18"/>
                      <w:lang w:bidi="ar"/>
                    </w:rPr>
                    <w:t>0.198</w:t>
                  </w:r>
                </w:p>
              </w:tc>
              <w:tc>
                <w:tcPr>
                  <w:tcW w:w="529" w:type="pct"/>
                  <w:shd w:val="clear" w:color="auto" w:fill="FFFFFF"/>
                  <w:noWrap/>
                  <w:vAlign w:val="center"/>
                </w:tcPr>
                <w:p w14:paraId="02747B64">
                  <w:pPr>
                    <w:widowControl/>
                    <w:jc w:val="center"/>
                    <w:textAlignment w:val="center"/>
                    <w:rPr>
                      <w:color w:val="auto"/>
                      <w:sz w:val="18"/>
                      <w:szCs w:val="18"/>
                    </w:rPr>
                  </w:pPr>
                  <w:r>
                    <w:rPr>
                      <w:color w:val="auto"/>
                      <w:kern w:val="0"/>
                      <w:sz w:val="18"/>
                      <w:szCs w:val="18"/>
                      <w:lang w:bidi="ar"/>
                    </w:rPr>
                    <w:t>4.442</w:t>
                  </w:r>
                </w:p>
              </w:tc>
              <w:tc>
                <w:tcPr>
                  <w:tcW w:w="482" w:type="pct"/>
                  <w:shd w:val="clear" w:color="auto" w:fill="FFFFFF"/>
                  <w:vAlign w:val="center"/>
                </w:tcPr>
                <w:p w14:paraId="49AE6938">
                  <w:pPr>
                    <w:widowControl/>
                    <w:jc w:val="center"/>
                    <w:textAlignment w:val="center"/>
                    <w:rPr>
                      <w:color w:val="auto"/>
                      <w:sz w:val="18"/>
                      <w:szCs w:val="18"/>
                    </w:rPr>
                  </w:pPr>
                  <w:r>
                    <w:rPr>
                      <w:color w:val="auto"/>
                      <w:kern w:val="0"/>
                      <w:sz w:val="18"/>
                      <w:szCs w:val="18"/>
                      <w:lang w:bidi="ar"/>
                    </w:rPr>
                    <w:t>0.12</w:t>
                  </w:r>
                </w:p>
              </w:tc>
              <w:tc>
                <w:tcPr>
                  <w:tcW w:w="482" w:type="pct"/>
                  <w:shd w:val="clear" w:color="auto" w:fill="FFFFFF"/>
                  <w:noWrap/>
                  <w:vAlign w:val="center"/>
                </w:tcPr>
                <w:p w14:paraId="43076489">
                  <w:pPr>
                    <w:widowControl/>
                    <w:jc w:val="center"/>
                    <w:textAlignment w:val="center"/>
                    <w:rPr>
                      <w:color w:val="auto"/>
                      <w:sz w:val="18"/>
                      <w:szCs w:val="18"/>
                    </w:rPr>
                  </w:pPr>
                  <w:r>
                    <w:rPr>
                      <w:color w:val="auto"/>
                      <w:kern w:val="0"/>
                      <w:sz w:val="18"/>
                      <w:szCs w:val="18"/>
                      <w:lang w:bidi="ar"/>
                    </w:rPr>
                    <w:t>0.430</w:t>
                  </w:r>
                </w:p>
              </w:tc>
              <w:tc>
                <w:tcPr>
                  <w:tcW w:w="338" w:type="pct"/>
                  <w:shd w:val="clear" w:color="auto" w:fill="FFFFFF"/>
                  <w:vAlign w:val="center"/>
                </w:tcPr>
                <w:p w14:paraId="0DA8A86D">
                  <w:pPr>
                    <w:widowControl/>
                    <w:jc w:val="center"/>
                    <w:textAlignment w:val="center"/>
                    <w:rPr>
                      <w:color w:val="auto"/>
                      <w:sz w:val="18"/>
                      <w:szCs w:val="18"/>
                    </w:rPr>
                  </w:pPr>
                  <w:r>
                    <w:rPr>
                      <w:color w:val="auto"/>
                      <w:kern w:val="0"/>
                      <w:sz w:val="18"/>
                      <w:szCs w:val="18"/>
                      <w:lang w:bidi="ar"/>
                    </w:rPr>
                    <w:t>0.012</w:t>
                  </w:r>
                </w:p>
              </w:tc>
              <w:tc>
                <w:tcPr>
                  <w:tcW w:w="434" w:type="pct"/>
                  <w:shd w:val="clear" w:color="auto" w:fill="FFFFFF"/>
                  <w:noWrap/>
                  <w:vAlign w:val="center"/>
                </w:tcPr>
                <w:p w14:paraId="1A520A1C">
                  <w:pPr>
                    <w:widowControl/>
                    <w:jc w:val="center"/>
                    <w:textAlignment w:val="center"/>
                    <w:rPr>
                      <w:color w:val="auto"/>
                      <w:sz w:val="18"/>
                      <w:szCs w:val="18"/>
                    </w:rPr>
                  </w:pPr>
                  <w:r>
                    <w:rPr>
                      <w:color w:val="auto"/>
                      <w:kern w:val="0"/>
                      <w:sz w:val="18"/>
                      <w:szCs w:val="18"/>
                      <w:lang w:bidi="ar"/>
                    </w:rPr>
                    <w:t>2.217</w:t>
                  </w:r>
                </w:p>
              </w:tc>
              <w:tc>
                <w:tcPr>
                  <w:tcW w:w="364" w:type="pct"/>
                  <w:shd w:val="clear" w:color="auto" w:fill="FFFFFF"/>
                  <w:noWrap/>
                  <w:vAlign w:val="center"/>
                </w:tcPr>
                <w:p w14:paraId="585A839A">
                  <w:pPr>
                    <w:widowControl/>
                    <w:jc w:val="center"/>
                    <w:textAlignment w:val="center"/>
                    <w:rPr>
                      <w:color w:val="auto"/>
                      <w:sz w:val="18"/>
                      <w:szCs w:val="18"/>
                    </w:rPr>
                  </w:pPr>
                  <w:r>
                    <w:rPr>
                      <w:color w:val="auto"/>
                      <w:kern w:val="0"/>
                      <w:sz w:val="18"/>
                      <w:szCs w:val="18"/>
                      <w:lang w:bidi="ar"/>
                    </w:rPr>
                    <w:t>0.066</w:t>
                  </w:r>
                </w:p>
              </w:tc>
              <w:tc>
                <w:tcPr>
                  <w:tcW w:w="505" w:type="pct"/>
                  <w:shd w:val="clear" w:color="auto" w:fill="FFFFFF"/>
                  <w:noWrap/>
                  <w:vAlign w:val="center"/>
                </w:tcPr>
                <w:p w14:paraId="237783F6">
                  <w:pPr>
                    <w:widowControl/>
                    <w:jc w:val="center"/>
                    <w:textAlignment w:val="center"/>
                    <w:rPr>
                      <w:color w:val="auto"/>
                      <w:sz w:val="18"/>
                      <w:szCs w:val="18"/>
                    </w:rPr>
                  </w:pPr>
                  <w:r>
                    <w:rPr>
                      <w:color w:val="auto"/>
                      <w:kern w:val="0"/>
                      <w:sz w:val="18"/>
                      <w:szCs w:val="18"/>
                      <w:lang w:bidi="ar"/>
                    </w:rPr>
                    <w:t>/</w:t>
                  </w:r>
                </w:p>
              </w:tc>
            </w:tr>
            <w:tr w14:paraId="4998CFE6">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39" w:type="pct"/>
                  <w:gridSpan w:val="2"/>
                  <w:vMerge w:val="continue"/>
                  <w:shd w:val="clear" w:color="auto" w:fill="FFFFFF"/>
                  <w:vAlign w:val="center"/>
                </w:tcPr>
                <w:p w14:paraId="2DA4A6E5">
                  <w:pPr>
                    <w:jc w:val="center"/>
                    <w:rPr>
                      <w:color w:val="auto"/>
                      <w:sz w:val="18"/>
                      <w:szCs w:val="18"/>
                    </w:rPr>
                  </w:pPr>
                </w:p>
              </w:tc>
              <w:tc>
                <w:tcPr>
                  <w:tcW w:w="410" w:type="pct"/>
                  <w:shd w:val="clear" w:color="auto" w:fill="FFFFFF"/>
                  <w:noWrap/>
                  <w:vAlign w:val="center"/>
                </w:tcPr>
                <w:p w14:paraId="20A3694C">
                  <w:pPr>
                    <w:widowControl/>
                    <w:jc w:val="center"/>
                    <w:textAlignment w:val="center"/>
                    <w:rPr>
                      <w:color w:val="auto"/>
                      <w:sz w:val="18"/>
                      <w:szCs w:val="18"/>
                    </w:rPr>
                  </w:pPr>
                  <w:r>
                    <w:rPr>
                      <w:color w:val="auto"/>
                      <w:kern w:val="0"/>
                      <w:sz w:val="18"/>
                      <w:szCs w:val="18"/>
                      <w:lang w:bidi="ar"/>
                    </w:rPr>
                    <w:t>氨氮</w:t>
                  </w:r>
                </w:p>
              </w:tc>
              <w:tc>
                <w:tcPr>
                  <w:tcW w:w="529" w:type="pct"/>
                  <w:shd w:val="clear" w:color="auto" w:fill="FFFFFF"/>
                  <w:noWrap/>
                  <w:vAlign w:val="center"/>
                </w:tcPr>
                <w:p w14:paraId="380B54BD">
                  <w:pPr>
                    <w:widowControl/>
                    <w:jc w:val="center"/>
                    <w:textAlignment w:val="center"/>
                    <w:rPr>
                      <w:color w:val="auto"/>
                      <w:sz w:val="18"/>
                      <w:szCs w:val="18"/>
                    </w:rPr>
                  </w:pPr>
                  <w:r>
                    <w:rPr>
                      <w:color w:val="auto"/>
                      <w:kern w:val="0"/>
                      <w:sz w:val="18"/>
                      <w:szCs w:val="18"/>
                      <w:lang w:bidi="ar"/>
                    </w:rPr>
                    <w:t>1.947</w:t>
                  </w:r>
                </w:p>
              </w:tc>
              <w:tc>
                <w:tcPr>
                  <w:tcW w:w="482" w:type="pct"/>
                  <w:shd w:val="clear" w:color="auto" w:fill="FFFFFF"/>
                  <w:vAlign w:val="center"/>
                </w:tcPr>
                <w:p w14:paraId="25BE9F1E">
                  <w:pPr>
                    <w:widowControl/>
                    <w:jc w:val="center"/>
                    <w:textAlignment w:val="center"/>
                    <w:rPr>
                      <w:color w:val="auto"/>
                      <w:sz w:val="18"/>
                      <w:szCs w:val="18"/>
                    </w:rPr>
                  </w:pPr>
                  <w:r>
                    <w:rPr>
                      <w:color w:val="auto"/>
                      <w:kern w:val="0"/>
                      <w:sz w:val="18"/>
                      <w:szCs w:val="18"/>
                      <w:lang w:bidi="ar"/>
                    </w:rPr>
                    <w:t>0.104</w:t>
                  </w:r>
                </w:p>
              </w:tc>
              <w:tc>
                <w:tcPr>
                  <w:tcW w:w="529" w:type="pct"/>
                  <w:shd w:val="clear" w:color="auto" w:fill="FFFFFF"/>
                  <w:noWrap/>
                  <w:vAlign w:val="center"/>
                </w:tcPr>
                <w:p w14:paraId="1CEB0E2E">
                  <w:pPr>
                    <w:widowControl/>
                    <w:jc w:val="center"/>
                    <w:textAlignment w:val="center"/>
                    <w:rPr>
                      <w:color w:val="auto"/>
                      <w:sz w:val="18"/>
                      <w:szCs w:val="18"/>
                    </w:rPr>
                  </w:pPr>
                  <w:r>
                    <w:rPr>
                      <w:color w:val="auto"/>
                      <w:kern w:val="0"/>
                      <w:sz w:val="18"/>
                      <w:szCs w:val="18"/>
                      <w:lang w:bidi="ar"/>
                    </w:rPr>
                    <w:t>1.354</w:t>
                  </w:r>
                </w:p>
              </w:tc>
              <w:tc>
                <w:tcPr>
                  <w:tcW w:w="482" w:type="pct"/>
                  <w:shd w:val="clear" w:color="auto" w:fill="FFFFFF"/>
                  <w:vAlign w:val="center"/>
                </w:tcPr>
                <w:p w14:paraId="008BAABF">
                  <w:pPr>
                    <w:widowControl/>
                    <w:jc w:val="center"/>
                    <w:textAlignment w:val="center"/>
                    <w:rPr>
                      <w:color w:val="auto"/>
                      <w:sz w:val="18"/>
                      <w:szCs w:val="18"/>
                    </w:rPr>
                  </w:pPr>
                  <w:r>
                    <w:rPr>
                      <w:color w:val="auto"/>
                      <w:kern w:val="0"/>
                      <w:sz w:val="18"/>
                      <w:szCs w:val="18"/>
                      <w:lang w:bidi="ar"/>
                    </w:rPr>
                    <w:t>0.06</w:t>
                  </w:r>
                </w:p>
              </w:tc>
              <w:tc>
                <w:tcPr>
                  <w:tcW w:w="482" w:type="pct"/>
                  <w:shd w:val="clear" w:color="auto" w:fill="FFFFFF"/>
                  <w:noWrap/>
                  <w:vAlign w:val="center"/>
                </w:tcPr>
                <w:p w14:paraId="0921FF10">
                  <w:pPr>
                    <w:widowControl/>
                    <w:jc w:val="center"/>
                    <w:textAlignment w:val="center"/>
                    <w:rPr>
                      <w:color w:val="auto"/>
                      <w:sz w:val="18"/>
                      <w:szCs w:val="18"/>
                    </w:rPr>
                  </w:pPr>
                  <w:r>
                    <w:rPr>
                      <w:color w:val="auto"/>
                      <w:kern w:val="0"/>
                      <w:sz w:val="18"/>
                      <w:szCs w:val="18"/>
                      <w:lang w:bidi="ar"/>
                    </w:rPr>
                    <w:t>0.131</w:t>
                  </w:r>
                </w:p>
              </w:tc>
              <w:tc>
                <w:tcPr>
                  <w:tcW w:w="338" w:type="pct"/>
                  <w:shd w:val="clear" w:color="auto" w:fill="FFFFFF"/>
                  <w:vAlign w:val="center"/>
                </w:tcPr>
                <w:p w14:paraId="7842B997">
                  <w:pPr>
                    <w:widowControl/>
                    <w:jc w:val="center"/>
                    <w:textAlignment w:val="center"/>
                    <w:rPr>
                      <w:color w:val="auto"/>
                      <w:sz w:val="18"/>
                      <w:szCs w:val="18"/>
                    </w:rPr>
                  </w:pPr>
                  <w:r>
                    <w:rPr>
                      <w:color w:val="auto"/>
                      <w:kern w:val="0"/>
                      <w:sz w:val="18"/>
                      <w:szCs w:val="18"/>
                      <w:lang w:bidi="ar"/>
                    </w:rPr>
                    <w:t>0.007</w:t>
                  </w:r>
                </w:p>
              </w:tc>
              <w:tc>
                <w:tcPr>
                  <w:tcW w:w="434" w:type="pct"/>
                  <w:shd w:val="clear" w:color="auto" w:fill="FFFFFF"/>
                  <w:noWrap/>
                  <w:vAlign w:val="center"/>
                </w:tcPr>
                <w:p w14:paraId="32D6C4B7">
                  <w:pPr>
                    <w:widowControl/>
                    <w:jc w:val="center"/>
                    <w:textAlignment w:val="center"/>
                    <w:rPr>
                      <w:color w:val="auto"/>
                      <w:sz w:val="18"/>
                      <w:szCs w:val="18"/>
                    </w:rPr>
                  </w:pPr>
                  <w:r>
                    <w:rPr>
                      <w:color w:val="auto"/>
                      <w:kern w:val="0"/>
                      <w:sz w:val="18"/>
                      <w:szCs w:val="18"/>
                      <w:lang w:bidi="ar"/>
                    </w:rPr>
                    <w:t>0.462</w:t>
                  </w:r>
                </w:p>
              </w:tc>
              <w:tc>
                <w:tcPr>
                  <w:tcW w:w="364" w:type="pct"/>
                  <w:shd w:val="clear" w:color="auto" w:fill="FFFFFF"/>
                  <w:noWrap/>
                  <w:vAlign w:val="center"/>
                </w:tcPr>
                <w:p w14:paraId="74455D18">
                  <w:pPr>
                    <w:widowControl/>
                    <w:jc w:val="center"/>
                    <w:textAlignment w:val="center"/>
                    <w:rPr>
                      <w:color w:val="auto"/>
                      <w:sz w:val="18"/>
                      <w:szCs w:val="18"/>
                    </w:rPr>
                  </w:pPr>
                  <w:r>
                    <w:rPr>
                      <w:color w:val="auto"/>
                      <w:kern w:val="0"/>
                      <w:sz w:val="18"/>
                      <w:szCs w:val="18"/>
                      <w:lang w:bidi="ar"/>
                    </w:rPr>
                    <w:t>0.037</w:t>
                  </w:r>
                </w:p>
              </w:tc>
              <w:tc>
                <w:tcPr>
                  <w:tcW w:w="505" w:type="pct"/>
                  <w:shd w:val="clear" w:color="auto" w:fill="FFFFFF"/>
                  <w:noWrap/>
                  <w:vAlign w:val="center"/>
                </w:tcPr>
                <w:p w14:paraId="24115FE6">
                  <w:pPr>
                    <w:widowControl/>
                    <w:jc w:val="center"/>
                    <w:textAlignment w:val="center"/>
                    <w:rPr>
                      <w:color w:val="auto"/>
                      <w:sz w:val="18"/>
                      <w:szCs w:val="18"/>
                    </w:rPr>
                  </w:pPr>
                  <w:r>
                    <w:rPr>
                      <w:color w:val="auto"/>
                      <w:kern w:val="0"/>
                      <w:sz w:val="18"/>
                      <w:szCs w:val="18"/>
                      <w:lang w:bidi="ar"/>
                    </w:rPr>
                    <w:t>1.45</w:t>
                  </w:r>
                </w:p>
              </w:tc>
            </w:tr>
            <w:tr w14:paraId="519BC9DD">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39" w:type="pct"/>
                  <w:gridSpan w:val="2"/>
                  <w:vMerge w:val="continue"/>
                  <w:shd w:val="clear" w:color="auto" w:fill="FFFFFF"/>
                  <w:vAlign w:val="center"/>
                </w:tcPr>
                <w:p w14:paraId="066C8020">
                  <w:pPr>
                    <w:jc w:val="center"/>
                    <w:rPr>
                      <w:color w:val="auto"/>
                      <w:sz w:val="18"/>
                      <w:szCs w:val="18"/>
                    </w:rPr>
                  </w:pPr>
                </w:p>
              </w:tc>
              <w:tc>
                <w:tcPr>
                  <w:tcW w:w="410" w:type="pct"/>
                  <w:shd w:val="clear" w:color="auto" w:fill="FFFFFF"/>
                  <w:noWrap/>
                  <w:vAlign w:val="center"/>
                </w:tcPr>
                <w:p w14:paraId="0B7C0FBD">
                  <w:pPr>
                    <w:widowControl/>
                    <w:jc w:val="center"/>
                    <w:textAlignment w:val="center"/>
                    <w:rPr>
                      <w:color w:val="auto"/>
                      <w:sz w:val="18"/>
                      <w:szCs w:val="18"/>
                    </w:rPr>
                  </w:pPr>
                  <w:r>
                    <w:rPr>
                      <w:color w:val="auto"/>
                      <w:kern w:val="0"/>
                      <w:sz w:val="18"/>
                      <w:szCs w:val="18"/>
                      <w:lang w:bidi="ar"/>
                    </w:rPr>
                    <w:t>总氮</w:t>
                  </w:r>
                </w:p>
              </w:tc>
              <w:tc>
                <w:tcPr>
                  <w:tcW w:w="529" w:type="pct"/>
                  <w:shd w:val="clear" w:color="auto" w:fill="FFFFFF"/>
                  <w:noWrap/>
                  <w:vAlign w:val="center"/>
                </w:tcPr>
                <w:p w14:paraId="31747D68">
                  <w:pPr>
                    <w:widowControl/>
                    <w:jc w:val="center"/>
                    <w:textAlignment w:val="center"/>
                    <w:rPr>
                      <w:color w:val="auto"/>
                      <w:sz w:val="18"/>
                      <w:szCs w:val="18"/>
                    </w:rPr>
                  </w:pPr>
                  <w:r>
                    <w:rPr>
                      <w:color w:val="auto"/>
                      <w:kern w:val="0"/>
                      <w:sz w:val="18"/>
                      <w:szCs w:val="18"/>
                      <w:lang w:bidi="ar"/>
                    </w:rPr>
                    <w:t>2.293</w:t>
                  </w:r>
                </w:p>
              </w:tc>
              <w:tc>
                <w:tcPr>
                  <w:tcW w:w="482" w:type="pct"/>
                  <w:shd w:val="clear" w:color="auto" w:fill="FFFFFF"/>
                  <w:vAlign w:val="center"/>
                </w:tcPr>
                <w:p w14:paraId="5CFBDE03">
                  <w:pPr>
                    <w:widowControl/>
                    <w:jc w:val="center"/>
                    <w:textAlignment w:val="center"/>
                    <w:rPr>
                      <w:color w:val="auto"/>
                      <w:sz w:val="18"/>
                      <w:szCs w:val="18"/>
                    </w:rPr>
                  </w:pPr>
                  <w:r>
                    <w:rPr>
                      <w:color w:val="auto"/>
                      <w:kern w:val="0"/>
                      <w:sz w:val="18"/>
                      <w:szCs w:val="18"/>
                      <w:lang w:bidi="ar"/>
                    </w:rPr>
                    <w:t>0.221</w:t>
                  </w:r>
                </w:p>
              </w:tc>
              <w:tc>
                <w:tcPr>
                  <w:tcW w:w="529" w:type="pct"/>
                  <w:shd w:val="clear" w:color="auto" w:fill="FFFFFF"/>
                  <w:noWrap/>
                  <w:vAlign w:val="center"/>
                </w:tcPr>
                <w:p w14:paraId="4581141F">
                  <w:pPr>
                    <w:widowControl/>
                    <w:jc w:val="center"/>
                    <w:textAlignment w:val="center"/>
                    <w:rPr>
                      <w:color w:val="auto"/>
                      <w:sz w:val="18"/>
                      <w:szCs w:val="18"/>
                    </w:rPr>
                  </w:pPr>
                  <w:r>
                    <w:rPr>
                      <w:color w:val="auto"/>
                      <w:kern w:val="0"/>
                      <w:sz w:val="18"/>
                      <w:szCs w:val="18"/>
                      <w:lang w:bidi="ar"/>
                    </w:rPr>
                    <w:t>1.675</w:t>
                  </w:r>
                </w:p>
              </w:tc>
              <w:tc>
                <w:tcPr>
                  <w:tcW w:w="482" w:type="pct"/>
                  <w:shd w:val="clear" w:color="auto" w:fill="FFFFFF"/>
                  <w:vAlign w:val="center"/>
                </w:tcPr>
                <w:p w14:paraId="03EDCCD8">
                  <w:pPr>
                    <w:widowControl/>
                    <w:jc w:val="center"/>
                    <w:textAlignment w:val="center"/>
                    <w:rPr>
                      <w:color w:val="auto"/>
                      <w:sz w:val="18"/>
                      <w:szCs w:val="18"/>
                    </w:rPr>
                  </w:pPr>
                  <w:r>
                    <w:rPr>
                      <w:color w:val="auto"/>
                      <w:kern w:val="0"/>
                      <w:sz w:val="18"/>
                      <w:szCs w:val="18"/>
                      <w:lang w:bidi="ar"/>
                    </w:rPr>
                    <w:t>0.122</w:t>
                  </w:r>
                </w:p>
              </w:tc>
              <w:tc>
                <w:tcPr>
                  <w:tcW w:w="482" w:type="pct"/>
                  <w:shd w:val="clear" w:color="auto" w:fill="FFFFFF"/>
                  <w:noWrap/>
                  <w:vAlign w:val="center"/>
                </w:tcPr>
                <w:p w14:paraId="54D83D4E">
                  <w:pPr>
                    <w:widowControl/>
                    <w:jc w:val="center"/>
                    <w:textAlignment w:val="center"/>
                    <w:rPr>
                      <w:color w:val="auto"/>
                      <w:sz w:val="18"/>
                      <w:szCs w:val="18"/>
                    </w:rPr>
                  </w:pPr>
                  <w:r>
                    <w:rPr>
                      <w:color w:val="auto"/>
                      <w:kern w:val="0"/>
                      <w:sz w:val="18"/>
                      <w:szCs w:val="18"/>
                      <w:lang w:bidi="ar"/>
                    </w:rPr>
                    <w:t>0.000</w:t>
                  </w:r>
                </w:p>
              </w:tc>
              <w:tc>
                <w:tcPr>
                  <w:tcW w:w="338" w:type="pct"/>
                  <w:shd w:val="clear" w:color="auto" w:fill="FFFFFF"/>
                  <w:vAlign w:val="center"/>
                </w:tcPr>
                <w:p w14:paraId="06B4B414">
                  <w:pPr>
                    <w:widowControl/>
                    <w:jc w:val="center"/>
                    <w:textAlignment w:val="center"/>
                    <w:rPr>
                      <w:color w:val="auto"/>
                      <w:sz w:val="18"/>
                      <w:szCs w:val="18"/>
                    </w:rPr>
                  </w:pPr>
                  <w:r>
                    <w:rPr>
                      <w:color w:val="auto"/>
                      <w:kern w:val="0"/>
                      <w:sz w:val="18"/>
                      <w:szCs w:val="18"/>
                      <w:lang w:bidi="ar"/>
                    </w:rPr>
                    <w:t>0</w:t>
                  </w:r>
                </w:p>
              </w:tc>
              <w:tc>
                <w:tcPr>
                  <w:tcW w:w="434" w:type="pct"/>
                  <w:shd w:val="clear" w:color="auto" w:fill="FFFFFF"/>
                  <w:noWrap/>
                  <w:vAlign w:val="center"/>
                </w:tcPr>
                <w:p w14:paraId="5D6D1577">
                  <w:pPr>
                    <w:widowControl/>
                    <w:jc w:val="center"/>
                    <w:textAlignment w:val="center"/>
                    <w:rPr>
                      <w:color w:val="auto"/>
                      <w:sz w:val="18"/>
                      <w:szCs w:val="18"/>
                    </w:rPr>
                  </w:pPr>
                  <w:r>
                    <w:rPr>
                      <w:color w:val="auto"/>
                      <w:kern w:val="0"/>
                      <w:sz w:val="18"/>
                      <w:szCs w:val="18"/>
                      <w:lang w:bidi="ar"/>
                    </w:rPr>
                    <w:t>0.618</w:t>
                  </w:r>
                </w:p>
              </w:tc>
              <w:tc>
                <w:tcPr>
                  <w:tcW w:w="364" w:type="pct"/>
                  <w:shd w:val="clear" w:color="auto" w:fill="FFFFFF"/>
                  <w:noWrap/>
                  <w:vAlign w:val="center"/>
                </w:tcPr>
                <w:p w14:paraId="3CDD6AE5">
                  <w:pPr>
                    <w:widowControl/>
                    <w:jc w:val="center"/>
                    <w:textAlignment w:val="center"/>
                    <w:rPr>
                      <w:color w:val="auto"/>
                      <w:sz w:val="18"/>
                      <w:szCs w:val="18"/>
                    </w:rPr>
                  </w:pPr>
                  <w:r>
                    <w:rPr>
                      <w:color w:val="auto"/>
                      <w:kern w:val="0"/>
                      <w:sz w:val="18"/>
                      <w:szCs w:val="18"/>
                      <w:lang w:bidi="ar"/>
                    </w:rPr>
                    <w:t>0.099</w:t>
                  </w:r>
                </w:p>
              </w:tc>
              <w:tc>
                <w:tcPr>
                  <w:tcW w:w="505" w:type="pct"/>
                  <w:shd w:val="clear" w:color="auto" w:fill="FFFFFF"/>
                  <w:noWrap/>
                  <w:vAlign w:val="center"/>
                </w:tcPr>
                <w:p w14:paraId="155AA5EA">
                  <w:pPr>
                    <w:widowControl/>
                    <w:jc w:val="center"/>
                    <w:textAlignment w:val="center"/>
                    <w:rPr>
                      <w:color w:val="auto"/>
                      <w:sz w:val="18"/>
                      <w:szCs w:val="18"/>
                    </w:rPr>
                  </w:pPr>
                  <w:r>
                    <w:rPr>
                      <w:color w:val="auto"/>
                      <w:kern w:val="0"/>
                      <w:sz w:val="18"/>
                      <w:szCs w:val="18"/>
                      <w:lang w:bidi="ar"/>
                    </w:rPr>
                    <w:t>1.545</w:t>
                  </w:r>
                </w:p>
              </w:tc>
            </w:tr>
            <w:tr w14:paraId="3A11689D">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39" w:type="pct"/>
                  <w:gridSpan w:val="2"/>
                  <w:vMerge w:val="continue"/>
                  <w:shd w:val="clear" w:color="auto" w:fill="FFFFFF"/>
                  <w:vAlign w:val="center"/>
                </w:tcPr>
                <w:p w14:paraId="609C048A">
                  <w:pPr>
                    <w:jc w:val="center"/>
                    <w:rPr>
                      <w:color w:val="auto"/>
                      <w:sz w:val="18"/>
                      <w:szCs w:val="18"/>
                    </w:rPr>
                  </w:pPr>
                </w:p>
              </w:tc>
              <w:tc>
                <w:tcPr>
                  <w:tcW w:w="410" w:type="pct"/>
                  <w:shd w:val="clear" w:color="auto" w:fill="FFFFFF"/>
                  <w:noWrap/>
                  <w:vAlign w:val="center"/>
                </w:tcPr>
                <w:p w14:paraId="5C67197E">
                  <w:pPr>
                    <w:widowControl/>
                    <w:jc w:val="center"/>
                    <w:textAlignment w:val="center"/>
                    <w:rPr>
                      <w:color w:val="auto"/>
                      <w:sz w:val="18"/>
                      <w:szCs w:val="18"/>
                    </w:rPr>
                  </w:pPr>
                  <w:r>
                    <w:rPr>
                      <w:color w:val="auto"/>
                      <w:kern w:val="0"/>
                      <w:sz w:val="18"/>
                      <w:szCs w:val="18"/>
                      <w:lang w:bidi="ar"/>
                    </w:rPr>
                    <w:t>总磷</w:t>
                  </w:r>
                </w:p>
              </w:tc>
              <w:tc>
                <w:tcPr>
                  <w:tcW w:w="529" w:type="pct"/>
                  <w:shd w:val="clear" w:color="auto" w:fill="FFFFFF"/>
                  <w:noWrap/>
                  <w:vAlign w:val="center"/>
                </w:tcPr>
                <w:p w14:paraId="7A49DE2C">
                  <w:pPr>
                    <w:widowControl/>
                    <w:jc w:val="center"/>
                    <w:textAlignment w:val="center"/>
                    <w:rPr>
                      <w:color w:val="auto"/>
                      <w:sz w:val="18"/>
                      <w:szCs w:val="18"/>
                    </w:rPr>
                  </w:pPr>
                  <w:r>
                    <w:rPr>
                      <w:color w:val="auto"/>
                      <w:kern w:val="0"/>
                      <w:sz w:val="18"/>
                      <w:szCs w:val="18"/>
                      <w:lang w:bidi="ar"/>
                    </w:rPr>
                    <w:t>0.037</w:t>
                  </w:r>
                </w:p>
              </w:tc>
              <w:tc>
                <w:tcPr>
                  <w:tcW w:w="482" w:type="pct"/>
                  <w:shd w:val="clear" w:color="auto" w:fill="FFFFFF"/>
                  <w:vAlign w:val="center"/>
                </w:tcPr>
                <w:p w14:paraId="7EDD314C">
                  <w:pPr>
                    <w:widowControl/>
                    <w:jc w:val="center"/>
                    <w:textAlignment w:val="center"/>
                    <w:rPr>
                      <w:color w:val="auto"/>
                      <w:sz w:val="18"/>
                      <w:szCs w:val="18"/>
                    </w:rPr>
                  </w:pPr>
                  <w:r>
                    <w:rPr>
                      <w:color w:val="auto"/>
                      <w:kern w:val="0"/>
                      <w:sz w:val="18"/>
                      <w:szCs w:val="18"/>
                      <w:lang w:bidi="ar"/>
                    </w:rPr>
                    <w:t>0.014</w:t>
                  </w:r>
                </w:p>
              </w:tc>
              <w:tc>
                <w:tcPr>
                  <w:tcW w:w="529" w:type="pct"/>
                  <w:shd w:val="clear" w:color="auto" w:fill="FFFFFF"/>
                  <w:noWrap/>
                  <w:vAlign w:val="center"/>
                </w:tcPr>
                <w:p w14:paraId="06B91F6F">
                  <w:pPr>
                    <w:widowControl/>
                    <w:jc w:val="center"/>
                    <w:textAlignment w:val="center"/>
                    <w:rPr>
                      <w:color w:val="auto"/>
                      <w:sz w:val="18"/>
                      <w:szCs w:val="18"/>
                    </w:rPr>
                  </w:pPr>
                  <w:r>
                    <w:rPr>
                      <w:color w:val="auto"/>
                      <w:kern w:val="0"/>
                      <w:sz w:val="18"/>
                      <w:szCs w:val="18"/>
                      <w:lang w:bidi="ar"/>
                    </w:rPr>
                    <w:t>0.022</w:t>
                  </w:r>
                </w:p>
              </w:tc>
              <w:tc>
                <w:tcPr>
                  <w:tcW w:w="482" w:type="pct"/>
                  <w:shd w:val="clear" w:color="auto" w:fill="FFFFFF"/>
                  <w:vAlign w:val="center"/>
                </w:tcPr>
                <w:p w14:paraId="06F78B51">
                  <w:pPr>
                    <w:widowControl/>
                    <w:jc w:val="center"/>
                    <w:textAlignment w:val="center"/>
                    <w:rPr>
                      <w:color w:val="auto"/>
                      <w:sz w:val="18"/>
                      <w:szCs w:val="18"/>
                    </w:rPr>
                  </w:pPr>
                  <w:r>
                    <w:rPr>
                      <w:color w:val="auto"/>
                      <w:kern w:val="0"/>
                      <w:sz w:val="18"/>
                      <w:szCs w:val="18"/>
                      <w:lang w:bidi="ar"/>
                    </w:rPr>
                    <w:t>0.006</w:t>
                  </w:r>
                </w:p>
              </w:tc>
              <w:tc>
                <w:tcPr>
                  <w:tcW w:w="482" w:type="pct"/>
                  <w:shd w:val="clear" w:color="auto" w:fill="FFFFFF"/>
                  <w:noWrap/>
                  <w:vAlign w:val="center"/>
                </w:tcPr>
                <w:p w14:paraId="61A8596C">
                  <w:pPr>
                    <w:widowControl/>
                    <w:jc w:val="center"/>
                    <w:textAlignment w:val="center"/>
                    <w:rPr>
                      <w:color w:val="auto"/>
                      <w:sz w:val="18"/>
                      <w:szCs w:val="18"/>
                    </w:rPr>
                  </w:pPr>
                  <w:r>
                    <w:rPr>
                      <w:color w:val="auto"/>
                      <w:kern w:val="0"/>
                      <w:sz w:val="18"/>
                      <w:szCs w:val="18"/>
                      <w:lang w:bidi="ar"/>
                    </w:rPr>
                    <w:t>0.003</w:t>
                  </w:r>
                </w:p>
              </w:tc>
              <w:tc>
                <w:tcPr>
                  <w:tcW w:w="338" w:type="pct"/>
                  <w:shd w:val="clear" w:color="auto" w:fill="FFFFFF"/>
                  <w:vAlign w:val="center"/>
                </w:tcPr>
                <w:p w14:paraId="127B6A84">
                  <w:pPr>
                    <w:widowControl/>
                    <w:jc w:val="center"/>
                    <w:textAlignment w:val="center"/>
                    <w:rPr>
                      <w:color w:val="auto"/>
                      <w:sz w:val="18"/>
                      <w:szCs w:val="18"/>
                    </w:rPr>
                  </w:pPr>
                  <w:r>
                    <w:rPr>
                      <w:color w:val="auto"/>
                      <w:kern w:val="0"/>
                      <w:sz w:val="18"/>
                      <w:szCs w:val="18"/>
                      <w:lang w:bidi="ar"/>
                    </w:rPr>
                    <w:t>0.001</w:t>
                  </w:r>
                </w:p>
              </w:tc>
              <w:tc>
                <w:tcPr>
                  <w:tcW w:w="434" w:type="pct"/>
                  <w:shd w:val="clear" w:color="auto" w:fill="FFFFFF"/>
                  <w:noWrap/>
                  <w:vAlign w:val="center"/>
                </w:tcPr>
                <w:p w14:paraId="23B1FB1C">
                  <w:pPr>
                    <w:widowControl/>
                    <w:jc w:val="center"/>
                    <w:textAlignment w:val="center"/>
                    <w:rPr>
                      <w:color w:val="auto"/>
                      <w:sz w:val="18"/>
                      <w:szCs w:val="18"/>
                    </w:rPr>
                  </w:pPr>
                  <w:r>
                    <w:rPr>
                      <w:color w:val="auto"/>
                      <w:kern w:val="0"/>
                      <w:sz w:val="18"/>
                      <w:szCs w:val="18"/>
                      <w:lang w:bidi="ar"/>
                    </w:rPr>
                    <w:t>0.012</w:t>
                  </w:r>
                </w:p>
              </w:tc>
              <w:tc>
                <w:tcPr>
                  <w:tcW w:w="364" w:type="pct"/>
                  <w:shd w:val="clear" w:color="auto" w:fill="FFFFFF"/>
                  <w:noWrap/>
                  <w:vAlign w:val="center"/>
                </w:tcPr>
                <w:p w14:paraId="7DFB1AA3">
                  <w:pPr>
                    <w:widowControl/>
                    <w:jc w:val="center"/>
                    <w:textAlignment w:val="center"/>
                    <w:rPr>
                      <w:color w:val="auto"/>
                      <w:sz w:val="18"/>
                      <w:szCs w:val="18"/>
                    </w:rPr>
                  </w:pPr>
                  <w:r>
                    <w:rPr>
                      <w:color w:val="auto"/>
                      <w:kern w:val="0"/>
                      <w:sz w:val="18"/>
                      <w:szCs w:val="18"/>
                      <w:lang w:bidi="ar"/>
                    </w:rPr>
                    <w:t>0.007</w:t>
                  </w:r>
                </w:p>
              </w:tc>
              <w:tc>
                <w:tcPr>
                  <w:tcW w:w="505" w:type="pct"/>
                  <w:shd w:val="clear" w:color="auto" w:fill="FFFFFF"/>
                  <w:noWrap/>
                  <w:vAlign w:val="center"/>
                </w:tcPr>
                <w:p w14:paraId="2539EBA2">
                  <w:pPr>
                    <w:widowControl/>
                    <w:jc w:val="center"/>
                    <w:textAlignment w:val="center"/>
                    <w:rPr>
                      <w:color w:val="auto"/>
                      <w:sz w:val="18"/>
                      <w:szCs w:val="18"/>
                    </w:rPr>
                  </w:pPr>
                  <w:r>
                    <w:rPr>
                      <w:color w:val="auto"/>
                      <w:kern w:val="0"/>
                      <w:sz w:val="18"/>
                      <w:szCs w:val="18"/>
                      <w:lang w:bidi="ar"/>
                    </w:rPr>
                    <w:t>0.025</w:t>
                  </w:r>
                </w:p>
              </w:tc>
            </w:tr>
            <w:tr w14:paraId="44443441">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39" w:type="pct"/>
                  <w:gridSpan w:val="2"/>
                  <w:vMerge w:val="continue"/>
                  <w:shd w:val="clear" w:color="auto" w:fill="FFFFFF"/>
                  <w:vAlign w:val="center"/>
                </w:tcPr>
                <w:p w14:paraId="48E722CE">
                  <w:pPr>
                    <w:jc w:val="center"/>
                    <w:rPr>
                      <w:color w:val="auto"/>
                      <w:sz w:val="18"/>
                      <w:szCs w:val="18"/>
                    </w:rPr>
                  </w:pPr>
                </w:p>
              </w:tc>
              <w:tc>
                <w:tcPr>
                  <w:tcW w:w="410" w:type="pct"/>
                  <w:shd w:val="clear" w:color="auto" w:fill="FFFFFF"/>
                  <w:noWrap/>
                  <w:vAlign w:val="center"/>
                </w:tcPr>
                <w:p w14:paraId="662F1585">
                  <w:pPr>
                    <w:widowControl/>
                    <w:jc w:val="center"/>
                    <w:textAlignment w:val="center"/>
                    <w:rPr>
                      <w:color w:val="auto"/>
                      <w:sz w:val="18"/>
                      <w:szCs w:val="18"/>
                    </w:rPr>
                  </w:pPr>
                  <w:r>
                    <w:rPr>
                      <w:color w:val="auto"/>
                      <w:kern w:val="0"/>
                      <w:sz w:val="18"/>
                      <w:szCs w:val="18"/>
                      <w:lang w:bidi="ar"/>
                    </w:rPr>
                    <w:t>盐分</w:t>
                  </w:r>
                </w:p>
              </w:tc>
              <w:tc>
                <w:tcPr>
                  <w:tcW w:w="529" w:type="pct"/>
                  <w:shd w:val="clear" w:color="auto" w:fill="FFFFFF"/>
                  <w:noWrap/>
                  <w:vAlign w:val="center"/>
                </w:tcPr>
                <w:p w14:paraId="3759839B">
                  <w:pPr>
                    <w:widowControl/>
                    <w:jc w:val="center"/>
                    <w:textAlignment w:val="center"/>
                    <w:rPr>
                      <w:color w:val="auto"/>
                      <w:sz w:val="18"/>
                      <w:szCs w:val="18"/>
                    </w:rPr>
                  </w:pPr>
                  <w:r>
                    <w:rPr>
                      <w:color w:val="auto"/>
                      <w:kern w:val="0"/>
                      <w:sz w:val="18"/>
                      <w:szCs w:val="18"/>
                      <w:lang w:bidi="ar"/>
                    </w:rPr>
                    <w:t>70.738</w:t>
                  </w:r>
                </w:p>
              </w:tc>
              <w:tc>
                <w:tcPr>
                  <w:tcW w:w="482" w:type="pct"/>
                  <w:shd w:val="clear" w:color="auto" w:fill="FFFFFF"/>
                  <w:vAlign w:val="center"/>
                </w:tcPr>
                <w:p w14:paraId="001AA78E">
                  <w:pPr>
                    <w:widowControl/>
                    <w:jc w:val="center"/>
                    <w:textAlignment w:val="center"/>
                    <w:rPr>
                      <w:color w:val="auto"/>
                      <w:sz w:val="18"/>
                      <w:szCs w:val="18"/>
                    </w:rPr>
                  </w:pPr>
                  <w:r>
                    <w:rPr>
                      <w:color w:val="auto"/>
                      <w:kern w:val="0"/>
                      <w:sz w:val="18"/>
                      <w:szCs w:val="18"/>
                      <w:lang w:bidi="ar"/>
                    </w:rPr>
                    <w:t>70.739</w:t>
                  </w:r>
                </w:p>
              </w:tc>
              <w:tc>
                <w:tcPr>
                  <w:tcW w:w="529" w:type="pct"/>
                  <w:shd w:val="clear" w:color="auto" w:fill="FFFFFF"/>
                  <w:noWrap/>
                  <w:vAlign w:val="center"/>
                </w:tcPr>
                <w:p w14:paraId="199AA8B0">
                  <w:pPr>
                    <w:widowControl/>
                    <w:jc w:val="center"/>
                    <w:textAlignment w:val="center"/>
                    <w:rPr>
                      <w:color w:val="auto"/>
                      <w:sz w:val="18"/>
                      <w:szCs w:val="18"/>
                    </w:rPr>
                  </w:pPr>
                  <w:r>
                    <w:rPr>
                      <w:color w:val="auto"/>
                      <w:kern w:val="0"/>
                      <w:sz w:val="18"/>
                      <w:szCs w:val="18"/>
                      <w:lang w:bidi="ar"/>
                    </w:rPr>
                    <w:t>30.683</w:t>
                  </w:r>
                </w:p>
              </w:tc>
              <w:tc>
                <w:tcPr>
                  <w:tcW w:w="482" w:type="pct"/>
                  <w:shd w:val="clear" w:color="auto" w:fill="FFFFFF"/>
                  <w:vAlign w:val="center"/>
                </w:tcPr>
                <w:p w14:paraId="5D4620F5">
                  <w:pPr>
                    <w:widowControl/>
                    <w:jc w:val="center"/>
                    <w:textAlignment w:val="center"/>
                    <w:rPr>
                      <w:color w:val="auto"/>
                      <w:sz w:val="18"/>
                      <w:szCs w:val="18"/>
                    </w:rPr>
                  </w:pPr>
                  <w:r>
                    <w:rPr>
                      <w:color w:val="auto"/>
                      <w:kern w:val="0"/>
                      <w:sz w:val="18"/>
                      <w:szCs w:val="18"/>
                      <w:lang w:bidi="ar"/>
                    </w:rPr>
                    <w:t>35.213</w:t>
                  </w:r>
                </w:p>
              </w:tc>
              <w:tc>
                <w:tcPr>
                  <w:tcW w:w="482" w:type="pct"/>
                  <w:shd w:val="clear" w:color="auto" w:fill="FFFFFF"/>
                  <w:noWrap/>
                  <w:vAlign w:val="center"/>
                </w:tcPr>
                <w:p w14:paraId="666B47FA">
                  <w:pPr>
                    <w:widowControl/>
                    <w:jc w:val="center"/>
                    <w:textAlignment w:val="center"/>
                    <w:rPr>
                      <w:color w:val="auto"/>
                      <w:sz w:val="18"/>
                      <w:szCs w:val="18"/>
                    </w:rPr>
                  </w:pPr>
                  <w:r>
                    <w:rPr>
                      <w:color w:val="auto"/>
                      <w:kern w:val="0"/>
                      <w:sz w:val="18"/>
                      <w:szCs w:val="18"/>
                      <w:lang w:bidi="ar"/>
                    </w:rPr>
                    <w:t>4.530</w:t>
                  </w:r>
                </w:p>
              </w:tc>
              <w:tc>
                <w:tcPr>
                  <w:tcW w:w="338" w:type="pct"/>
                  <w:shd w:val="clear" w:color="auto" w:fill="FFFFFF"/>
                  <w:vAlign w:val="center"/>
                </w:tcPr>
                <w:p w14:paraId="3CB5203B">
                  <w:pPr>
                    <w:widowControl/>
                    <w:jc w:val="center"/>
                    <w:textAlignment w:val="center"/>
                    <w:rPr>
                      <w:color w:val="auto"/>
                      <w:sz w:val="18"/>
                      <w:szCs w:val="18"/>
                    </w:rPr>
                  </w:pPr>
                  <w:r>
                    <w:rPr>
                      <w:color w:val="auto"/>
                      <w:kern w:val="0"/>
                      <w:sz w:val="18"/>
                      <w:szCs w:val="18"/>
                      <w:lang w:bidi="ar"/>
                    </w:rPr>
                    <w:t>4.53</w:t>
                  </w:r>
                </w:p>
              </w:tc>
              <w:tc>
                <w:tcPr>
                  <w:tcW w:w="434" w:type="pct"/>
                  <w:shd w:val="clear" w:color="auto" w:fill="FFFFFF"/>
                  <w:noWrap/>
                  <w:vAlign w:val="center"/>
                </w:tcPr>
                <w:p w14:paraId="0BA24C2E">
                  <w:pPr>
                    <w:widowControl/>
                    <w:jc w:val="center"/>
                    <w:textAlignment w:val="center"/>
                    <w:rPr>
                      <w:color w:val="auto"/>
                      <w:sz w:val="18"/>
                      <w:szCs w:val="18"/>
                    </w:rPr>
                  </w:pPr>
                  <w:r>
                    <w:rPr>
                      <w:color w:val="auto"/>
                      <w:kern w:val="0"/>
                      <w:sz w:val="18"/>
                      <w:szCs w:val="18"/>
                      <w:lang w:bidi="ar"/>
                    </w:rPr>
                    <w:t>35.525</w:t>
                  </w:r>
                </w:p>
              </w:tc>
              <w:tc>
                <w:tcPr>
                  <w:tcW w:w="364" w:type="pct"/>
                  <w:shd w:val="clear" w:color="auto" w:fill="FFFFFF"/>
                  <w:noWrap/>
                  <w:vAlign w:val="center"/>
                </w:tcPr>
                <w:p w14:paraId="6C5144E5">
                  <w:pPr>
                    <w:widowControl/>
                    <w:jc w:val="center"/>
                    <w:textAlignment w:val="center"/>
                    <w:rPr>
                      <w:color w:val="auto"/>
                      <w:sz w:val="18"/>
                      <w:szCs w:val="18"/>
                    </w:rPr>
                  </w:pPr>
                  <w:r>
                    <w:rPr>
                      <w:color w:val="auto"/>
                      <w:kern w:val="0"/>
                      <w:sz w:val="18"/>
                      <w:szCs w:val="18"/>
                      <w:lang w:bidi="ar"/>
                    </w:rPr>
                    <w:t>30.996</w:t>
                  </w:r>
                </w:p>
              </w:tc>
              <w:tc>
                <w:tcPr>
                  <w:tcW w:w="505" w:type="pct"/>
                  <w:shd w:val="clear" w:color="auto" w:fill="FFFFFF"/>
                  <w:noWrap/>
                  <w:vAlign w:val="center"/>
                </w:tcPr>
                <w:p w14:paraId="04CCEA46">
                  <w:pPr>
                    <w:widowControl/>
                    <w:jc w:val="center"/>
                    <w:textAlignment w:val="center"/>
                    <w:rPr>
                      <w:color w:val="auto"/>
                      <w:sz w:val="18"/>
                      <w:szCs w:val="18"/>
                    </w:rPr>
                  </w:pPr>
                  <w:r>
                    <w:rPr>
                      <w:color w:val="auto"/>
                      <w:kern w:val="0"/>
                      <w:sz w:val="18"/>
                      <w:szCs w:val="18"/>
                      <w:lang w:bidi="ar"/>
                    </w:rPr>
                    <w:t>/</w:t>
                  </w:r>
                </w:p>
              </w:tc>
            </w:tr>
            <w:tr w14:paraId="6C497D77">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39" w:type="pct"/>
                  <w:gridSpan w:val="2"/>
                  <w:vMerge w:val="continue"/>
                  <w:shd w:val="clear" w:color="auto" w:fill="FFFFFF"/>
                  <w:vAlign w:val="center"/>
                </w:tcPr>
                <w:p w14:paraId="07957DA1">
                  <w:pPr>
                    <w:jc w:val="center"/>
                    <w:rPr>
                      <w:color w:val="auto"/>
                      <w:sz w:val="18"/>
                      <w:szCs w:val="18"/>
                    </w:rPr>
                  </w:pPr>
                </w:p>
              </w:tc>
              <w:tc>
                <w:tcPr>
                  <w:tcW w:w="410" w:type="pct"/>
                  <w:shd w:val="clear" w:color="auto" w:fill="FFFFFF"/>
                  <w:noWrap/>
                  <w:vAlign w:val="center"/>
                </w:tcPr>
                <w:p w14:paraId="0D013F11">
                  <w:pPr>
                    <w:widowControl/>
                    <w:jc w:val="center"/>
                    <w:textAlignment w:val="center"/>
                    <w:rPr>
                      <w:color w:val="auto"/>
                      <w:sz w:val="18"/>
                      <w:szCs w:val="18"/>
                    </w:rPr>
                  </w:pPr>
                  <w:r>
                    <w:rPr>
                      <w:color w:val="auto"/>
                      <w:kern w:val="0"/>
                      <w:sz w:val="18"/>
                      <w:szCs w:val="18"/>
                      <w:lang w:bidi="ar"/>
                    </w:rPr>
                    <w:t>总铬</w:t>
                  </w:r>
                </w:p>
              </w:tc>
              <w:tc>
                <w:tcPr>
                  <w:tcW w:w="529" w:type="pct"/>
                  <w:shd w:val="clear" w:color="auto" w:fill="FFFFFF"/>
                  <w:noWrap/>
                  <w:vAlign w:val="center"/>
                </w:tcPr>
                <w:p w14:paraId="03DD1DC9">
                  <w:pPr>
                    <w:widowControl/>
                    <w:jc w:val="center"/>
                    <w:textAlignment w:val="center"/>
                    <w:rPr>
                      <w:color w:val="auto"/>
                      <w:sz w:val="18"/>
                      <w:szCs w:val="18"/>
                    </w:rPr>
                  </w:pPr>
                  <w:r>
                    <w:rPr>
                      <w:color w:val="auto"/>
                      <w:kern w:val="0"/>
                      <w:sz w:val="18"/>
                      <w:szCs w:val="18"/>
                      <w:lang w:bidi="ar"/>
                    </w:rPr>
                    <w:t>0</w:t>
                  </w:r>
                </w:p>
              </w:tc>
              <w:tc>
                <w:tcPr>
                  <w:tcW w:w="482" w:type="pct"/>
                  <w:shd w:val="clear" w:color="auto" w:fill="FFFFFF"/>
                  <w:vAlign w:val="center"/>
                </w:tcPr>
                <w:p w14:paraId="54CC5ABF">
                  <w:pPr>
                    <w:widowControl/>
                    <w:jc w:val="center"/>
                    <w:textAlignment w:val="center"/>
                    <w:rPr>
                      <w:color w:val="auto"/>
                      <w:sz w:val="18"/>
                      <w:szCs w:val="18"/>
                    </w:rPr>
                  </w:pPr>
                  <w:r>
                    <w:rPr>
                      <w:color w:val="auto"/>
                      <w:kern w:val="0"/>
                      <w:sz w:val="18"/>
                      <w:szCs w:val="18"/>
                      <w:lang w:bidi="ar"/>
                    </w:rPr>
                    <w:t>0.00007</w:t>
                  </w:r>
                </w:p>
              </w:tc>
              <w:tc>
                <w:tcPr>
                  <w:tcW w:w="529" w:type="pct"/>
                  <w:shd w:val="clear" w:color="auto" w:fill="FFFFFF"/>
                  <w:noWrap/>
                  <w:vAlign w:val="center"/>
                </w:tcPr>
                <w:p w14:paraId="3EC22A1A">
                  <w:pPr>
                    <w:widowControl/>
                    <w:jc w:val="center"/>
                    <w:textAlignment w:val="center"/>
                    <w:rPr>
                      <w:color w:val="auto"/>
                      <w:sz w:val="18"/>
                      <w:szCs w:val="18"/>
                    </w:rPr>
                  </w:pPr>
                  <w:r>
                    <w:rPr>
                      <w:color w:val="auto"/>
                      <w:kern w:val="0"/>
                      <w:sz w:val="18"/>
                      <w:szCs w:val="18"/>
                      <w:lang w:bidi="ar"/>
                    </w:rPr>
                    <w:t>0</w:t>
                  </w:r>
                </w:p>
              </w:tc>
              <w:tc>
                <w:tcPr>
                  <w:tcW w:w="482" w:type="pct"/>
                  <w:shd w:val="clear" w:color="auto" w:fill="FFFFFF"/>
                  <w:vAlign w:val="center"/>
                </w:tcPr>
                <w:p w14:paraId="39D603AF">
                  <w:pPr>
                    <w:widowControl/>
                    <w:jc w:val="center"/>
                    <w:textAlignment w:val="center"/>
                    <w:rPr>
                      <w:color w:val="auto"/>
                      <w:sz w:val="18"/>
                      <w:szCs w:val="18"/>
                    </w:rPr>
                  </w:pPr>
                  <w:r>
                    <w:rPr>
                      <w:color w:val="auto"/>
                      <w:kern w:val="0"/>
                      <w:sz w:val="18"/>
                      <w:szCs w:val="18"/>
                      <w:lang w:bidi="ar"/>
                    </w:rPr>
                    <w:t>0.000014</w:t>
                  </w:r>
                </w:p>
              </w:tc>
              <w:tc>
                <w:tcPr>
                  <w:tcW w:w="482" w:type="pct"/>
                  <w:shd w:val="clear" w:color="auto" w:fill="FFFFFF"/>
                  <w:noWrap/>
                  <w:vAlign w:val="center"/>
                </w:tcPr>
                <w:p w14:paraId="62581B0D">
                  <w:pPr>
                    <w:widowControl/>
                    <w:jc w:val="center"/>
                    <w:textAlignment w:val="center"/>
                    <w:rPr>
                      <w:color w:val="auto"/>
                      <w:sz w:val="18"/>
                      <w:szCs w:val="18"/>
                    </w:rPr>
                  </w:pPr>
                  <w:r>
                    <w:rPr>
                      <w:color w:val="auto"/>
                      <w:kern w:val="0"/>
                      <w:sz w:val="18"/>
                      <w:szCs w:val="18"/>
                      <w:lang w:bidi="ar"/>
                    </w:rPr>
                    <w:t>0</w:t>
                  </w:r>
                </w:p>
              </w:tc>
              <w:tc>
                <w:tcPr>
                  <w:tcW w:w="338" w:type="pct"/>
                  <w:shd w:val="clear" w:color="auto" w:fill="FFFFFF"/>
                  <w:vAlign w:val="center"/>
                </w:tcPr>
                <w:p w14:paraId="6912B0B0">
                  <w:pPr>
                    <w:widowControl/>
                    <w:jc w:val="center"/>
                    <w:textAlignment w:val="center"/>
                    <w:rPr>
                      <w:color w:val="auto"/>
                      <w:sz w:val="18"/>
                      <w:szCs w:val="18"/>
                    </w:rPr>
                  </w:pPr>
                  <w:r>
                    <w:rPr>
                      <w:color w:val="auto"/>
                      <w:kern w:val="0"/>
                      <w:sz w:val="18"/>
                      <w:szCs w:val="18"/>
                      <w:lang w:bidi="ar"/>
                    </w:rPr>
                    <w:t>0</w:t>
                  </w:r>
                </w:p>
              </w:tc>
              <w:tc>
                <w:tcPr>
                  <w:tcW w:w="434" w:type="pct"/>
                  <w:shd w:val="clear" w:color="auto" w:fill="FFFFFF"/>
                  <w:noWrap/>
                  <w:vAlign w:val="center"/>
                </w:tcPr>
                <w:p w14:paraId="0D115085">
                  <w:pPr>
                    <w:widowControl/>
                    <w:jc w:val="center"/>
                    <w:textAlignment w:val="center"/>
                    <w:rPr>
                      <w:color w:val="auto"/>
                      <w:sz w:val="18"/>
                      <w:szCs w:val="18"/>
                    </w:rPr>
                  </w:pPr>
                  <w:r>
                    <w:rPr>
                      <w:color w:val="auto"/>
                      <w:kern w:val="0"/>
                      <w:sz w:val="18"/>
                      <w:szCs w:val="18"/>
                      <w:lang w:bidi="ar"/>
                    </w:rPr>
                    <w:t>0</w:t>
                  </w:r>
                </w:p>
              </w:tc>
              <w:tc>
                <w:tcPr>
                  <w:tcW w:w="364" w:type="pct"/>
                  <w:shd w:val="clear" w:color="auto" w:fill="FFFFFF"/>
                  <w:noWrap/>
                  <w:vAlign w:val="center"/>
                </w:tcPr>
                <w:p w14:paraId="6C4AA61A">
                  <w:pPr>
                    <w:widowControl/>
                    <w:jc w:val="center"/>
                    <w:textAlignment w:val="center"/>
                    <w:rPr>
                      <w:color w:val="auto"/>
                      <w:sz w:val="18"/>
                      <w:szCs w:val="18"/>
                    </w:rPr>
                  </w:pPr>
                  <w:r>
                    <w:rPr>
                      <w:color w:val="auto"/>
                      <w:kern w:val="0"/>
                      <w:sz w:val="18"/>
                      <w:szCs w:val="18"/>
                      <w:lang w:bidi="ar"/>
                    </w:rPr>
                    <w:t>0.000056</w:t>
                  </w:r>
                </w:p>
              </w:tc>
              <w:tc>
                <w:tcPr>
                  <w:tcW w:w="505" w:type="pct"/>
                  <w:shd w:val="clear" w:color="auto" w:fill="FFFFFF"/>
                  <w:noWrap/>
                  <w:vAlign w:val="center"/>
                </w:tcPr>
                <w:p w14:paraId="06D31E99">
                  <w:pPr>
                    <w:widowControl/>
                    <w:jc w:val="center"/>
                    <w:textAlignment w:val="center"/>
                    <w:rPr>
                      <w:color w:val="auto"/>
                      <w:sz w:val="18"/>
                      <w:szCs w:val="18"/>
                    </w:rPr>
                  </w:pPr>
                  <w:r>
                    <w:rPr>
                      <w:color w:val="auto"/>
                      <w:kern w:val="0"/>
                      <w:sz w:val="18"/>
                      <w:szCs w:val="18"/>
                      <w:lang w:bidi="ar"/>
                    </w:rPr>
                    <w:t>/</w:t>
                  </w:r>
                </w:p>
              </w:tc>
            </w:tr>
            <w:tr w14:paraId="256F5037">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39" w:type="pct"/>
                  <w:gridSpan w:val="2"/>
                  <w:vMerge w:val="continue"/>
                  <w:shd w:val="clear" w:color="auto" w:fill="FFFFFF"/>
                  <w:vAlign w:val="center"/>
                </w:tcPr>
                <w:p w14:paraId="5A5F2CAC">
                  <w:pPr>
                    <w:jc w:val="center"/>
                    <w:rPr>
                      <w:color w:val="auto"/>
                      <w:sz w:val="18"/>
                      <w:szCs w:val="18"/>
                    </w:rPr>
                  </w:pPr>
                </w:p>
              </w:tc>
              <w:tc>
                <w:tcPr>
                  <w:tcW w:w="410" w:type="pct"/>
                  <w:shd w:val="clear" w:color="auto" w:fill="FFFFFF"/>
                  <w:noWrap/>
                  <w:vAlign w:val="center"/>
                </w:tcPr>
                <w:p w14:paraId="1041B8CD">
                  <w:pPr>
                    <w:widowControl/>
                    <w:jc w:val="center"/>
                    <w:textAlignment w:val="center"/>
                    <w:rPr>
                      <w:color w:val="auto"/>
                      <w:sz w:val="18"/>
                      <w:szCs w:val="18"/>
                    </w:rPr>
                  </w:pPr>
                  <w:r>
                    <w:rPr>
                      <w:color w:val="auto"/>
                      <w:kern w:val="0"/>
                      <w:sz w:val="18"/>
                      <w:szCs w:val="18"/>
                      <w:lang w:bidi="ar"/>
                    </w:rPr>
                    <w:t>总镍</w:t>
                  </w:r>
                </w:p>
              </w:tc>
              <w:tc>
                <w:tcPr>
                  <w:tcW w:w="529" w:type="pct"/>
                  <w:shd w:val="clear" w:color="auto" w:fill="FFFFFF"/>
                  <w:noWrap/>
                  <w:vAlign w:val="center"/>
                </w:tcPr>
                <w:p w14:paraId="445B3CAE">
                  <w:pPr>
                    <w:widowControl/>
                    <w:jc w:val="center"/>
                    <w:textAlignment w:val="center"/>
                    <w:rPr>
                      <w:color w:val="auto"/>
                      <w:sz w:val="18"/>
                      <w:szCs w:val="18"/>
                    </w:rPr>
                  </w:pPr>
                  <w:r>
                    <w:rPr>
                      <w:color w:val="auto"/>
                      <w:kern w:val="0"/>
                      <w:sz w:val="18"/>
                      <w:szCs w:val="18"/>
                      <w:lang w:bidi="ar"/>
                    </w:rPr>
                    <w:t>0</w:t>
                  </w:r>
                </w:p>
              </w:tc>
              <w:tc>
                <w:tcPr>
                  <w:tcW w:w="482" w:type="pct"/>
                  <w:shd w:val="clear" w:color="auto" w:fill="FFFFFF"/>
                  <w:vAlign w:val="center"/>
                </w:tcPr>
                <w:p w14:paraId="7B33BF7E">
                  <w:pPr>
                    <w:widowControl/>
                    <w:jc w:val="center"/>
                    <w:textAlignment w:val="center"/>
                    <w:rPr>
                      <w:color w:val="auto"/>
                      <w:sz w:val="18"/>
                      <w:szCs w:val="18"/>
                    </w:rPr>
                  </w:pPr>
                  <w:r>
                    <w:rPr>
                      <w:color w:val="auto"/>
                      <w:kern w:val="0"/>
                      <w:sz w:val="18"/>
                      <w:szCs w:val="18"/>
                      <w:lang w:bidi="ar"/>
                    </w:rPr>
                    <w:t>0.000405</w:t>
                  </w:r>
                </w:p>
              </w:tc>
              <w:tc>
                <w:tcPr>
                  <w:tcW w:w="529" w:type="pct"/>
                  <w:shd w:val="clear" w:color="auto" w:fill="FFFFFF"/>
                  <w:noWrap/>
                  <w:vAlign w:val="center"/>
                </w:tcPr>
                <w:p w14:paraId="0B462E47">
                  <w:pPr>
                    <w:widowControl/>
                    <w:jc w:val="center"/>
                    <w:textAlignment w:val="center"/>
                    <w:rPr>
                      <w:color w:val="auto"/>
                      <w:sz w:val="18"/>
                      <w:szCs w:val="18"/>
                    </w:rPr>
                  </w:pPr>
                  <w:r>
                    <w:rPr>
                      <w:color w:val="auto"/>
                      <w:kern w:val="0"/>
                      <w:sz w:val="18"/>
                      <w:szCs w:val="18"/>
                      <w:lang w:bidi="ar"/>
                    </w:rPr>
                    <w:t>0</w:t>
                  </w:r>
                </w:p>
              </w:tc>
              <w:tc>
                <w:tcPr>
                  <w:tcW w:w="482" w:type="pct"/>
                  <w:shd w:val="clear" w:color="auto" w:fill="FFFFFF"/>
                  <w:vAlign w:val="center"/>
                </w:tcPr>
                <w:p w14:paraId="1E6A03AE">
                  <w:pPr>
                    <w:widowControl/>
                    <w:jc w:val="center"/>
                    <w:textAlignment w:val="center"/>
                    <w:rPr>
                      <w:color w:val="auto"/>
                      <w:sz w:val="18"/>
                      <w:szCs w:val="18"/>
                    </w:rPr>
                  </w:pPr>
                  <w:r>
                    <w:rPr>
                      <w:color w:val="auto"/>
                      <w:kern w:val="0"/>
                      <w:sz w:val="18"/>
                      <w:szCs w:val="18"/>
                      <w:lang w:bidi="ar"/>
                    </w:rPr>
                    <w:t>0.000081</w:t>
                  </w:r>
                </w:p>
              </w:tc>
              <w:tc>
                <w:tcPr>
                  <w:tcW w:w="482" w:type="pct"/>
                  <w:shd w:val="clear" w:color="auto" w:fill="FFFFFF"/>
                  <w:noWrap/>
                  <w:vAlign w:val="center"/>
                </w:tcPr>
                <w:p w14:paraId="641BF24A">
                  <w:pPr>
                    <w:widowControl/>
                    <w:jc w:val="center"/>
                    <w:textAlignment w:val="center"/>
                    <w:rPr>
                      <w:color w:val="auto"/>
                      <w:sz w:val="18"/>
                      <w:szCs w:val="18"/>
                    </w:rPr>
                  </w:pPr>
                  <w:r>
                    <w:rPr>
                      <w:color w:val="auto"/>
                      <w:kern w:val="0"/>
                      <w:sz w:val="18"/>
                      <w:szCs w:val="18"/>
                      <w:lang w:bidi="ar"/>
                    </w:rPr>
                    <w:t>0</w:t>
                  </w:r>
                </w:p>
              </w:tc>
              <w:tc>
                <w:tcPr>
                  <w:tcW w:w="338" w:type="pct"/>
                  <w:shd w:val="clear" w:color="auto" w:fill="FFFFFF"/>
                  <w:vAlign w:val="center"/>
                </w:tcPr>
                <w:p w14:paraId="1F2AF70C">
                  <w:pPr>
                    <w:widowControl/>
                    <w:jc w:val="center"/>
                    <w:textAlignment w:val="center"/>
                    <w:rPr>
                      <w:color w:val="auto"/>
                      <w:sz w:val="18"/>
                      <w:szCs w:val="18"/>
                    </w:rPr>
                  </w:pPr>
                  <w:r>
                    <w:rPr>
                      <w:color w:val="auto"/>
                      <w:kern w:val="0"/>
                      <w:sz w:val="18"/>
                      <w:szCs w:val="18"/>
                      <w:lang w:bidi="ar"/>
                    </w:rPr>
                    <w:t>0</w:t>
                  </w:r>
                </w:p>
              </w:tc>
              <w:tc>
                <w:tcPr>
                  <w:tcW w:w="434" w:type="pct"/>
                  <w:shd w:val="clear" w:color="auto" w:fill="FFFFFF"/>
                  <w:noWrap/>
                  <w:vAlign w:val="center"/>
                </w:tcPr>
                <w:p w14:paraId="4E544BFE">
                  <w:pPr>
                    <w:widowControl/>
                    <w:jc w:val="center"/>
                    <w:textAlignment w:val="center"/>
                    <w:rPr>
                      <w:color w:val="auto"/>
                      <w:sz w:val="18"/>
                      <w:szCs w:val="18"/>
                    </w:rPr>
                  </w:pPr>
                  <w:r>
                    <w:rPr>
                      <w:color w:val="auto"/>
                      <w:kern w:val="0"/>
                      <w:sz w:val="18"/>
                      <w:szCs w:val="18"/>
                      <w:lang w:bidi="ar"/>
                    </w:rPr>
                    <w:t>0</w:t>
                  </w:r>
                </w:p>
              </w:tc>
              <w:tc>
                <w:tcPr>
                  <w:tcW w:w="364" w:type="pct"/>
                  <w:shd w:val="clear" w:color="auto" w:fill="FFFFFF"/>
                  <w:noWrap/>
                  <w:vAlign w:val="center"/>
                </w:tcPr>
                <w:p w14:paraId="12F437CD">
                  <w:pPr>
                    <w:widowControl/>
                    <w:jc w:val="center"/>
                    <w:textAlignment w:val="center"/>
                    <w:rPr>
                      <w:color w:val="auto"/>
                      <w:sz w:val="18"/>
                      <w:szCs w:val="18"/>
                    </w:rPr>
                  </w:pPr>
                  <w:r>
                    <w:rPr>
                      <w:color w:val="auto"/>
                      <w:kern w:val="0"/>
                      <w:sz w:val="18"/>
                      <w:szCs w:val="18"/>
                      <w:lang w:bidi="ar"/>
                    </w:rPr>
                    <w:t>0.000324</w:t>
                  </w:r>
                </w:p>
              </w:tc>
              <w:tc>
                <w:tcPr>
                  <w:tcW w:w="505" w:type="pct"/>
                  <w:shd w:val="clear" w:color="auto" w:fill="FFFFFF"/>
                  <w:noWrap/>
                  <w:vAlign w:val="center"/>
                </w:tcPr>
                <w:p w14:paraId="3E0D75DC">
                  <w:pPr>
                    <w:widowControl/>
                    <w:jc w:val="center"/>
                    <w:textAlignment w:val="center"/>
                    <w:rPr>
                      <w:color w:val="auto"/>
                      <w:sz w:val="18"/>
                      <w:szCs w:val="18"/>
                    </w:rPr>
                  </w:pPr>
                  <w:r>
                    <w:rPr>
                      <w:color w:val="auto"/>
                      <w:kern w:val="0"/>
                      <w:sz w:val="18"/>
                      <w:szCs w:val="18"/>
                      <w:lang w:bidi="ar"/>
                    </w:rPr>
                    <w:t>/</w:t>
                  </w:r>
                </w:p>
              </w:tc>
            </w:tr>
            <w:tr w14:paraId="1668C191">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39" w:type="pct"/>
                  <w:gridSpan w:val="2"/>
                  <w:vMerge w:val="continue"/>
                  <w:shd w:val="clear" w:color="auto" w:fill="FFFFFF"/>
                  <w:vAlign w:val="center"/>
                </w:tcPr>
                <w:p w14:paraId="3A6518E9">
                  <w:pPr>
                    <w:jc w:val="center"/>
                    <w:rPr>
                      <w:color w:val="auto"/>
                      <w:sz w:val="18"/>
                      <w:szCs w:val="18"/>
                    </w:rPr>
                  </w:pPr>
                </w:p>
              </w:tc>
              <w:tc>
                <w:tcPr>
                  <w:tcW w:w="410" w:type="pct"/>
                  <w:shd w:val="clear" w:color="auto" w:fill="FFFFFF"/>
                  <w:noWrap/>
                  <w:vAlign w:val="center"/>
                </w:tcPr>
                <w:p w14:paraId="53796EB2">
                  <w:pPr>
                    <w:widowControl/>
                    <w:jc w:val="center"/>
                    <w:textAlignment w:val="center"/>
                    <w:rPr>
                      <w:color w:val="auto"/>
                      <w:sz w:val="18"/>
                      <w:szCs w:val="18"/>
                    </w:rPr>
                  </w:pPr>
                  <w:r>
                    <w:rPr>
                      <w:color w:val="auto"/>
                      <w:kern w:val="0"/>
                      <w:sz w:val="18"/>
                      <w:szCs w:val="18"/>
                      <w:lang w:bidi="ar"/>
                    </w:rPr>
                    <w:t>总银</w:t>
                  </w:r>
                </w:p>
              </w:tc>
              <w:tc>
                <w:tcPr>
                  <w:tcW w:w="529" w:type="pct"/>
                  <w:shd w:val="clear" w:color="auto" w:fill="FFFFFF"/>
                  <w:noWrap/>
                  <w:vAlign w:val="center"/>
                </w:tcPr>
                <w:p w14:paraId="74988A83">
                  <w:pPr>
                    <w:widowControl/>
                    <w:jc w:val="center"/>
                    <w:textAlignment w:val="center"/>
                    <w:rPr>
                      <w:color w:val="auto"/>
                      <w:sz w:val="18"/>
                      <w:szCs w:val="18"/>
                    </w:rPr>
                  </w:pPr>
                  <w:r>
                    <w:rPr>
                      <w:color w:val="auto"/>
                      <w:kern w:val="0"/>
                      <w:sz w:val="18"/>
                      <w:szCs w:val="18"/>
                      <w:lang w:bidi="ar"/>
                    </w:rPr>
                    <w:t>0</w:t>
                  </w:r>
                </w:p>
              </w:tc>
              <w:tc>
                <w:tcPr>
                  <w:tcW w:w="482" w:type="pct"/>
                  <w:shd w:val="clear" w:color="auto" w:fill="FFFFFF"/>
                  <w:vAlign w:val="center"/>
                </w:tcPr>
                <w:p w14:paraId="1B06BA5B">
                  <w:pPr>
                    <w:widowControl/>
                    <w:jc w:val="center"/>
                    <w:textAlignment w:val="center"/>
                    <w:rPr>
                      <w:color w:val="auto"/>
                      <w:sz w:val="18"/>
                      <w:szCs w:val="18"/>
                    </w:rPr>
                  </w:pPr>
                  <w:r>
                    <w:rPr>
                      <w:color w:val="auto"/>
                      <w:kern w:val="0"/>
                      <w:sz w:val="18"/>
                      <w:szCs w:val="18"/>
                      <w:lang w:bidi="ar"/>
                    </w:rPr>
                    <w:t>0.000055</w:t>
                  </w:r>
                </w:p>
              </w:tc>
              <w:tc>
                <w:tcPr>
                  <w:tcW w:w="529" w:type="pct"/>
                  <w:shd w:val="clear" w:color="auto" w:fill="FFFFFF"/>
                  <w:noWrap/>
                  <w:vAlign w:val="center"/>
                </w:tcPr>
                <w:p w14:paraId="6C27E4C9">
                  <w:pPr>
                    <w:widowControl/>
                    <w:jc w:val="center"/>
                    <w:textAlignment w:val="center"/>
                    <w:rPr>
                      <w:color w:val="auto"/>
                      <w:sz w:val="18"/>
                      <w:szCs w:val="18"/>
                    </w:rPr>
                  </w:pPr>
                  <w:r>
                    <w:rPr>
                      <w:color w:val="auto"/>
                      <w:kern w:val="0"/>
                      <w:sz w:val="18"/>
                      <w:szCs w:val="18"/>
                      <w:lang w:bidi="ar"/>
                    </w:rPr>
                    <w:t>0</w:t>
                  </w:r>
                </w:p>
              </w:tc>
              <w:tc>
                <w:tcPr>
                  <w:tcW w:w="482" w:type="pct"/>
                  <w:shd w:val="clear" w:color="auto" w:fill="FFFFFF"/>
                  <w:vAlign w:val="center"/>
                </w:tcPr>
                <w:p w14:paraId="5180E7E8">
                  <w:pPr>
                    <w:widowControl/>
                    <w:jc w:val="center"/>
                    <w:textAlignment w:val="center"/>
                    <w:rPr>
                      <w:color w:val="auto"/>
                      <w:sz w:val="18"/>
                      <w:szCs w:val="18"/>
                    </w:rPr>
                  </w:pPr>
                  <w:r>
                    <w:rPr>
                      <w:color w:val="auto"/>
                      <w:kern w:val="0"/>
                      <w:sz w:val="18"/>
                      <w:szCs w:val="18"/>
                      <w:lang w:bidi="ar"/>
                    </w:rPr>
                    <w:t>0.000011</w:t>
                  </w:r>
                </w:p>
              </w:tc>
              <w:tc>
                <w:tcPr>
                  <w:tcW w:w="482" w:type="pct"/>
                  <w:shd w:val="clear" w:color="auto" w:fill="FFFFFF"/>
                  <w:noWrap/>
                  <w:vAlign w:val="center"/>
                </w:tcPr>
                <w:p w14:paraId="594D96E8">
                  <w:pPr>
                    <w:widowControl/>
                    <w:jc w:val="center"/>
                    <w:textAlignment w:val="center"/>
                    <w:rPr>
                      <w:color w:val="auto"/>
                      <w:sz w:val="18"/>
                      <w:szCs w:val="18"/>
                    </w:rPr>
                  </w:pPr>
                  <w:r>
                    <w:rPr>
                      <w:color w:val="auto"/>
                      <w:kern w:val="0"/>
                      <w:sz w:val="18"/>
                      <w:szCs w:val="18"/>
                      <w:lang w:bidi="ar"/>
                    </w:rPr>
                    <w:t>0</w:t>
                  </w:r>
                </w:p>
              </w:tc>
              <w:tc>
                <w:tcPr>
                  <w:tcW w:w="338" w:type="pct"/>
                  <w:shd w:val="clear" w:color="auto" w:fill="FFFFFF"/>
                  <w:vAlign w:val="center"/>
                </w:tcPr>
                <w:p w14:paraId="10A32424">
                  <w:pPr>
                    <w:widowControl/>
                    <w:jc w:val="center"/>
                    <w:textAlignment w:val="center"/>
                    <w:rPr>
                      <w:color w:val="auto"/>
                      <w:sz w:val="18"/>
                      <w:szCs w:val="18"/>
                    </w:rPr>
                  </w:pPr>
                  <w:r>
                    <w:rPr>
                      <w:color w:val="auto"/>
                      <w:kern w:val="0"/>
                      <w:sz w:val="18"/>
                      <w:szCs w:val="18"/>
                      <w:lang w:bidi="ar"/>
                    </w:rPr>
                    <w:t>0</w:t>
                  </w:r>
                </w:p>
              </w:tc>
              <w:tc>
                <w:tcPr>
                  <w:tcW w:w="434" w:type="pct"/>
                  <w:shd w:val="clear" w:color="auto" w:fill="FFFFFF"/>
                  <w:noWrap/>
                  <w:vAlign w:val="center"/>
                </w:tcPr>
                <w:p w14:paraId="5DAE3518">
                  <w:pPr>
                    <w:widowControl/>
                    <w:jc w:val="center"/>
                    <w:textAlignment w:val="center"/>
                    <w:rPr>
                      <w:color w:val="auto"/>
                      <w:sz w:val="18"/>
                      <w:szCs w:val="18"/>
                    </w:rPr>
                  </w:pPr>
                  <w:r>
                    <w:rPr>
                      <w:color w:val="auto"/>
                      <w:kern w:val="0"/>
                      <w:sz w:val="18"/>
                      <w:szCs w:val="18"/>
                      <w:lang w:bidi="ar"/>
                    </w:rPr>
                    <w:t>0</w:t>
                  </w:r>
                </w:p>
              </w:tc>
              <w:tc>
                <w:tcPr>
                  <w:tcW w:w="364" w:type="pct"/>
                  <w:shd w:val="clear" w:color="auto" w:fill="FFFFFF"/>
                  <w:noWrap/>
                  <w:vAlign w:val="center"/>
                </w:tcPr>
                <w:p w14:paraId="7F37C683">
                  <w:pPr>
                    <w:widowControl/>
                    <w:jc w:val="center"/>
                    <w:textAlignment w:val="center"/>
                    <w:rPr>
                      <w:color w:val="auto"/>
                      <w:sz w:val="18"/>
                      <w:szCs w:val="18"/>
                    </w:rPr>
                  </w:pPr>
                  <w:r>
                    <w:rPr>
                      <w:color w:val="auto"/>
                      <w:kern w:val="0"/>
                      <w:sz w:val="18"/>
                      <w:szCs w:val="18"/>
                      <w:lang w:bidi="ar"/>
                    </w:rPr>
                    <w:t>0.000044</w:t>
                  </w:r>
                </w:p>
              </w:tc>
              <w:tc>
                <w:tcPr>
                  <w:tcW w:w="505" w:type="pct"/>
                  <w:shd w:val="clear" w:color="auto" w:fill="FFFFFF"/>
                  <w:noWrap/>
                  <w:vAlign w:val="center"/>
                </w:tcPr>
                <w:p w14:paraId="19C785E7">
                  <w:pPr>
                    <w:widowControl/>
                    <w:jc w:val="center"/>
                    <w:textAlignment w:val="center"/>
                    <w:rPr>
                      <w:color w:val="auto"/>
                      <w:sz w:val="18"/>
                      <w:szCs w:val="18"/>
                    </w:rPr>
                  </w:pPr>
                  <w:r>
                    <w:rPr>
                      <w:color w:val="auto"/>
                      <w:kern w:val="0"/>
                      <w:sz w:val="18"/>
                      <w:szCs w:val="18"/>
                      <w:lang w:bidi="ar"/>
                    </w:rPr>
                    <w:t>/</w:t>
                  </w:r>
                </w:p>
              </w:tc>
            </w:tr>
            <w:tr w14:paraId="36F5602C">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39" w:type="pct"/>
                  <w:gridSpan w:val="2"/>
                  <w:vMerge w:val="continue"/>
                  <w:shd w:val="clear" w:color="auto" w:fill="FFFFFF"/>
                  <w:vAlign w:val="center"/>
                </w:tcPr>
                <w:p w14:paraId="4BD69890">
                  <w:pPr>
                    <w:jc w:val="center"/>
                    <w:rPr>
                      <w:color w:val="auto"/>
                      <w:sz w:val="18"/>
                      <w:szCs w:val="18"/>
                    </w:rPr>
                  </w:pPr>
                </w:p>
              </w:tc>
              <w:tc>
                <w:tcPr>
                  <w:tcW w:w="410" w:type="pct"/>
                  <w:shd w:val="clear" w:color="auto" w:fill="FFFFFF"/>
                  <w:noWrap/>
                  <w:vAlign w:val="center"/>
                </w:tcPr>
                <w:p w14:paraId="02A7B1B2">
                  <w:pPr>
                    <w:widowControl/>
                    <w:jc w:val="center"/>
                    <w:textAlignment w:val="center"/>
                    <w:rPr>
                      <w:color w:val="auto"/>
                      <w:sz w:val="18"/>
                      <w:szCs w:val="18"/>
                    </w:rPr>
                  </w:pPr>
                  <w:r>
                    <w:rPr>
                      <w:color w:val="auto"/>
                      <w:kern w:val="0"/>
                      <w:sz w:val="18"/>
                      <w:szCs w:val="18"/>
                      <w:lang w:bidi="ar"/>
                    </w:rPr>
                    <w:t>总铜</w:t>
                  </w:r>
                </w:p>
              </w:tc>
              <w:tc>
                <w:tcPr>
                  <w:tcW w:w="529" w:type="pct"/>
                  <w:shd w:val="clear" w:color="auto" w:fill="FFFFFF"/>
                  <w:noWrap/>
                  <w:vAlign w:val="center"/>
                </w:tcPr>
                <w:p w14:paraId="7658A3EC">
                  <w:pPr>
                    <w:widowControl/>
                    <w:jc w:val="center"/>
                    <w:textAlignment w:val="center"/>
                    <w:rPr>
                      <w:color w:val="auto"/>
                      <w:sz w:val="18"/>
                      <w:szCs w:val="18"/>
                    </w:rPr>
                  </w:pPr>
                  <w:r>
                    <w:rPr>
                      <w:color w:val="auto"/>
                      <w:kern w:val="0"/>
                      <w:sz w:val="18"/>
                      <w:szCs w:val="18"/>
                      <w:lang w:bidi="ar"/>
                    </w:rPr>
                    <w:t>0.002</w:t>
                  </w:r>
                </w:p>
              </w:tc>
              <w:tc>
                <w:tcPr>
                  <w:tcW w:w="482" w:type="pct"/>
                  <w:shd w:val="clear" w:color="auto" w:fill="FFFFFF"/>
                  <w:vAlign w:val="center"/>
                </w:tcPr>
                <w:p w14:paraId="41957FA9">
                  <w:pPr>
                    <w:widowControl/>
                    <w:jc w:val="center"/>
                    <w:textAlignment w:val="center"/>
                    <w:rPr>
                      <w:color w:val="auto"/>
                      <w:sz w:val="18"/>
                      <w:szCs w:val="18"/>
                    </w:rPr>
                  </w:pPr>
                  <w:r>
                    <w:rPr>
                      <w:color w:val="auto"/>
                      <w:kern w:val="0"/>
                      <w:sz w:val="18"/>
                      <w:szCs w:val="18"/>
                      <w:lang w:bidi="ar"/>
                    </w:rPr>
                    <w:t>0.00152</w:t>
                  </w:r>
                </w:p>
              </w:tc>
              <w:tc>
                <w:tcPr>
                  <w:tcW w:w="529" w:type="pct"/>
                  <w:shd w:val="clear" w:color="auto" w:fill="FFFFFF"/>
                  <w:noWrap/>
                  <w:vAlign w:val="center"/>
                </w:tcPr>
                <w:p w14:paraId="1F4F4898">
                  <w:pPr>
                    <w:widowControl/>
                    <w:jc w:val="center"/>
                    <w:textAlignment w:val="center"/>
                    <w:rPr>
                      <w:color w:val="auto"/>
                      <w:sz w:val="18"/>
                      <w:szCs w:val="18"/>
                    </w:rPr>
                  </w:pPr>
                  <w:r>
                    <w:rPr>
                      <w:color w:val="auto"/>
                      <w:kern w:val="0"/>
                      <w:sz w:val="18"/>
                      <w:szCs w:val="18"/>
                      <w:lang w:bidi="ar"/>
                    </w:rPr>
                    <w:t>0</w:t>
                  </w:r>
                </w:p>
              </w:tc>
              <w:tc>
                <w:tcPr>
                  <w:tcW w:w="482" w:type="pct"/>
                  <w:shd w:val="clear" w:color="auto" w:fill="FFFFFF"/>
                  <w:vAlign w:val="center"/>
                </w:tcPr>
                <w:p w14:paraId="3FA0ACA9">
                  <w:pPr>
                    <w:widowControl/>
                    <w:jc w:val="center"/>
                    <w:textAlignment w:val="center"/>
                    <w:rPr>
                      <w:color w:val="auto"/>
                      <w:sz w:val="18"/>
                      <w:szCs w:val="18"/>
                    </w:rPr>
                  </w:pPr>
                  <w:r>
                    <w:rPr>
                      <w:color w:val="auto"/>
                      <w:kern w:val="0"/>
                      <w:sz w:val="18"/>
                      <w:szCs w:val="18"/>
                      <w:lang w:bidi="ar"/>
                    </w:rPr>
                    <w:t>0.000304</w:t>
                  </w:r>
                </w:p>
              </w:tc>
              <w:tc>
                <w:tcPr>
                  <w:tcW w:w="482" w:type="pct"/>
                  <w:shd w:val="clear" w:color="auto" w:fill="FFFFFF"/>
                  <w:noWrap/>
                  <w:vAlign w:val="center"/>
                </w:tcPr>
                <w:p w14:paraId="120CA724">
                  <w:pPr>
                    <w:widowControl/>
                    <w:jc w:val="center"/>
                    <w:textAlignment w:val="center"/>
                    <w:rPr>
                      <w:color w:val="auto"/>
                      <w:sz w:val="18"/>
                      <w:szCs w:val="18"/>
                    </w:rPr>
                  </w:pPr>
                  <w:r>
                    <w:rPr>
                      <w:color w:val="auto"/>
                      <w:kern w:val="0"/>
                      <w:sz w:val="18"/>
                      <w:szCs w:val="18"/>
                      <w:lang w:bidi="ar"/>
                    </w:rPr>
                    <w:t>0</w:t>
                  </w:r>
                </w:p>
              </w:tc>
              <w:tc>
                <w:tcPr>
                  <w:tcW w:w="338" w:type="pct"/>
                  <w:shd w:val="clear" w:color="auto" w:fill="FFFFFF"/>
                  <w:vAlign w:val="center"/>
                </w:tcPr>
                <w:p w14:paraId="0A74B818">
                  <w:pPr>
                    <w:widowControl/>
                    <w:jc w:val="center"/>
                    <w:textAlignment w:val="center"/>
                    <w:rPr>
                      <w:color w:val="auto"/>
                      <w:sz w:val="18"/>
                      <w:szCs w:val="18"/>
                    </w:rPr>
                  </w:pPr>
                  <w:r>
                    <w:rPr>
                      <w:color w:val="auto"/>
                      <w:kern w:val="0"/>
                      <w:sz w:val="18"/>
                      <w:szCs w:val="18"/>
                      <w:lang w:bidi="ar"/>
                    </w:rPr>
                    <w:t>0</w:t>
                  </w:r>
                </w:p>
              </w:tc>
              <w:tc>
                <w:tcPr>
                  <w:tcW w:w="434" w:type="pct"/>
                  <w:shd w:val="clear" w:color="auto" w:fill="FFFFFF"/>
                  <w:noWrap/>
                  <w:vAlign w:val="center"/>
                </w:tcPr>
                <w:p w14:paraId="3AC7240C">
                  <w:pPr>
                    <w:widowControl/>
                    <w:jc w:val="center"/>
                    <w:textAlignment w:val="center"/>
                    <w:rPr>
                      <w:color w:val="auto"/>
                      <w:sz w:val="18"/>
                      <w:szCs w:val="18"/>
                    </w:rPr>
                  </w:pPr>
                  <w:r>
                    <w:rPr>
                      <w:color w:val="auto"/>
                      <w:kern w:val="0"/>
                      <w:sz w:val="18"/>
                      <w:szCs w:val="18"/>
                      <w:lang w:bidi="ar"/>
                    </w:rPr>
                    <w:t>0.001</w:t>
                  </w:r>
                </w:p>
              </w:tc>
              <w:tc>
                <w:tcPr>
                  <w:tcW w:w="364" w:type="pct"/>
                  <w:shd w:val="clear" w:color="auto" w:fill="FFFFFF"/>
                  <w:noWrap/>
                  <w:vAlign w:val="center"/>
                </w:tcPr>
                <w:p w14:paraId="04BEA419">
                  <w:pPr>
                    <w:widowControl/>
                    <w:jc w:val="center"/>
                    <w:textAlignment w:val="center"/>
                    <w:rPr>
                      <w:color w:val="auto"/>
                      <w:sz w:val="18"/>
                      <w:szCs w:val="18"/>
                    </w:rPr>
                  </w:pPr>
                  <w:r>
                    <w:rPr>
                      <w:color w:val="auto"/>
                      <w:kern w:val="0"/>
                      <w:sz w:val="18"/>
                      <w:szCs w:val="18"/>
                      <w:lang w:bidi="ar"/>
                    </w:rPr>
                    <w:t>0.001216</w:t>
                  </w:r>
                </w:p>
              </w:tc>
              <w:tc>
                <w:tcPr>
                  <w:tcW w:w="505" w:type="pct"/>
                  <w:shd w:val="clear" w:color="auto" w:fill="FFFFFF"/>
                  <w:noWrap/>
                  <w:vAlign w:val="center"/>
                </w:tcPr>
                <w:p w14:paraId="20AA0E5A">
                  <w:pPr>
                    <w:widowControl/>
                    <w:jc w:val="center"/>
                    <w:textAlignment w:val="center"/>
                    <w:rPr>
                      <w:color w:val="auto"/>
                      <w:sz w:val="18"/>
                      <w:szCs w:val="18"/>
                    </w:rPr>
                  </w:pPr>
                  <w:r>
                    <w:rPr>
                      <w:color w:val="auto"/>
                      <w:kern w:val="0"/>
                      <w:sz w:val="18"/>
                      <w:szCs w:val="18"/>
                      <w:lang w:bidi="ar"/>
                    </w:rPr>
                    <w:t>/</w:t>
                  </w:r>
                </w:p>
              </w:tc>
            </w:tr>
            <w:tr w14:paraId="10A26482">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39" w:type="pct"/>
                  <w:gridSpan w:val="2"/>
                  <w:vMerge w:val="continue"/>
                  <w:shd w:val="clear" w:color="auto" w:fill="FFFFFF"/>
                  <w:vAlign w:val="center"/>
                </w:tcPr>
                <w:p w14:paraId="7E774AC7">
                  <w:pPr>
                    <w:jc w:val="center"/>
                    <w:rPr>
                      <w:color w:val="auto"/>
                      <w:sz w:val="18"/>
                      <w:szCs w:val="18"/>
                    </w:rPr>
                  </w:pPr>
                </w:p>
              </w:tc>
              <w:tc>
                <w:tcPr>
                  <w:tcW w:w="410" w:type="pct"/>
                  <w:shd w:val="clear" w:color="auto" w:fill="FFFFFF"/>
                  <w:noWrap/>
                  <w:vAlign w:val="center"/>
                </w:tcPr>
                <w:p w14:paraId="417CA97B">
                  <w:pPr>
                    <w:widowControl/>
                    <w:jc w:val="center"/>
                    <w:textAlignment w:val="center"/>
                    <w:rPr>
                      <w:color w:val="auto"/>
                      <w:sz w:val="18"/>
                      <w:szCs w:val="18"/>
                    </w:rPr>
                  </w:pPr>
                  <w:r>
                    <w:rPr>
                      <w:color w:val="auto"/>
                      <w:kern w:val="0"/>
                      <w:sz w:val="18"/>
                      <w:szCs w:val="18"/>
                      <w:lang w:bidi="ar"/>
                    </w:rPr>
                    <w:t>总锌</w:t>
                  </w:r>
                </w:p>
              </w:tc>
              <w:tc>
                <w:tcPr>
                  <w:tcW w:w="529" w:type="pct"/>
                  <w:shd w:val="clear" w:color="auto" w:fill="FFFFFF"/>
                  <w:noWrap/>
                  <w:vAlign w:val="center"/>
                </w:tcPr>
                <w:p w14:paraId="667EB0D1">
                  <w:pPr>
                    <w:widowControl/>
                    <w:jc w:val="center"/>
                    <w:textAlignment w:val="center"/>
                    <w:rPr>
                      <w:color w:val="auto"/>
                      <w:sz w:val="18"/>
                      <w:szCs w:val="18"/>
                    </w:rPr>
                  </w:pPr>
                  <w:r>
                    <w:rPr>
                      <w:color w:val="auto"/>
                      <w:kern w:val="0"/>
                      <w:sz w:val="18"/>
                      <w:szCs w:val="18"/>
                      <w:lang w:bidi="ar"/>
                    </w:rPr>
                    <w:t>0</w:t>
                  </w:r>
                </w:p>
              </w:tc>
              <w:tc>
                <w:tcPr>
                  <w:tcW w:w="482" w:type="pct"/>
                  <w:shd w:val="clear" w:color="auto" w:fill="FFFFFF"/>
                  <w:vAlign w:val="center"/>
                </w:tcPr>
                <w:p w14:paraId="255239AA">
                  <w:pPr>
                    <w:widowControl/>
                    <w:jc w:val="center"/>
                    <w:textAlignment w:val="center"/>
                    <w:rPr>
                      <w:color w:val="auto"/>
                      <w:sz w:val="18"/>
                      <w:szCs w:val="18"/>
                    </w:rPr>
                  </w:pPr>
                  <w:r>
                    <w:rPr>
                      <w:color w:val="auto"/>
                      <w:kern w:val="0"/>
                      <w:sz w:val="18"/>
                      <w:szCs w:val="18"/>
                      <w:lang w:bidi="ar"/>
                    </w:rPr>
                    <w:t>0.00011</w:t>
                  </w:r>
                </w:p>
              </w:tc>
              <w:tc>
                <w:tcPr>
                  <w:tcW w:w="529" w:type="pct"/>
                  <w:shd w:val="clear" w:color="auto" w:fill="FFFFFF"/>
                  <w:noWrap/>
                  <w:vAlign w:val="center"/>
                </w:tcPr>
                <w:p w14:paraId="5E7AEC46">
                  <w:pPr>
                    <w:widowControl/>
                    <w:jc w:val="center"/>
                    <w:textAlignment w:val="center"/>
                    <w:rPr>
                      <w:color w:val="auto"/>
                      <w:sz w:val="18"/>
                      <w:szCs w:val="18"/>
                    </w:rPr>
                  </w:pPr>
                  <w:r>
                    <w:rPr>
                      <w:color w:val="auto"/>
                      <w:kern w:val="0"/>
                      <w:sz w:val="18"/>
                      <w:szCs w:val="18"/>
                      <w:lang w:bidi="ar"/>
                    </w:rPr>
                    <w:t>0</w:t>
                  </w:r>
                </w:p>
              </w:tc>
              <w:tc>
                <w:tcPr>
                  <w:tcW w:w="482" w:type="pct"/>
                  <w:shd w:val="clear" w:color="auto" w:fill="FFFFFF"/>
                  <w:vAlign w:val="center"/>
                </w:tcPr>
                <w:p w14:paraId="2CC71824">
                  <w:pPr>
                    <w:widowControl/>
                    <w:jc w:val="center"/>
                    <w:textAlignment w:val="center"/>
                    <w:rPr>
                      <w:color w:val="auto"/>
                      <w:sz w:val="18"/>
                      <w:szCs w:val="18"/>
                    </w:rPr>
                  </w:pPr>
                  <w:r>
                    <w:rPr>
                      <w:color w:val="auto"/>
                      <w:kern w:val="0"/>
                      <w:sz w:val="18"/>
                      <w:szCs w:val="18"/>
                      <w:lang w:bidi="ar"/>
                    </w:rPr>
                    <w:t>0.000022</w:t>
                  </w:r>
                </w:p>
              </w:tc>
              <w:tc>
                <w:tcPr>
                  <w:tcW w:w="482" w:type="pct"/>
                  <w:shd w:val="clear" w:color="auto" w:fill="FFFFFF"/>
                  <w:noWrap/>
                  <w:vAlign w:val="center"/>
                </w:tcPr>
                <w:p w14:paraId="6CF5E754">
                  <w:pPr>
                    <w:widowControl/>
                    <w:jc w:val="center"/>
                    <w:textAlignment w:val="center"/>
                    <w:rPr>
                      <w:color w:val="auto"/>
                      <w:sz w:val="18"/>
                      <w:szCs w:val="18"/>
                    </w:rPr>
                  </w:pPr>
                  <w:r>
                    <w:rPr>
                      <w:color w:val="auto"/>
                      <w:kern w:val="0"/>
                      <w:sz w:val="18"/>
                      <w:szCs w:val="18"/>
                      <w:lang w:bidi="ar"/>
                    </w:rPr>
                    <w:t>0</w:t>
                  </w:r>
                </w:p>
              </w:tc>
              <w:tc>
                <w:tcPr>
                  <w:tcW w:w="338" w:type="pct"/>
                  <w:shd w:val="clear" w:color="auto" w:fill="FFFFFF"/>
                  <w:vAlign w:val="center"/>
                </w:tcPr>
                <w:p w14:paraId="30B881F2">
                  <w:pPr>
                    <w:widowControl/>
                    <w:jc w:val="center"/>
                    <w:textAlignment w:val="center"/>
                    <w:rPr>
                      <w:color w:val="auto"/>
                      <w:sz w:val="18"/>
                      <w:szCs w:val="18"/>
                    </w:rPr>
                  </w:pPr>
                  <w:r>
                    <w:rPr>
                      <w:color w:val="auto"/>
                      <w:kern w:val="0"/>
                      <w:sz w:val="18"/>
                      <w:szCs w:val="18"/>
                      <w:lang w:bidi="ar"/>
                    </w:rPr>
                    <w:t>0</w:t>
                  </w:r>
                </w:p>
              </w:tc>
              <w:tc>
                <w:tcPr>
                  <w:tcW w:w="434" w:type="pct"/>
                  <w:shd w:val="clear" w:color="auto" w:fill="FFFFFF"/>
                  <w:noWrap/>
                  <w:vAlign w:val="center"/>
                </w:tcPr>
                <w:p w14:paraId="315DE147">
                  <w:pPr>
                    <w:widowControl/>
                    <w:jc w:val="center"/>
                    <w:textAlignment w:val="center"/>
                    <w:rPr>
                      <w:color w:val="auto"/>
                      <w:sz w:val="18"/>
                      <w:szCs w:val="18"/>
                    </w:rPr>
                  </w:pPr>
                  <w:r>
                    <w:rPr>
                      <w:color w:val="auto"/>
                      <w:kern w:val="0"/>
                      <w:sz w:val="18"/>
                      <w:szCs w:val="18"/>
                      <w:lang w:bidi="ar"/>
                    </w:rPr>
                    <w:t>0</w:t>
                  </w:r>
                </w:p>
              </w:tc>
              <w:tc>
                <w:tcPr>
                  <w:tcW w:w="364" w:type="pct"/>
                  <w:shd w:val="clear" w:color="auto" w:fill="FFFFFF"/>
                  <w:noWrap/>
                  <w:vAlign w:val="center"/>
                </w:tcPr>
                <w:p w14:paraId="79983BC1">
                  <w:pPr>
                    <w:widowControl/>
                    <w:jc w:val="center"/>
                    <w:textAlignment w:val="center"/>
                    <w:rPr>
                      <w:color w:val="auto"/>
                      <w:sz w:val="18"/>
                      <w:szCs w:val="18"/>
                    </w:rPr>
                  </w:pPr>
                  <w:r>
                    <w:rPr>
                      <w:color w:val="auto"/>
                      <w:kern w:val="0"/>
                      <w:sz w:val="18"/>
                      <w:szCs w:val="18"/>
                      <w:lang w:bidi="ar"/>
                    </w:rPr>
                    <w:t>0.000088</w:t>
                  </w:r>
                </w:p>
              </w:tc>
              <w:tc>
                <w:tcPr>
                  <w:tcW w:w="505" w:type="pct"/>
                  <w:shd w:val="clear" w:color="auto" w:fill="FFFFFF"/>
                  <w:noWrap/>
                  <w:vAlign w:val="center"/>
                </w:tcPr>
                <w:p w14:paraId="60394895">
                  <w:pPr>
                    <w:widowControl/>
                    <w:jc w:val="center"/>
                    <w:textAlignment w:val="center"/>
                    <w:rPr>
                      <w:color w:val="auto"/>
                      <w:sz w:val="18"/>
                      <w:szCs w:val="18"/>
                    </w:rPr>
                  </w:pPr>
                  <w:r>
                    <w:rPr>
                      <w:color w:val="auto"/>
                      <w:kern w:val="0"/>
                      <w:sz w:val="18"/>
                      <w:szCs w:val="18"/>
                      <w:lang w:bidi="ar"/>
                    </w:rPr>
                    <w:t>/</w:t>
                  </w:r>
                </w:p>
              </w:tc>
            </w:tr>
            <w:tr w14:paraId="621BE16A">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39" w:type="pct"/>
                  <w:gridSpan w:val="2"/>
                  <w:vMerge w:val="continue"/>
                  <w:shd w:val="clear" w:color="auto" w:fill="FFFFFF"/>
                  <w:vAlign w:val="center"/>
                </w:tcPr>
                <w:p w14:paraId="40F683AD">
                  <w:pPr>
                    <w:jc w:val="center"/>
                    <w:rPr>
                      <w:color w:val="auto"/>
                      <w:sz w:val="18"/>
                      <w:szCs w:val="18"/>
                    </w:rPr>
                  </w:pPr>
                </w:p>
              </w:tc>
              <w:tc>
                <w:tcPr>
                  <w:tcW w:w="410" w:type="pct"/>
                  <w:shd w:val="clear" w:color="auto" w:fill="FFFFFF"/>
                  <w:noWrap/>
                  <w:vAlign w:val="center"/>
                </w:tcPr>
                <w:p w14:paraId="4C266361">
                  <w:pPr>
                    <w:widowControl/>
                    <w:jc w:val="center"/>
                    <w:textAlignment w:val="center"/>
                    <w:rPr>
                      <w:color w:val="auto"/>
                      <w:sz w:val="18"/>
                      <w:szCs w:val="18"/>
                    </w:rPr>
                  </w:pPr>
                  <w:r>
                    <w:rPr>
                      <w:color w:val="auto"/>
                      <w:kern w:val="0"/>
                      <w:sz w:val="18"/>
                      <w:szCs w:val="18"/>
                      <w:lang w:bidi="ar"/>
                    </w:rPr>
                    <w:t>总锰</w:t>
                  </w:r>
                </w:p>
              </w:tc>
              <w:tc>
                <w:tcPr>
                  <w:tcW w:w="529" w:type="pct"/>
                  <w:shd w:val="clear" w:color="auto" w:fill="FFFFFF"/>
                  <w:noWrap/>
                  <w:vAlign w:val="center"/>
                </w:tcPr>
                <w:p w14:paraId="77BF70C7">
                  <w:pPr>
                    <w:widowControl/>
                    <w:jc w:val="center"/>
                    <w:textAlignment w:val="center"/>
                    <w:rPr>
                      <w:color w:val="auto"/>
                      <w:sz w:val="18"/>
                      <w:szCs w:val="18"/>
                    </w:rPr>
                  </w:pPr>
                  <w:r>
                    <w:rPr>
                      <w:color w:val="auto"/>
                      <w:kern w:val="0"/>
                      <w:sz w:val="18"/>
                      <w:szCs w:val="18"/>
                      <w:lang w:bidi="ar"/>
                    </w:rPr>
                    <w:t>0</w:t>
                  </w:r>
                </w:p>
              </w:tc>
              <w:tc>
                <w:tcPr>
                  <w:tcW w:w="482" w:type="pct"/>
                  <w:shd w:val="clear" w:color="auto" w:fill="FFFFFF"/>
                  <w:vAlign w:val="center"/>
                </w:tcPr>
                <w:p w14:paraId="06567BC1">
                  <w:pPr>
                    <w:widowControl/>
                    <w:jc w:val="center"/>
                    <w:textAlignment w:val="center"/>
                    <w:rPr>
                      <w:color w:val="auto"/>
                      <w:sz w:val="18"/>
                      <w:szCs w:val="18"/>
                    </w:rPr>
                  </w:pPr>
                  <w:r>
                    <w:rPr>
                      <w:color w:val="auto"/>
                      <w:kern w:val="0"/>
                      <w:sz w:val="18"/>
                      <w:szCs w:val="18"/>
                      <w:lang w:bidi="ar"/>
                    </w:rPr>
                    <w:t>0.00003</w:t>
                  </w:r>
                </w:p>
              </w:tc>
              <w:tc>
                <w:tcPr>
                  <w:tcW w:w="529" w:type="pct"/>
                  <w:shd w:val="clear" w:color="auto" w:fill="FFFFFF"/>
                  <w:noWrap/>
                  <w:vAlign w:val="center"/>
                </w:tcPr>
                <w:p w14:paraId="3ED65F86">
                  <w:pPr>
                    <w:widowControl/>
                    <w:jc w:val="center"/>
                    <w:textAlignment w:val="center"/>
                    <w:rPr>
                      <w:color w:val="auto"/>
                      <w:sz w:val="18"/>
                      <w:szCs w:val="18"/>
                    </w:rPr>
                  </w:pPr>
                  <w:r>
                    <w:rPr>
                      <w:color w:val="auto"/>
                      <w:kern w:val="0"/>
                      <w:sz w:val="18"/>
                      <w:szCs w:val="18"/>
                      <w:lang w:bidi="ar"/>
                    </w:rPr>
                    <w:t>0</w:t>
                  </w:r>
                </w:p>
              </w:tc>
              <w:tc>
                <w:tcPr>
                  <w:tcW w:w="482" w:type="pct"/>
                  <w:shd w:val="clear" w:color="auto" w:fill="FFFFFF"/>
                  <w:vAlign w:val="center"/>
                </w:tcPr>
                <w:p w14:paraId="411B6B4D">
                  <w:pPr>
                    <w:widowControl/>
                    <w:jc w:val="center"/>
                    <w:textAlignment w:val="center"/>
                    <w:rPr>
                      <w:color w:val="auto"/>
                      <w:sz w:val="18"/>
                      <w:szCs w:val="18"/>
                    </w:rPr>
                  </w:pPr>
                  <w:r>
                    <w:rPr>
                      <w:color w:val="auto"/>
                      <w:kern w:val="0"/>
                      <w:sz w:val="18"/>
                      <w:szCs w:val="18"/>
                      <w:lang w:bidi="ar"/>
                    </w:rPr>
                    <w:t>0.000006</w:t>
                  </w:r>
                </w:p>
              </w:tc>
              <w:tc>
                <w:tcPr>
                  <w:tcW w:w="482" w:type="pct"/>
                  <w:shd w:val="clear" w:color="auto" w:fill="FFFFFF"/>
                  <w:noWrap/>
                  <w:vAlign w:val="center"/>
                </w:tcPr>
                <w:p w14:paraId="53F037B9">
                  <w:pPr>
                    <w:widowControl/>
                    <w:jc w:val="center"/>
                    <w:textAlignment w:val="center"/>
                    <w:rPr>
                      <w:color w:val="auto"/>
                      <w:sz w:val="18"/>
                      <w:szCs w:val="18"/>
                    </w:rPr>
                  </w:pPr>
                  <w:r>
                    <w:rPr>
                      <w:color w:val="auto"/>
                      <w:kern w:val="0"/>
                      <w:sz w:val="18"/>
                      <w:szCs w:val="18"/>
                      <w:lang w:bidi="ar"/>
                    </w:rPr>
                    <w:t>0</w:t>
                  </w:r>
                </w:p>
              </w:tc>
              <w:tc>
                <w:tcPr>
                  <w:tcW w:w="338" w:type="pct"/>
                  <w:shd w:val="clear" w:color="auto" w:fill="FFFFFF"/>
                  <w:vAlign w:val="center"/>
                </w:tcPr>
                <w:p w14:paraId="41968A60">
                  <w:pPr>
                    <w:widowControl/>
                    <w:jc w:val="center"/>
                    <w:textAlignment w:val="center"/>
                    <w:rPr>
                      <w:color w:val="auto"/>
                      <w:sz w:val="18"/>
                      <w:szCs w:val="18"/>
                    </w:rPr>
                  </w:pPr>
                  <w:r>
                    <w:rPr>
                      <w:color w:val="auto"/>
                      <w:kern w:val="0"/>
                      <w:sz w:val="18"/>
                      <w:szCs w:val="18"/>
                      <w:lang w:bidi="ar"/>
                    </w:rPr>
                    <w:t>0</w:t>
                  </w:r>
                </w:p>
              </w:tc>
              <w:tc>
                <w:tcPr>
                  <w:tcW w:w="434" w:type="pct"/>
                  <w:shd w:val="clear" w:color="auto" w:fill="FFFFFF"/>
                  <w:noWrap/>
                  <w:vAlign w:val="center"/>
                </w:tcPr>
                <w:p w14:paraId="47475A5E">
                  <w:pPr>
                    <w:widowControl/>
                    <w:jc w:val="center"/>
                    <w:textAlignment w:val="center"/>
                    <w:rPr>
                      <w:color w:val="auto"/>
                      <w:sz w:val="18"/>
                      <w:szCs w:val="18"/>
                    </w:rPr>
                  </w:pPr>
                  <w:r>
                    <w:rPr>
                      <w:color w:val="auto"/>
                      <w:kern w:val="0"/>
                      <w:sz w:val="18"/>
                      <w:szCs w:val="18"/>
                      <w:lang w:bidi="ar"/>
                    </w:rPr>
                    <w:t>0</w:t>
                  </w:r>
                </w:p>
              </w:tc>
              <w:tc>
                <w:tcPr>
                  <w:tcW w:w="364" w:type="pct"/>
                  <w:shd w:val="clear" w:color="auto" w:fill="FFFFFF"/>
                  <w:noWrap/>
                  <w:vAlign w:val="center"/>
                </w:tcPr>
                <w:p w14:paraId="1762ABA8">
                  <w:pPr>
                    <w:widowControl/>
                    <w:jc w:val="center"/>
                    <w:textAlignment w:val="center"/>
                    <w:rPr>
                      <w:color w:val="auto"/>
                      <w:sz w:val="18"/>
                      <w:szCs w:val="18"/>
                    </w:rPr>
                  </w:pPr>
                  <w:r>
                    <w:rPr>
                      <w:color w:val="auto"/>
                      <w:kern w:val="0"/>
                      <w:sz w:val="18"/>
                      <w:szCs w:val="18"/>
                      <w:lang w:bidi="ar"/>
                    </w:rPr>
                    <w:t>0.000024</w:t>
                  </w:r>
                </w:p>
              </w:tc>
              <w:tc>
                <w:tcPr>
                  <w:tcW w:w="505" w:type="pct"/>
                  <w:shd w:val="clear" w:color="auto" w:fill="FFFFFF"/>
                  <w:noWrap/>
                  <w:vAlign w:val="center"/>
                </w:tcPr>
                <w:p w14:paraId="3F6007E6">
                  <w:pPr>
                    <w:widowControl/>
                    <w:jc w:val="center"/>
                    <w:textAlignment w:val="center"/>
                    <w:rPr>
                      <w:color w:val="auto"/>
                      <w:sz w:val="18"/>
                      <w:szCs w:val="18"/>
                    </w:rPr>
                  </w:pPr>
                  <w:r>
                    <w:rPr>
                      <w:color w:val="auto"/>
                      <w:kern w:val="0"/>
                      <w:sz w:val="18"/>
                      <w:szCs w:val="18"/>
                      <w:lang w:bidi="ar"/>
                    </w:rPr>
                    <w:t>/</w:t>
                  </w:r>
                </w:p>
              </w:tc>
            </w:tr>
            <w:tr w14:paraId="065EEB3D">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39" w:type="pct"/>
                  <w:gridSpan w:val="2"/>
                  <w:vMerge w:val="continue"/>
                  <w:shd w:val="clear" w:color="auto" w:fill="FFFFFF"/>
                  <w:vAlign w:val="center"/>
                </w:tcPr>
                <w:p w14:paraId="62A377B2">
                  <w:pPr>
                    <w:jc w:val="center"/>
                    <w:rPr>
                      <w:color w:val="auto"/>
                      <w:sz w:val="18"/>
                      <w:szCs w:val="18"/>
                    </w:rPr>
                  </w:pPr>
                </w:p>
              </w:tc>
              <w:tc>
                <w:tcPr>
                  <w:tcW w:w="410" w:type="pct"/>
                  <w:shd w:val="clear" w:color="auto" w:fill="FFFFFF"/>
                  <w:noWrap/>
                  <w:vAlign w:val="center"/>
                </w:tcPr>
                <w:p w14:paraId="3433DFDA">
                  <w:pPr>
                    <w:widowControl/>
                    <w:jc w:val="center"/>
                    <w:textAlignment w:val="center"/>
                    <w:rPr>
                      <w:color w:val="auto"/>
                      <w:sz w:val="18"/>
                      <w:szCs w:val="18"/>
                    </w:rPr>
                  </w:pPr>
                  <w:r>
                    <w:rPr>
                      <w:color w:val="auto"/>
                      <w:kern w:val="0"/>
                      <w:sz w:val="18"/>
                      <w:szCs w:val="18"/>
                      <w:lang w:bidi="ar"/>
                    </w:rPr>
                    <w:t>总钴</w:t>
                  </w:r>
                </w:p>
              </w:tc>
              <w:tc>
                <w:tcPr>
                  <w:tcW w:w="529" w:type="pct"/>
                  <w:shd w:val="clear" w:color="auto" w:fill="FFFFFF"/>
                  <w:noWrap/>
                  <w:vAlign w:val="center"/>
                </w:tcPr>
                <w:p w14:paraId="451F6F28">
                  <w:pPr>
                    <w:widowControl/>
                    <w:jc w:val="center"/>
                    <w:textAlignment w:val="center"/>
                    <w:rPr>
                      <w:color w:val="auto"/>
                      <w:sz w:val="18"/>
                      <w:szCs w:val="18"/>
                    </w:rPr>
                  </w:pPr>
                  <w:r>
                    <w:rPr>
                      <w:color w:val="auto"/>
                      <w:kern w:val="0"/>
                      <w:sz w:val="18"/>
                      <w:szCs w:val="18"/>
                      <w:lang w:bidi="ar"/>
                    </w:rPr>
                    <w:t>0</w:t>
                  </w:r>
                </w:p>
              </w:tc>
              <w:tc>
                <w:tcPr>
                  <w:tcW w:w="482" w:type="pct"/>
                  <w:shd w:val="clear" w:color="auto" w:fill="FFFFFF"/>
                  <w:vAlign w:val="center"/>
                </w:tcPr>
                <w:p w14:paraId="61F83DE0">
                  <w:pPr>
                    <w:widowControl/>
                    <w:jc w:val="center"/>
                    <w:textAlignment w:val="center"/>
                    <w:rPr>
                      <w:color w:val="auto"/>
                      <w:sz w:val="18"/>
                      <w:szCs w:val="18"/>
                    </w:rPr>
                  </w:pPr>
                  <w:r>
                    <w:rPr>
                      <w:color w:val="auto"/>
                      <w:kern w:val="0"/>
                      <w:sz w:val="18"/>
                      <w:szCs w:val="18"/>
                      <w:lang w:bidi="ar"/>
                    </w:rPr>
                    <w:t>0.00004</w:t>
                  </w:r>
                </w:p>
              </w:tc>
              <w:tc>
                <w:tcPr>
                  <w:tcW w:w="529" w:type="pct"/>
                  <w:shd w:val="clear" w:color="auto" w:fill="FFFFFF"/>
                  <w:noWrap/>
                  <w:vAlign w:val="center"/>
                </w:tcPr>
                <w:p w14:paraId="0B6AAD3E">
                  <w:pPr>
                    <w:widowControl/>
                    <w:jc w:val="center"/>
                    <w:textAlignment w:val="center"/>
                    <w:rPr>
                      <w:color w:val="auto"/>
                      <w:sz w:val="18"/>
                      <w:szCs w:val="18"/>
                    </w:rPr>
                  </w:pPr>
                  <w:r>
                    <w:rPr>
                      <w:color w:val="auto"/>
                      <w:kern w:val="0"/>
                      <w:sz w:val="18"/>
                      <w:szCs w:val="18"/>
                      <w:lang w:bidi="ar"/>
                    </w:rPr>
                    <w:t>0</w:t>
                  </w:r>
                </w:p>
              </w:tc>
              <w:tc>
                <w:tcPr>
                  <w:tcW w:w="482" w:type="pct"/>
                  <w:shd w:val="clear" w:color="auto" w:fill="FFFFFF"/>
                  <w:vAlign w:val="center"/>
                </w:tcPr>
                <w:p w14:paraId="1684E876">
                  <w:pPr>
                    <w:widowControl/>
                    <w:jc w:val="center"/>
                    <w:textAlignment w:val="center"/>
                    <w:rPr>
                      <w:color w:val="auto"/>
                      <w:sz w:val="18"/>
                      <w:szCs w:val="18"/>
                    </w:rPr>
                  </w:pPr>
                  <w:r>
                    <w:rPr>
                      <w:color w:val="auto"/>
                      <w:kern w:val="0"/>
                      <w:sz w:val="18"/>
                      <w:szCs w:val="18"/>
                      <w:lang w:bidi="ar"/>
                    </w:rPr>
                    <w:t>0.000008</w:t>
                  </w:r>
                </w:p>
              </w:tc>
              <w:tc>
                <w:tcPr>
                  <w:tcW w:w="482" w:type="pct"/>
                  <w:shd w:val="clear" w:color="auto" w:fill="FFFFFF"/>
                  <w:noWrap/>
                  <w:vAlign w:val="center"/>
                </w:tcPr>
                <w:p w14:paraId="03D6AE8B">
                  <w:pPr>
                    <w:widowControl/>
                    <w:jc w:val="center"/>
                    <w:textAlignment w:val="center"/>
                    <w:rPr>
                      <w:color w:val="auto"/>
                      <w:sz w:val="18"/>
                      <w:szCs w:val="18"/>
                    </w:rPr>
                  </w:pPr>
                  <w:r>
                    <w:rPr>
                      <w:color w:val="auto"/>
                      <w:kern w:val="0"/>
                      <w:sz w:val="18"/>
                      <w:szCs w:val="18"/>
                      <w:lang w:bidi="ar"/>
                    </w:rPr>
                    <w:t>0</w:t>
                  </w:r>
                </w:p>
              </w:tc>
              <w:tc>
                <w:tcPr>
                  <w:tcW w:w="338" w:type="pct"/>
                  <w:shd w:val="clear" w:color="auto" w:fill="FFFFFF"/>
                  <w:vAlign w:val="center"/>
                </w:tcPr>
                <w:p w14:paraId="5DF2BC66">
                  <w:pPr>
                    <w:widowControl/>
                    <w:jc w:val="center"/>
                    <w:textAlignment w:val="center"/>
                    <w:rPr>
                      <w:color w:val="auto"/>
                      <w:sz w:val="18"/>
                      <w:szCs w:val="18"/>
                    </w:rPr>
                  </w:pPr>
                  <w:r>
                    <w:rPr>
                      <w:color w:val="auto"/>
                      <w:kern w:val="0"/>
                      <w:sz w:val="18"/>
                      <w:szCs w:val="18"/>
                      <w:lang w:bidi="ar"/>
                    </w:rPr>
                    <w:t>0</w:t>
                  </w:r>
                </w:p>
              </w:tc>
              <w:tc>
                <w:tcPr>
                  <w:tcW w:w="434" w:type="pct"/>
                  <w:shd w:val="clear" w:color="auto" w:fill="FFFFFF"/>
                  <w:noWrap/>
                  <w:vAlign w:val="center"/>
                </w:tcPr>
                <w:p w14:paraId="44326DD8">
                  <w:pPr>
                    <w:widowControl/>
                    <w:jc w:val="center"/>
                    <w:textAlignment w:val="center"/>
                    <w:rPr>
                      <w:color w:val="auto"/>
                      <w:sz w:val="18"/>
                      <w:szCs w:val="18"/>
                    </w:rPr>
                  </w:pPr>
                  <w:r>
                    <w:rPr>
                      <w:color w:val="auto"/>
                      <w:kern w:val="0"/>
                      <w:sz w:val="18"/>
                      <w:szCs w:val="18"/>
                      <w:lang w:bidi="ar"/>
                    </w:rPr>
                    <w:t>0</w:t>
                  </w:r>
                </w:p>
              </w:tc>
              <w:tc>
                <w:tcPr>
                  <w:tcW w:w="364" w:type="pct"/>
                  <w:shd w:val="clear" w:color="auto" w:fill="FFFFFF"/>
                  <w:noWrap/>
                  <w:vAlign w:val="center"/>
                </w:tcPr>
                <w:p w14:paraId="5DACDAAC">
                  <w:pPr>
                    <w:widowControl/>
                    <w:jc w:val="center"/>
                    <w:textAlignment w:val="center"/>
                    <w:rPr>
                      <w:color w:val="auto"/>
                      <w:sz w:val="18"/>
                      <w:szCs w:val="18"/>
                    </w:rPr>
                  </w:pPr>
                  <w:r>
                    <w:rPr>
                      <w:color w:val="auto"/>
                      <w:kern w:val="0"/>
                      <w:sz w:val="18"/>
                      <w:szCs w:val="18"/>
                      <w:lang w:bidi="ar"/>
                    </w:rPr>
                    <w:t>0.000032</w:t>
                  </w:r>
                </w:p>
              </w:tc>
              <w:tc>
                <w:tcPr>
                  <w:tcW w:w="505" w:type="pct"/>
                  <w:shd w:val="clear" w:color="auto" w:fill="FFFFFF"/>
                  <w:noWrap/>
                  <w:vAlign w:val="center"/>
                </w:tcPr>
                <w:p w14:paraId="4B4DE534">
                  <w:pPr>
                    <w:widowControl/>
                    <w:jc w:val="center"/>
                    <w:textAlignment w:val="center"/>
                    <w:rPr>
                      <w:color w:val="auto"/>
                      <w:sz w:val="18"/>
                      <w:szCs w:val="18"/>
                    </w:rPr>
                  </w:pPr>
                  <w:r>
                    <w:rPr>
                      <w:color w:val="auto"/>
                      <w:kern w:val="0"/>
                      <w:sz w:val="18"/>
                      <w:szCs w:val="18"/>
                      <w:lang w:bidi="ar"/>
                    </w:rPr>
                    <w:t>/</w:t>
                  </w:r>
                </w:p>
              </w:tc>
            </w:tr>
            <w:tr w14:paraId="1E295E85">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39" w:type="pct"/>
                  <w:gridSpan w:val="2"/>
                  <w:vMerge w:val="continue"/>
                  <w:shd w:val="clear" w:color="auto" w:fill="FFFFFF"/>
                  <w:vAlign w:val="center"/>
                </w:tcPr>
                <w:p w14:paraId="0273337E">
                  <w:pPr>
                    <w:jc w:val="center"/>
                    <w:rPr>
                      <w:color w:val="auto"/>
                      <w:sz w:val="18"/>
                      <w:szCs w:val="18"/>
                    </w:rPr>
                  </w:pPr>
                </w:p>
              </w:tc>
              <w:tc>
                <w:tcPr>
                  <w:tcW w:w="410" w:type="pct"/>
                  <w:shd w:val="clear" w:color="auto" w:fill="FFFFFF"/>
                  <w:noWrap/>
                  <w:vAlign w:val="center"/>
                </w:tcPr>
                <w:p w14:paraId="188B2252">
                  <w:pPr>
                    <w:widowControl/>
                    <w:jc w:val="center"/>
                    <w:textAlignment w:val="center"/>
                    <w:rPr>
                      <w:color w:val="auto"/>
                      <w:sz w:val="18"/>
                      <w:szCs w:val="18"/>
                    </w:rPr>
                  </w:pPr>
                  <w:r>
                    <w:rPr>
                      <w:color w:val="auto"/>
                      <w:kern w:val="0"/>
                      <w:sz w:val="18"/>
                      <w:szCs w:val="18"/>
                      <w:lang w:bidi="ar"/>
                    </w:rPr>
                    <w:t>氟化物</w:t>
                  </w:r>
                </w:p>
              </w:tc>
              <w:tc>
                <w:tcPr>
                  <w:tcW w:w="529" w:type="pct"/>
                  <w:shd w:val="clear" w:color="auto" w:fill="FFFFFF"/>
                  <w:noWrap/>
                  <w:vAlign w:val="center"/>
                </w:tcPr>
                <w:p w14:paraId="2CB06A73">
                  <w:pPr>
                    <w:widowControl/>
                    <w:jc w:val="center"/>
                    <w:textAlignment w:val="center"/>
                    <w:rPr>
                      <w:color w:val="auto"/>
                      <w:sz w:val="18"/>
                      <w:szCs w:val="18"/>
                    </w:rPr>
                  </w:pPr>
                  <w:r>
                    <w:rPr>
                      <w:color w:val="auto"/>
                      <w:kern w:val="0"/>
                      <w:sz w:val="18"/>
                      <w:szCs w:val="18"/>
                      <w:lang w:bidi="ar"/>
                    </w:rPr>
                    <w:t>0.064</w:t>
                  </w:r>
                </w:p>
              </w:tc>
              <w:tc>
                <w:tcPr>
                  <w:tcW w:w="482" w:type="pct"/>
                  <w:shd w:val="clear" w:color="auto" w:fill="FFFFFF"/>
                  <w:vAlign w:val="center"/>
                </w:tcPr>
                <w:p w14:paraId="06F09346">
                  <w:pPr>
                    <w:widowControl/>
                    <w:jc w:val="center"/>
                    <w:textAlignment w:val="center"/>
                    <w:rPr>
                      <w:color w:val="auto"/>
                      <w:sz w:val="18"/>
                      <w:szCs w:val="18"/>
                    </w:rPr>
                  </w:pPr>
                  <w:r>
                    <w:rPr>
                      <w:color w:val="auto"/>
                      <w:kern w:val="0"/>
                      <w:sz w:val="18"/>
                      <w:szCs w:val="18"/>
                      <w:lang w:bidi="ar"/>
                    </w:rPr>
                    <w:t>0.064009</w:t>
                  </w:r>
                </w:p>
              </w:tc>
              <w:tc>
                <w:tcPr>
                  <w:tcW w:w="529" w:type="pct"/>
                  <w:shd w:val="clear" w:color="auto" w:fill="FFFFFF"/>
                  <w:noWrap/>
                  <w:vAlign w:val="center"/>
                </w:tcPr>
                <w:p w14:paraId="564EA192">
                  <w:pPr>
                    <w:widowControl/>
                    <w:jc w:val="center"/>
                    <w:textAlignment w:val="center"/>
                    <w:rPr>
                      <w:color w:val="auto"/>
                      <w:sz w:val="18"/>
                      <w:szCs w:val="18"/>
                    </w:rPr>
                  </w:pPr>
                  <w:r>
                    <w:rPr>
                      <w:color w:val="auto"/>
                      <w:kern w:val="0"/>
                      <w:sz w:val="18"/>
                      <w:szCs w:val="18"/>
                      <w:lang w:bidi="ar"/>
                    </w:rPr>
                    <w:t>0.013</w:t>
                  </w:r>
                </w:p>
              </w:tc>
              <w:tc>
                <w:tcPr>
                  <w:tcW w:w="482" w:type="pct"/>
                  <w:shd w:val="clear" w:color="auto" w:fill="FFFFFF"/>
                  <w:vAlign w:val="center"/>
                </w:tcPr>
                <w:p w14:paraId="21994046">
                  <w:pPr>
                    <w:widowControl/>
                    <w:jc w:val="center"/>
                    <w:textAlignment w:val="center"/>
                    <w:rPr>
                      <w:color w:val="auto"/>
                      <w:sz w:val="18"/>
                      <w:szCs w:val="18"/>
                    </w:rPr>
                  </w:pPr>
                  <w:r>
                    <w:rPr>
                      <w:color w:val="auto"/>
                      <w:kern w:val="0"/>
                      <w:sz w:val="18"/>
                      <w:szCs w:val="18"/>
                      <w:lang w:bidi="ar"/>
                    </w:rPr>
                    <w:t>0.012802</w:t>
                  </w:r>
                </w:p>
              </w:tc>
              <w:tc>
                <w:tcPr>
                  <w:tcW w:w="482" w:type="pct"/>
                  <w:shd w:val="clear" w:color="auto" w:fill="FFFFFF"/>
                  <w:noWrap/>
                  <w:vAlign w:val="center"/>
                </w:tcPr>
                <w:p w14:paraId="0F4375EE">
                  <w:pPr>
                    <w:widowControl/>
                    <w:jc w:val="center"/>
                    <w:textAlignment w:val="center"/>
                    <w:rPr>
                      <w:color w:val="auto"/>
                      <w:sz w:val="18"/>
                      <w:szCs w:val="18"/>
                    </w:rPr>
                  </w:pPr>
                  <w:r>
                    <w:rPr>
                      <w:color w:val="auto"/>
                      <w:kern w:val="0"/>
                      <w:sz w:val="18"/>
                      <w:szCs w:val="18"/>
                      <w:lang w:bidi="ar"/>
                    </w:rPr>
                    <w:t>0</w:t>
                  </w:r>
                </w:p>
              </w:tc>
              <w:tc>
                <w:tcPr>
                  <w:tcW w:w="338" w:type="pct"/>
                  <w:shd w:val="clear" w:color="auto" w:fill="FFFFFF"/>
                  <w:vAlign w:val="center"/>
                </w:tcPr>
                <w:p w14:paraId="2A0FDD4A">
                  <w:pPr>
                    <w:widowControl/>
                    <w:jc w:val="center"/>
                    <w:textAlignment w:val="center"/>
                    <w:rPr>
                      <w:color w:val="auto"/>
                      <w:sz w:val="18"/>
                      <w:szCs w:val="18"/>
                    </w:rPr>
                  </w:pPr>
                  <w:r>
                    <w:rPr>
                      <w:color w:val="auto"/>
                      <w:kern w:val="0"/>
                      <w:sz w:val="18"/>
                      <w:szCs w:val="18"/>
                      <w:lang w:bidi="ar"/>
                    </w:rPr>
                    <w:t>0</w:t>
                  </w:r>
                </w:p>
              </w:tc>
              <w:tc>
                <w:tcPr>
                  <w:tcW w:w="434" w:type="pct"/>
                  <w:shd w:val="clear" w:color="auto" w:fill="FFFFFF"/>
                  <w:noWrap/>
                  <w:vAlign w:val="center"/>
                </w:tcPr>
                <w:p w14:paraId="3DA931B4">
                  <w:pPr>
                    <w:widowControl/>
                    <w:jc w:val="center"/>
                    <w:textAlignment w:val="center"/>
                    <w:rPr>
                      <w:color w:val="auto"/>
                      <w:sz w:val="18"/>
                      <w:szCs w:val="18"/>
                    </w:rPr>
                  </w:pPr>
                  <w:r>
                    <w:rPr>
                      <w:color w:val="auto"/>
                      <w:kern w:val="0"/>
                      <w:sz w:val="18"/>
                      <w:szCs w:val="18"/>
                      <w:lang w:bidi="ar"/>
                    </w:rPr>
                    <w:t>0.051</w:t>
                  </w:r>
                </w:p>
              </w:tc>
              <w:tc>
                <w:tcPr>
                  <w:tcW w:w="364" w:type="pct"/>
                  <w:shd w:val="clear" w:color="auto" w:fill="FFFFFF"/>
                  <w:noWrap/>
                  <w:vAlign w:val="center"/>
                </w:tcPr>
                <w:p w14:paraId="1EE4ADB8">
                  <w:pPr>
                    <w:widowControl/>
                    <w:jc w:val="center"/>
                    <w:textAlignment w:val="center"/>
                    <w:rPr>
                      <w:color w:val="auto"/>
                      <w:sz w:val="18"/>
                      <w:szCs w:val="18"/>
                    </w:rPr>
                  </w:pPr>
                  <w:r>
                    <w:rPr>
                      <w:color w:val="auto"/>
                      <w:kern w:val="0"/>
                      <w:sz w:val="18"/>
                      <w:szCs w:val="18"/>
                      <w:lang w:bidi="ar"/>
                    </w:rPr>
                    <w:t>0.051207</w:t>
                  </w:r>
                </w:p>
              </w:tc>
              <w:tc>
                <w:tcPr>
                  <w:tcW w:w="505" w:type="pct"/>
                  <w:shd w:val="clear" w:color="auto" w:fill="FFFFFF"/>
                  <w:noWrap/>
                  <w:vAlign w:val="center"/>
                </w:tcPr>
                <w:p w14:paraId="45E931D4">
                  <w:pPr>
                    <w:widowControl/>
                    <w:jc w:val="center"/>
                    <w:textAlignment w:val="center"/>
                    <w:rPr>
                      <w:color w:val="auto"/>
                      <w:sz w:val="18"/>
                      <w:szCs w:val="18"/>
                    </w:rPr>
                  </w:pPr>
                  <w:r>
                    <w:rPr>
                      <w:color w:val="auto"/>
                      <w:kern w:val="0"/>
                      <w:sz w:val="18"/>
                      <w:szCs w:val="18"/>
                      <w:lang w:bidi="ar"/>
                    </w:rPr>
                    <w:t>/</w:t>
                  </w:r>
                </w:p>
              </w:tc>
            </w:tr>
            <w:tr w14:paraId="1F3811B6">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39" w:type="pct"/>
                  <w:gridSpan w:val="2"/>
                  <w:vMerge w:val="continue"/>
                  <w:shd w:val="clear" w:color="auto" w:fill="FFFFFF"/>
                  <w:vAlign w:val="center"/>
                </w:tcPr>
                <w:p w14:paraId="341BD940">
                  <w:pPr>
                    <w:jc w:val="center"/>
                    <w:rPr>
                      <w:color w:val="auto"/>
                      <w:sz w:val="18"/>
                      <w:szCs w:val="18"/>
                    </w:rPr>
                  </w:pPr>
                </w:p>
              </w:tc>
              <w:tc>
                <w:tcPr>
                  <w:tcW w:w="410" w:type="pct"/>
                  <w:shd w:val="clear" w:color="auto" w:fill="FFFFFF"/>
                  <w:noWrap/>
                  <w:vAlign w:val="center"/>
                </w:tcPr>
                <w:p w14:paraId="2B6A4A49">
                  <w:pPr>
                    <w:widowControl/>
                    <w:jc w:val="center"/>
                    <w:textAlignment w:val="center"/>
                    <w:rPr>
                      <w:color w:val="auto"/>
                      <w:sz w:val="18"/>
                      <w:szCs w:val="18"/>
                    </w:rPr>
                  </w:pPr>
                  <w:r>
                    <w:rPr>
                      <w:color w:val="auto"/>
                      <w:kern w:val="0"/>
                      <w:sz w:val="18"/>
                      <w:szCs w:val="18"/>
                      <w:lang w:bidi="ar"/>
                    </w:rPr>
                    <w:t>甲醛</w:t>
                  </w:r>
                </w:p>
              </w:tc>
              <w:tc>
                <w:tcPr>
                  <w:tcW w:w="529" w:type="pct"/>
                  <w:shd w:val="clear" w:color="auto" w:fill="FFFFFF"/>
                  <w:noWrap/>
                  <w:vAlign w:val="center"/>
                </w:tcPr>
                <w:p w14:paraId="27B0AAC9">
                  <w:pPr>
                    <w:widowControl/>
                    <w:jc w:val="center"/>
                    <w:textAlignment w:val="center"/>
                    <w:rPr>
                      <w:color w:val="auto"/>
                      <w:sz w:val="18"/>
                      <w:szCs w:val="18"/>
                    </w:rPr>
                  </w:pPr>
                  <w:r>
                    <w:rPr>
                      <w:color w:val="auto"/>
                      <w:kern w:val="0"/>
                      <w:sz w:val="18"/>
                      <w:szCs w:val="18"/>
                      <w:lang w:bidi="ar"/>
                    </w:rPr>
                    <w:t>0.009</w:t>
                  </w:r>
                </w:p>
              </w:tc>
              <w:tc>
                <w:tcPr>
                  <w:tcW w:w="482" w:type="pct"/>
                  <w:shd w:val="clear" w:color="auto" w:fill="FFFFFF"/>
                  <w:vAlign w:val="center"/>
                </w:tcPr>
                <w:p w14:paraId="3F94B9CF">
                  <w:pPr>
                    <w:widowControl/>
                    <w:jc w:val="center"/>
                    <w:textAlignment w:val="center"/>
                    <w:rPr>
                      <w:color w:val="auto"/>
                      <w:sz w:val="18"/>
                      <w:szCs w:val="18"/>
                    </w:rPr>
                  </w:pPr>
                  <w:r>
                    <w:rPr>
                      <w:color w:val="auto"/>
                      <w:kern w:val="0"/>
                      <w:sz w:val="18"/>
                      <w:szCs w:val="18"/>
                      <w:lang w:bidi="ar"/>
                    </w:rPr>
                    <w:t>0.00925</w:t>
                  </w:r>
                </w:p>
              </w:tc>
              <w:tc>
                <w:tcPr>
                  <w:tcW w:w="529" w:type="pct"/>
                  <w:shd w:val="clear" w:color="auto" w:fill="FFFFFF"/>
                  <w:noWrap/>
                  <w:vAlign w:val="center"/>
                </w:tcPr>
                <w:p w14:paraId="47A91D67">
                  <w:pPr>
                    <w:widowControl/>
                    <w:jc w:val="center"/>
                    <w:textAlignment w:val="center"/>
                    <w:rPr>
                      <w:color w:val="auto"/>
                      <w:sz w:val="18"/>
                      <w:szCs w:val="18"/>
                    </w:rPr>
                  </w:pPr>
                  <w:r>
                    <w:rPr>
                      <w:color w:val="auto"/>
                      <w:kern w:val="0"/>
                      <w:sz w:val="18"/>
                      <w:szCs w:val="18"/>
                      <w:lang w:bidi="ar"/>
                    </w:rPr>
                    <w:t>0.002</w:t>
                  </w:r>
                </w:p>
              </w:tc>
              <w:tc>
                <w:tcPr>
                  <w:tcW w:w="482" w:type="pct"/>
                  <w:shd w:val="clear" w:color="auto" w:fill="FFFFFF"/>
                  <w:vAlign w:val="center"/>
                </w:tcPr>
                <w:p w14:paraId="3DD9E524">
                  <w:pPr>
                    <w:widowControl/>
                    <w:jc w:val="center"/>
                    <w:textAlignment w:val="center"/>
                    <w:rPr>
                      <w:color w:val="auto"/>
                      <w:sz w:val="18"/>
                      <w:szCs w:val="18"/>
                    </w:rPr>
                  </w:pPr>
                  <w:r>
                    <w:rPr>
                      <w:color w:val="auto"/>
                      <w:kern w:val="0"/>
                      <w:sz w:val="18"/>
                      <w:szCs w:val="18"/>
                      <w:lang w:bidi="ar"/>
                    </w:rPr>
                    <w:t>0.00185</w:t>
                  </w:r>
                </w:p>
              </w:tc>
              <w:tc>
                <w:tcPr>
                  <w:tcW w:w="482" w:type="pct"/>
                  <w:shd w:val="clear" w:color="auto" w:fill="FFFFFF"/>
                  <w:noWrap/>
                  <w:vAlign w:val="center"/>
                </w:tcPr>
                <w:p w14:paraId="6B385F0E">
                  <w:pPr>
                    <w:widowControl/>
                    <w:jc w:val="center"/>
                    <w:textAlignment w:val="center"/>
                    <w:rPr>
                      <w:color w:val="auto"/>
                      <w:sz w:val="18"/>
                      <w:szCs w:val="18"/>
                    </w:rPr>
                  </w:pPr>
                  <w:r>
                    <w:rPr>
                      <w:color w:val="auto"/>
                      <w:kern w:val="0"/>
                      <w:sz w:val="18"/>
                      <w:szCs w:val="18"/>
                      <w:lang w:bidi="ar"/>
                    </w:rPr>
                    <w:t>0</w:t>
                  </w:r>
                </w:p>
              </w:tc>
              <w:tc>
                <w:tcPr>
                  <w:tcW w:w="338" w:type="pct"/>
                  <w:shd w:val="clear" w:color="auto" w:fill="FFFFFF"/>
                  <w:vAlign w:val="center"/>
                </w:tcPr>
                <w:p w14:paraId="6CA39924">
                  <w:pPr>
                    <w:widowControl/>
                    <w:jc w:val="center"/>
                    <w:textAlignment w:val="center"/>
                    <w:rPr>
                      <w:color w:val="auto"/>
                      <w:sz w:val="18"/>
                      <w:szCs w:val="18"/>
                    </w:rPr>
                  </w:pPr>
                  <w:r>
                    <w:rPr>
                      <w:color w:val="auto"/>
                      <w:kern w:val="0"/>
                      <w:sz w:val="18"/>
                      <w:szCs w:val="18"/>
                      <w:lang w:bidi="ar"/>
                    </w:rPr>
                    <w:t>0</w:t>
                  </w:r>
                </w:p>
              </w:tc>
              <w:tc>
                <w:tcPr>
                  <w:tcW w:w="434" w:type="pct"/>
                  <w:shd w:val="clear" w:color="auto" w:fill="FFFFFF"/>
                  <w:noWrap/>
                  <w:vAlign w:val="center"/>
                </w:tcPr>
                <w:p w14:paraId="5B36DA0F">
                  <w:pPr>
                    <w:widowControl/>
                    <w:jc w:val="center"/>
                    <w:textAlignment w:val="center"/>
                    <w:rPr>
                      <w:color w:val="auto"/>
                      <w:sz w:val="18"/>
                      <w:szCs w:val="18"/>
                    </w:rPr>
                  </w:pPr>
                  <w:r>
                    <w:rPr>
                      <w:color w:val="auto"/>
                      <w:kern w:val="0"/>
                      <w:sz w:val="18"/>
                      <w:szCs w:val="18"/>
                      <w:lang w:bidi="ar"/>
                    </w:rPr>
                    <w:t>0.007</w:t>
                  </w:r>
                </w:p>
              </w:tc>
              <w:tc>
                <w:tcPr>
                  <w:tcW w:w="364" w:type="pct"/>
                  <w:shd w:val="clear" w:color="auto" w:fill="FFFFFF"/>
                  <w:noWrap/>
                  <w:vAlign w:val="center"/>
                </w:tcPr>
                <w:p w14:paraId="62586583">
                  <w:pPr>
                    <w:widowControl/>
                    <w:jc w:val="center"/>
                    <w:textAlignment w:val="center"/>
                    <w:rPr>
                      <w:color w:val="auto"/>
                      <w:sz w:val="18"/>
                      <w:szCs w:val="18"/>
                    </w:rPr>
                  </w:pPr>
                  <w:r>
                    <w:rPr>
                      <w:color w:val="auto"/>
                      <w:kern w:val="0"/>
                      <w:sz w:val="18"/>
                      <w:szCs w:val="18"/>
                      <w:lang w:bidi="ar"/>
                    </w:rPr>
                    <w:t>0.0074</w:t>
                  </w:r>
                </w:p>
              </w:tc>
              <w:tc>
                <w:tcPr>
                  <w:tcW w:w="505" w:type="pct"/>
                  <w:shd w:val="clear" w:color="auto" w:fill="FFFFFF"/>
                  <w:noWrap/>
                  <w:vAlign w:val="center"/>
                </w:tcPr>
                <w:p w14:paraId="743B3A4A">
                  <w:pPr>
                    <w:widowControl/>
                    <w:jc w:val="center"/>
                    <w:textAlignment w:val="center"/>
                    <w:rPr>
                      <w:color w:val="auto"/>
                      <w:sz w:val="18"/>
                      <w:szCs w:val="18"/>
                    </w:rPr>
                  </w:pPr>
                  <w:r>
                    <w:rPr>
                      <w:color w:val="auto"/>
                      <w:kern w:val="0"/>
                      <w:sz w:val="18"/>
                      <w:szCs w:val="18"/>
                      <w:lang w:bidi="ar"/>
                    </w:rPr>
                    <w:t>/</w:t>
                  </w:r>
                </w:p>
              </w:tc>
            </w:tr>
            <w:tr w14:paraId="6DEFB2C2">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39" w:type="pct"/>
                  <w:gridSpan w:val="2"/>
                  <w:vMerge w:val="restart"/>
                  <w:shd w:val="clear" w:color="auto" w:fill="FFFFFF"/>
                  <w:vAlign w:val="center"/>
                </w:tcPr>
                <w:p w14:paraId="450C2B17">
                  <w:pPr>
                    <w:widowControl/>
                    <w:jc w:val="center"/>
                    <w:textAlignment w:val="center"/>
                    <w:rPr>
                      <w:color w:val="auto"/>
                      <w:sz w:val="18"/>
                      <w:szCs w:val="18"/>
                    </w:rPr>
                  </w:pPr>
                  <w:r>
                    <w:rPr>
                      <w:color w:val="auto"/>
                      <w:kern w:val="0"/>
                      <w:sz w:val="18"/>
                      <w:szCs w:val="18"/>
                      <w:lang w:bidi="ar"/>
                    </w:rPr>
                    <w:t>生产废水</w:t>
                  </w:r>
                </w:p>
              </w:tc>
              <w:tc>
                <w:tcPr>
                  <w:tcW w:w="410" w:type="pct"/>
                  <w:shd w:val="clear" w:color="auto" w:fill="FFFFFF"/>
                  <w:noWrap/>
                  <w:vAlign w:val="center"/>
                </w:tcPr>
                <w:p w14:paraId="7EDDDF21">
                  <w:pPr>
                    <w:widowControl/>
                    <w:jc w:val="center"/>
                    <w:textAlignment w:val="center"/>
                    <w:rPr>
                      <w:color w:val="auto"/>
                      <w:sz w:val="18"/>
                      <w:szCs w:val="18"/>
                    </w:rPr>
                  </w:pPr>
                  <w:r>
                    <w:rPr>
                      <w:color w:val="auto"/>
                      <w:kern w:val="0"/>
                      <w:sz w:val="18"/>
                      <w:szCs w:val="18"/>
                      <w:lang w:bidi="ar"/>
                    </w:rPr>
                    <w:t>水量</w:t>
                  </w:r>
                </w:p>
              </w:tc>
              <w:tc>
                <w:tcPr>
                  <w:tcW w:w="529" w:type="pct"/>
                  <w:shd w:val="clear" w:color="auto" w:fill="FFFFFF"/>
                  <w:noWrap/>
                  <w:vAlign w:val="center"/>
                </w:tcPr>
                <w:p w14:paraId="20C5E3A9">
                  <w:pPr>
                    <w:widowControl/>
                    <w:jc w:val="center"/>
                    <w:textAlignment w:val="center"/>
                    <w:rPr>
                      <w:color w:val="auto"/>
                      <w:sz w:val="18"/>
                      <w:szCs w:val="18"/>
                    </w:rPr>
                  </w:pPr>
                  <w:r>
                    <w:rPr>
                      <w:color w:val="auto"/>
                      <w:kern w:val="0"/>
                      <w:sz w:val="18"/>
                      <w:szCs w:val="18"/>
                      <w:lang w:bidi="ar"/>
                    </w:rPr>
                    <w:t>26668.600</w:t>
                  </w:r>
                </w:p>
              </w:tc>
              <w:tc>
                <w:tcPr>
                  <w:tcW w:w="482" w:type="pct"/>
                  <w:shd w:val="clear" w:color="auto" w:fill="FFFFFF"/>
                  <w:vAlign w:val="center"/>
                </w:tcPr>
                <w:p w14:paraId="62BB88CF">
                  <w:pPr>
                    <w:widowControl/>
                    <w:jc w:val="center"/>
                    <w:textAlignment w:val="center"/>
                    <w:rPr>
                      <w:color w:val="auto"/>
                      <w:sz w:val="18"/>
                      <w:szCs w:val="18"/>
                    </w:rPr>
                  </w:pPr>
                  <w:r>
                    <w:rPr>
                      <w:color w:val="auto"/>
                      <w:kern w:val="0"/>
                      <w:sz w:val="18"/>
                      <w:szCs w:val="18"/>
                      <w:lang w:bidi="ar"/>
                    </w:rPr>
                    <w:t>8000.6</w:t>
                  </w:r>
                </w:p>
              </w:tc>
              <w:tc>
                <w:tcPr>
                  <w:tcW w:w="529" w:type="pct"/>
                  <w:shd w:val="clear" w:color="auto" w:fill="FFFFFF"/>
                  <w:noWrap/>
                  <w:vAlign w:val="center"/>
                </w:tcPr>
                <w:p w14:paraId="4F7C52CD">
                  <w:pPr>
                    <w:widowControl/>
                    <w:jc w:val="center"/>
                    <w:textAlignment w:val="center"/>
                    <w:rPr>
                      <w:color w:val="auto"/>
                      <w:sz w:val="18"/>
                      <w:szCs w:val="18"/>
                    </w:rPr>
                  </w:pPr>
                  <w:r>
                    <w:rPr>
                      <w:color w:val="auto"/>
                      <w:kern w:val="0"/>
                      <w:sz w:val="18"/>
                      <w:szCs w:val="18"/>
                      <w:lang w:bidi="ar"/>
                    </w:rPr>
                    <w:t>7671.707</w:t>
                  </w:r>
                </w:p>
              </w:tc>
              <w:tc>
                <w:tcPr>
                  <w:tcW w:w="482" w:type="pct"/>
                  <w:shd w:val="clear" w:color="auto" w:fill="FFFFFF"/>
                  <w:vAlign w:val="center"/>
                </w:tcPr>
                <w:p w14:paraId="6F8167FF">
                  <w:pPr>
                    <w:widowControl/>
                    <w:jc w:val="center"/>
                    <w:textAlignment w:val="center"/>
                    <w:rPr>
                      <w:color w:val="auto"/>
                      <w:sz w:val="18"/>
                      <w:szCs w:val="18"/>
                    </w:rPr>
                  </w:pPr>
                  <w:r>
                    <w:rPr>
                      <w:color w:val="auto"/>
                      <w:kern w:val="0"/>
                      <w:sz w:val="18"/>
                      <w:szCs w:val="18"/>
                      <w:lang w:bidi="ar"/>
                    </w:rPr>
                    <w:t>3201.5</w:t>
                  </w:r>
                </w:p>
              </w:tc>
              <w:tc>
                <w:tcPr>
                  <w:tcW w:w="482" w:type="pct"/>
                  <w:shd w:val="clear" w:color="auto" w:fill="FFFFFF"/>
                  <w:noWrap/>
                  <w:vAlign w:val="center"/>
                </w:tcPr>
                <w:p w14:paraId="527FA68F">
                  <w:pPr>
                    <w:widowControl/>
                    <w:jc w:val="center"/>
                    <w:textAlignment w:val="center"/>
                    <w:rPr>
                      <w:color w:val="auto"/>
                      <w:sz w:val="18"/>
                      <w:szCs w:val="18"/>
                    </w:rPr>
                  </w:pPr>
                  <w:r>
                    <w:rPr>
                      <w:color w:val="auto"/>
                      <w:kern w:val="0"/>
                      <w:sz w:val="18"/>
                      <w:szCs w:val="18"/>
                      <w:lang w:bidi="ar"/>
                    </w:rPr>
                    <w:t>1043.293</w:t>
                  </w:r>
                </w:p>
              </w:tc>
              <w:tc>
                <w:tcPr>
                  <w:tcW w:w="338" w:type="pct"/>
                  <w:shd w:val="clear" w:color="auto" w:fill="FFFFFF"/>
                  <w:vAlign w:val="center"/>
                </w:tcPr>
                <w:p w14:paraId="06259EC9">
                  <w:pPr>
                    <w:widowControl/>
                    <w:jc w:val="center"/>
                    <w:textAlignment w:val="center"/>
                    <w:rPr>
                      <w:color w:val="auto"/>
                      <w:sz w:val="18"/>
                      <w:szCs w:val="18"/>
                    </w:rPr>
                  </w:pPr>
                  <w:r>
                    <w:rPr>
                      <w:color w:val="auto"/>
                      <w:kern w:val="0"/>
                      <w:sz w:val="18"/>
                      <w:szCs w:val="18"/>
                      <w:lang w:bidi="ar"/>
                    </w:rPr>
                    <w:t>888</w:t>
                  </w:r>
                </w:p>
              </w:tc>
              <w:tc>
                <w:tcPr>
                  <w:tcW w:w="434" w:type="pct"/>
                  <w:shd w:val="clear" w:color="auto" w:fill="FFFFFF"/>
                  <w:noWrap/>
                  <w:vAlign w:val="center"/>
                </w:tcPr>
                <w:p w14:paraId="6C492888">
                  <w:pPr>
                    <w:widowControl/>
                    <w:jc w:val="center"/>
                    <w:textAlignment w:val="center"/>
                    <w:rPr>
                      <w:color w:val="auto"/>
                      <w:sz w:val="18"/>
                      <w:szCs w:val="18"/>
                    </w:rPr>
                  </w:pPr>
                  <w:r>
                    <w:rPr>
                      <w:color w:val="auto"/>
                      <w:kern w:val="0"/>
                      <w:sz w:val="18"/>
                      <w:szCs w:val="18"/>
                      <w:lang w:bidi="ar"/>
                    </w:rPr>
                    <w:t>17953.6</w:t>
                  </w:r>
                </w:p>
              </w:tc>
              <w:tc>
                <w:tcPr>
                  <w:tcW w:w="364" w:type="pct"/>
                  <w:shd w:val="clear" w:color="auto" w:fill="FFFFFF"/>
                  <w:noWrap/>
                  <w:vAlign w:val="center"/>
                </w:tcPr>
                <w:p w14:paraId="4DA4ED5B">
                  <w:pPr>
                    <w:widowControl/>
                    <w:jc w:val="center"/>
                    <w:textAlignment w:val="center"/>
                    <w:rPr>
                      <w:color w:val="auto"/>
                      <w:sz w:val="18"/>
                      <w:szCs w:val="18"/>
                    </w:rPr>
                  </w:pPr>
                  <w:r>
                    <w:rPr>
                      <w:color w:val="auto"/>
                      <w:kern w:val="0"/>
                      <w:sz w:val="18"/>
                      <w:szCs w:val="18"/>
                      <w:lang w:bidi="ar"/>
                    </w:rPr>
                    <w:t>3911.1</w:t>
                  </w:r>
                </w:p>
              </w:tc>
              <w:tc>
                <w:tcPr>
                  <w:tcW w:w="505" w:type="pct"/>
                  <w:shd w:val="clear" w:color="auto" w:fill="FFFFFF"/>
                  <w:noWrap/>
                  <w:vAlign w:val="center"/>
                </w:tcPr>
                <w:p w14:paraId="4B3290F4">
                  <w:pPr>
                    <w:widowControl/>
                    <w:jc w:val="center"/>
                    <w:textAlignment w:val="center"/>
                    <w:rPr>
                      <w:color w:val="auto"/>
                      <w:sz w:val="18"/>
                      <w:szCs w:val="18"/>
                    </w:rPr>
                  </w:pPr>
                  <w:r>
                    <w:rPr>
                      <w:color w:val="auto"/>
                      <w:kern w:val="0"/>
                      <w:sz w:val="18"/>
                      <w:szCs w:val="18"/>
                      <w:lang w:bidi="ar"/>
                    </w:rPr>
                    <w:t>/</w:t>
                  </w:r>
                </w:p>
              </w:tc>
            </w:tr>
            <w:tr w14:paraId="3F073059">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39" w:type="pct"/>
                  <w:gridSpan w:val="2"/>
                  <w:vMerge w:val="continue"/>
                  <w:shd w:val="clear" w:color="auto" w:fill="FFFFFF"/>
                  <w:vAlign w:val="center"/>
                </w:tcPr>
                <w:p w14:paraId="1FA9BFAE">
                  <w:pPr>
                    <w:jc w:val="center"/>
                    <w:rPr>
                      <w:color w:val="auto"/>
                      <w:sz w:val="18"/>
                      <w:szCs w:val="18"/>
                    </w:rPr>
                  </w:pPr>
                </w:p>
              </w:tc>
              <w:tc>
                <w:tcPr>
                  <w:tcW w:w="410" w:type="pct"/>
                  <w:shd w:val="clear" w:color="auto" w:fill="FFFFFF"/>
                  <w:noWrap/>
                  <w:vAlign w:val="center"/>
                </w:tcPr>
                <w:p w14:paraId="4E2B2BC9">
                  <w:pPr>
                    <w:widowControl/>
                    <w:jc w:val="center"/>
                    <w:textAlignment w:val="center"/>
                    <w:rPr>
                      <w:color w:val="auto"/>
                      <w:sz w:val="18"/>
                      <w:szCs w:val="18"/>
                    </w:rPr>
                  </w:pPr>
                  <w:r>
                    <w:rPr>
                      <w:color w:val="auto"/>
                      <w:kern w:val="0"/>
                      <w:sz w:val="18"/>
                      <w:szCs w:val="18"/>
                      <w:lang w:bidi="ar"/>
                    </w:rPr>
                    <w:t>COD</w:t>
                  </w:r>
                </w:p>
              </w:tc>
              <w:tc>
                <w:tcPr>
                  <w:tcW w:w="529" w:type="pct"/>
                  <w:shd w:val="clear" w:color="auto" w:fill="FFFFFF"/>
                  <w:noWrap/>
                  <w:vAlign w:val="center"/>
                </w:tcPr>
                <w:p w14:paraId="693B92FC">
                  <w:pPr>
                    <w:widowControl/>
                    <w:jc w:val="center"/>
                    <w:textAlignment w:val="center"/>
                    <w:rPr>
                      <w:color w:val="auto"/>
                      <w:sz w:val="18"/>
                      <w:szCs w:val="18"/>
                    </w:rPr>
                  </w:pPr>
                  <w:r>
                    <w:rPr>
                      <w:color w:val="auto"/>
                      <w:kern w:val="0"/>
                      <w:sz w:val="18"/>
                      <w:szCs w:val="18"/>
                      <w:lang w:bidi="ar"/>
                    </w:rPr>
                    <w:t>1.918</w:t>
                  </w:r>
                </w:p>
              </w:tc>
              <w:tc>
                <w:tcPr>
                  <w:tcW w:w="482" w:type="pct"/>
                  <w:shd w:val="clear" w:color="auto" w:fill="FFFFFF"/>
                  <w:vAlign w:val="center"/>
                </w:tcPr>
                <w:p w14:paraId="2D82CD00">
                  <w:pPr>
                    <w:widowControl/>
                    <w:jc w:val="center"/>
                    <w:textAlignment w:val="center"/>
                    <w:rPr>
                      <w:color w:val="auto"/>
                      <w:sz w:val="18"/>
                      <w:szCs w:val="18"/>
                    </w:rPr>
                  </w:pPr>
                  <w:r>
                    <w:rPr>
                      <w:color w:val="auto"/>
                      <w:kern w:val="0"/>
                      <w:sz w:val="18"/>
                      <w:szCs w:val="18"/>
                      <w:lang w:bidi="ar"/>
                    </w:rPr>
                    <w:t>0.294</w:t>
                  </w:r>
                </w:p>
              </w:tc>
              <w:tc>
                <w:tcPr>
                  <w:tcW w:w="529" w:type="pct"/>
                  <w:shd w:val="clear" w:color="auto" w:fill="FFFFFF"/>
                  <w:noWrap/>
                  <w:vAlign w:val="center"/>
                </w:tcPr>
                <w:p w14:paraId="0DFF51B8">
                  <w:pPr>
                    <w:widowControl/>
                    <w:jc w:val="center"/>
                    <w:textAlignment w:val="center"/>
                    <w:rPr>
                      <w:color w:val="auto"/>
                      <w:sz w:val="18"/>
                      <w:szCs w:val="18"/>
                    </w:rPr>
                  </w:pPr>
                  <w:r>
                    <w:rPr>
                      <w:color w:val="auto"/>
                      <w:kern w:val="0"/>
                      <w:sz w:val="18"/>
                      <w:szCs w:val="18"/>
                      <w:lang w:bidi="ar"/>
                    </w:rPr>
                    <w:t>0.787</w:t>
                  </w:r>
                </w:p>
              </w:tc>
              <w:tc>
                <w:tcPr>
                  <w:tcW w:w="482" w:type="pct"/>
                  <w:shd w:val="clear" w:color="auto" w:fill="FFFFFF"/>
                  <w:vAlign w:val="center"/>
                </w:tcPr>
                <w:p w14:paraId="16EEB5B8">
                  <w:pPr>
                    <w:widowControl/>
                    <w:jc w:val="center"/>
                    <w:textAlignment w:val="center"/>
                    <w:rPr>
                      <w:color w:val="auto"/>
                      <w:sz w:val="18"/>
                      <w:szCs w:val="18"/>
                    </w:rPr>
                  </w:pPr>
                  <w:r>
                    <w:rPr>
                      <w:color w:val="auto"/>
                      <w:kern w:val="0"/>
                      <w:sz w:val="18"/>
                      <w:szCs w:val="18"/>
                      <w:lang w:bidi="ar"/>
                    </w:rPr>
                    <w:t>0.131</w:t>
                  </w:r>
                </w:p>
              </w:tc>
              <w:tc>
                <w:tcPr>
                  <w:tcW w:w="482" w:type="pct"/>
                  <w:shd w:val="clear" w:color="auto" w:fill="FFFFFF"/>
                  <w:noWrap/>
                  <w:vAlign w:val="center"/>
                </w:tcPr>
                <w:p w14:paraId="5EBE1E52">
                  <w:pPr>
                    <w:widowControl/>
                    <w:jc w:val="center"/>
                    <w:textAlignment w:val="center"/>
                    <w:rPr>
                      <w:color w:val="auto"/>
                      <w:sz w:val="18"/>
                      <w:szCs w:val="18"/>
                    </w:rPr>
                  </w:pPr>
                  <w:r>
                    <w:rPr>
                      <w:color w:val="auto"/>
                      <w:kern w:val="0"/>
                      <w:sz w:val="18"/>
                      <w:szCs w:val="18"/>
                      <w:lang w:bidi="ar"/>
                    </w:rPr>
                    <w:t>0.300</w:t>
                  </w:r>
                </w:p>
              </w:tc>
              <w:tc>
                <w:tcPr>
                  <w:tcW w:w="338" w:type="pct"/>
                  <w:shd w:val="clear" w:color="auto" w:fill="FFFFFF"/>
                  <w:vAlign w:val="center"/>
                </w:tcPr>
                <w:p w14:paraId="3E9E1EC2">
                  <w:pPr>
                    <w:widowControl/>
                    <w:jc w:val="center"/>
                    <w:textAlignment w:val="center"/>
                    <w:rPr>
                      <w:color w:val="auto"/>
                      <w:sz w:val="18"/>
                      <w:szCs w:val="18"/>
                    </w:rPr>
                  </w:pPr>
                  <w:r>
                    <w:rPr>
                      <w:color w:val="auto"/>
                      <w:kern w:val="0"/>
                      <w:sz w:val="18"/>
                      <w:szCs w:val="18"/>
                      <w:lang w:bidi="ar"/>
                    </w:rPr>
                    <w:t>0.046</w:t>
                  </w:r>
                </w:p>
              </w:tc>
              <w:tc>
                <w:tcPr>
                  <w:tcW w:w="434" w:type="pct"/>
                  <w:shd w:val="clear" w:color="auto" w:fill="FFFFFF"/>
                  <w:noWrap/>
                  <w:vAlign w:val="center"/>
                </w:tcPr>
                <w:p w14:paraId="530ED2B0">
                  <w:pPr>
                    <w:widowControl/>
                    <w:jc w:val="center"/>
                    <w:textAlignment w:val="center"/>
                    <w:rPr>
                      <w:color w:val="auto"/>
                      <w:sz w:val="18"/>
                      <w:szCs w:val="18"/>
                    </w:rPr>
                  </w:pPr>
                  <w:r>
                    <w:rPr>
                      <w:color w:val="auto"/>
                      <w:kern w:val="0"/>
                      <w:sz w:val="18"/>
                      <w:szCs w:val="18"/>
                      <w:lang w:bidi="ar"/>
                    </w:rPr>
                    <w:t>0.831</w:t>
                  </w:r>
                </w:p>
              </w:tc>
              <w:tc>
                <w:tcPr>
                  <w:tcW w:w="364" w:type="pct"/>
                  <w:shd w:val="clear" w:color="auto" w:fill="FFFFFF"/>
                  <w:noWrap/>
                  <w:vAlign w:val="center"/>
                </w:tcPr>
                <w:p w14:paraId="7AB59E73">
                  <w:pPr>
                    <w:widowControl/>
                    <w:jc w:val="center"/>
                    <w:textAlignment w:val="center"/>
                    <w:rPr>
                      <w:color w:val="auto"/>
                      <w:sz w:val="18"/>
                      <w:szCs w:val="18"/>
                    </w:rPr>
                  </w:pPr>
                  <w:r>
                    <w:rPr>
                      <w:color w:val="auto"/>
                      <w:kern w:val="0"/>
                      <w:sz w:val="18"/>
                      <w:szCs w:val="18"/>
                      <w:lang w:bidi="ar"/>
                    </w:rPr>
                    <w:t>0.117</w:t>
                  </w:r>
                </w:p>
              </w:tc>
              <w:tc>
                <w:tcPr>
                  <w:tcW w:w="505" w:type="pct"/>
                  <w:shd w:val="clear" w:color="auto" w:fill="FFFFFF"/>
                  <w:noWrap/>
                  <w:vAlign w:val="center"/>
                </w:tcPr>
                <w:p w14:paraId="248C8CED">
                  <w:pPr>
                    <w:widowControl/>
                    <w:jc w:val="center"/>
                    <w:textAlignment w:val="center"/>
                    <w:rPr>
                      <w:color w:val="auto"/>
                      <w:sz w:val="18"/>
                      <w:szCs w:val="18"/>
                    </w:rPr>
                  </w:pPr>
                  <w:r>
                    <w:rPr>
                      <w:color w:val="auto"/>
                      <w:kern w:val="0"/>
                      <w:sz w:val="18"/>
                      <w:szCs w:val="18"/>
                      <w:lang w:bidi="ar"/>
                    </w:rPr>
                    <w:t>/</w:t>
                  </w:r>
                </w:p>
              </w:tc>
            </w:tr>
            <w:tr w14:paraId="795D23D7">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39" w:type="pct"/>
                  <w:gridSpan w:val="2"/>
                  <w:vMerge w:val="continue"/>
                  <w:shd w:val="clear" w:color="auto" w:fill="FFFFFF"/>
                  <w:vAlign w:val="center"/>
                </w:tcPr>
                <w:p w14:paraId="11D68E6B">
                  <w:pPr>
                    <w:jc w:val="center"/>
                    <w:rPr>
                      <w:color w:val="auto"/>
                      <w:sz w:val="18"/>
                      <w:szCs w:val="18"/>
                    </w:rPr>
                  </w:pPr>
                </w:p>
              </w:tc>
              <w:tc>
                <w:tcPr>
                  <w:tcW w:w="410" w:type="pct"/>
                  <w:shd w:val="clear" w:color="auto" w:fill="FFFFFF"/>
                  <w:noWrap/>
                  <w:vAlign w:val="center"/>
                </w:tcPr>
                <w:p w14:paraId="6F22484E">
                  <w:pPr>
                    <w:widowControl/>
                    <w:jc w:val="center"/>
                    <w:textAlignment w:val="center"/>
                    <w:rPr>
                      <w:color w:val="auto"/>
                      <w:sz w:val="18"/>
                      <w:szCs w:val="18"/>
                    </w:rPr>
                  </w:pPr>
                  <w:r>
                    <w:rPr>
                      <w:color w:val="auto"/>
                      <w:kern w:val="0"/>
                      <w:sz w:val="18"/>
                      <w:szCs w:val="18"/>
                      <w:lang w:bidi="ar"/>
                    </w:rPr>
                    <w:t>SS</w:t>
                  </w:r>
                </w:p>
              </w:tc>
              <w:tc>
                <w:tcPr>
                  <w:tcW w:w="529" w:type="pct"/>
                  <w:shd w:val="clear" w:color="auto" w:fill="FFFFFF"/>
                  <w:noWrap/>
                  <w:vAlign w:val="center"/>
                </w:tcPr>
                <w:p w14:paraId="113CC356">
                  <w:pPr>
                    <w:widowControl/>
                    <w:jc w:val="center"/>
                    <w:textAlignment w:val="center"/>
                    <w:rPr>
                      <w:color w:val="auto"/>
                      <w:sz w:val="18"/>
                      <w:szCs w:val="18"/>
                    </w:rPr>
                  </w:pPr>
                  <w:r>
                    <w:rPr>
                      <w:color w:val="auto"/>
                      <w:kern w:val="0"/>
                      <w:sz w:val="18"/>
                      <w:szCs w:val="18"/>
                      <w:lang w:bidi="ar"/>
                    </w:rPr>
                    <w:t>0.800</w:t>
                  </w:r>
                </w:p>
              </w:tc>
              <w:tc>
                <w:tcPr>
                  <w:tcW w:w="482" w:type="pct"/>
                  <w:shd w:val="clear" w:color="auto" w:fill="FFFFFF"/>
                  <w:vAlign w:val="center"/>
                </w:tcPr>
                <w:p w14:paraId="631E7C67">
                  <w:pPr>
                    <w:widowControl/>
                    <w:jc w:val="center"/>
                    <w:textAlignment w:val="center"/>
                    <w:rPr>
                      <w:color w:val="auto"/>
                      <w:sz w:val="18"/>
                      <w:szCs w:val="18"/>
                    </w:rPr>
                  </w:pPr>
                  <w:r>
                    <w:rPr>
                      <w:color w:val="auto"/>
                      <w:kern w:val="0"/>
                      <w:sz w:val="18"/>
                      <w:szCs w:val="18"/>
                      <w:lang w:bidi="ar"/>
                    </w:rPr>
                    <w:t>0.085</w:t>
                  </w:r>
                </w:p>
              </w:tc>
              <w:tc>
                <w:tcPr>
                  <w:tcW w:w="529" w:type="pct"/>
                  <w:shd w:val="clear" w:color="auto" w:fill="FFFFFF"/>
                  <w:noWrap/>
                  <w:vAlign w:val="center"/>
                </w:tcPr>
                <w:p w14:paraId="2397642B">
                  <w:pPr>
                    <w:widowControl/>
                    <w:jc w:val="center"/>
                    <w:textAlignment w:val="center"/>
                    <w:rPr>
                      <w:color w:val="auto"/>
                      <w:sz w:val="18"/>
                      <w:szCs w:val="18"/>
                    </w:rPr>
                  </w:pPr>
                  <w:r>
                    <w:rPr>
                      <w:color w:val="auto"/>
                      <w:kern w:val="0"/>
                      <w:sz w:val="18"/>
                      <w:szCs w:val="18"/>
                      <w:lang w:bidi="ar"/>
                    </w:rPr>
                    <w:t>0.277</w:t>
                  </w:r>
                </w:p>
              </w:tc>
              <w:tc>
                <w:tcPr>
                  <w:tcW w:w="482" w:type="pct"/>
                  <w:shd w:val="clear" w:color="auto" w:fill="FFFFFF"/>
                  <w:vAlign w:val="center"/>
                </w:tcPr>
                <w:p w14:paraId="01EA9CEB">
                  <w:pPr>
                    <w:widowControl/>
                    <w:jc w:val="center"/>
                    <w:textAlignment w:val="center"/>
                    <w:rPr>
                      <w:color w:val="auto"/>
                      <w:sz w:val="18"/>
                      <w:szCs w:val="18"/>
                    </w:rPr>
                  </w:pPr>
                  <w:r>
                    <w:rPr>
                      <w:color w:val="auto"/>
                      <w:kern w:val="0"/>
                      <w:sz w:val="18"/>
                      <w:szCs w:val="18"/>
                      <w:lang w:bidi="ar"/>
                    </w:rPr>
                    <w:t>0.032</w:t>
                  </w:r>
                </w:p>
              </w:tc>
              <w:tc>
                <w:tcPr>
                  <w:tcW w:w="482" w:type="pct"/>
                  <w:shd w:val="clear" w:color="auto" w:fill="FFFFFF"/>
                  <w:noWrap/>
                  <w:vAlign w:val="center"/>
                </w:tcPr>
                <w:p w14:paraId="209287F0">
                  <w:pPr>
                    <w:widowControl/>
                    <w:jc w:val="center"/>
                    <w:textAlignment w:val="center"/>
                    <w:rPr>
                      <w:color w:val="auto"/>
                      <w:sz w:val="18"/>
                      <w:szCs w:val="18"/>
                    </w:rPr>
                  </w:pPr>
                  <w:r>
                    <w:rPr>
                      <w:color w:val="auto"/>
                      <w:kern w:val="0"/>
                      <w:sz w:val="18"/>
                      <w:szCs w:val="18"/>
                      <w:lang w:bidi="ar"/>
                    </w:rPr>
                    <w:t>0.132</w:t>
                  </w:r>
                </w:p>
              </w:tc>
              <w:tc>
                <w:tcPr>
                  <w:tcW w:w="338" w:type="pct"/>
                  <w:shd w:val="clear" w:color="auto" w:fill="FFFFFF"/>
                  <w:vAlign w:val="center"/>
                </w:tcPr>
                <w:p w14:paraId="3075CE3E">
                  <w:pPr>
                    <w:widowControl/>
                    <w:jc w:val="center"/>
                    <w:textAlignment w:val="center"/>
                    <w:rPr>
                      <w:color w:val="auto"/>
                      <w:sz w:val="18"/>
                      <w:szCs w:val="18"/>
                    </w:rPr>
                  </w:pPr>
                  <w:r>
                    <w:rPr>
                      <w:color w:val="auto"/>
                      <w:kern w:val="0"/>
                      <w:sz w:val="18"/>
                      <w:szCs w:val="18"/>
                      <w:lang w:bidi="ar"/>
                    </w:rPr>
                    <w:t>0.014</w:t>
                  </w:r>
                </w:p>
              </w:tc>
              <w:tc>
                <w:tcPr>
                  <w:tcW w:w="434" w:type="pct"/>
                  <w:shd w:val="clear" w:color="auto" w:fill="FFFFFF"/>
                  <w:noWrap/>
                  <w:vAlign w:val="center"/>
                </w:tcPr>
                <w:p w14:paraId="3275F904">
                  <w:pPr>
                    <w:widowControl/>
                    <w:jc w:val="center"/>
                    <w:textAlignment w:val="center"/>
                    <w:rPr>
                      <w:color w:val="auto"/>
                      <w:sz w:val="18"/>
                      <w:szCs w:val="18"/>
                    </w:rPr>
                  </w:pPr>
                  <w:r>
                    <w:rPr>
                      <w:color w:val="auto"/>
                      <w:kern w:val="0"/>
                      <w:sz w:val="18"/>
                      <w:szCs w:val="18"/>
                      <w:lang w:bidi="ar"/>
                    </w:rPr>
                    <w:t>0.391</w:t>
                  </w:r>
                </w:p>
              </w:tc>
              <w:tc>
                <w:tcPr>
                  <w:tcW w:w="364" w:type="pct"/>
                  <w:shd w:val="clear" w:color="auto" w:fill="FFFFFF"/>
                  <w:noWrap/>
                  <w:vAlign w:val="center"/>
                </w:tcPr>
                <w:p w14:paraId="72DED5C8">
                  <w:pPr>
                    <w:widowControl/>
                    <w:jc w:val="center"/>
                    <w:textAlignment w:val="center"/>
                    <w:rPr>
                      <w:color w:val="auto"/>
                      <w:sz w:val="18"/>
                      <w:szCs w:val="18"/>
                    </w:rPr>
                  </w:pPr>
                  <w:r>
                    <w:rPr>
                      <w:color w:val="auto"/>
                      <w:kern w:val="0"/>
                      <w:sz w:val="18"/>
                      <w:szCs w:val="18"/>
                      <w:lang w:bidi="ar"/>
                    </w:rPr>
                    <w:t>0.039</w:t>
                  </w:r>
                </w:p>
              </w:tc>
              <w:tc>
                <w:tcPr>
                  <w:tcW w:w="505" w:type="pct"/>
                  <w:shd w:val="clear" w:color="auto" w:fill="FFFFFF"/>
                  <w:noWrap/>
                  <w:vAlign w:val="center"/>
                </w:tcPr>
                <w:p w14:paraId="69BC56DC">
                  <w:pPr>
                    <w:widowControl/>
                    <w:jc w:val="center"/>
                    <w:textAlignment w:val="center"/>
                    <w:rPr>
                      <w:color w:val="auto"/>
                      <w:sz w:val="18"/>
                      <w:szCs w:val="18"/>
                    </w:rPr>
                  </w:pPr>
                  <w:r>
                    <w:rPr>
                      <w:color w:val="auto"/>
                      <w:kern w:val="0"/>
                      <w:sz w:val="18"/>
                      <w:szCs w:val="18"/>
                      <w:lang w:bidi="ar"/>
                    </w:rPr>
                    <w:t>/</w:t>
                  </w:r>
                </w:p>
              </w:tc>
            </w:tr>
            <w:tr w14:paraId="4F0BBE17">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39" w:type="pct"/>
                  <w:gridSpan w:val="2"/>
                  <w:vMerge w:val="continue"/>
                  <w:shd w:val="clear" w:color="auto" w:fill="FFFFFF"/>
                  <w:vAlign w:val="center"/>
                </w:tcPr>
                <w:p w14:paraId="0534DADB">
                  <w:pPr>
                    <w:jc w:val="center"/>
                    <w:rPr>
                      <w:color w:val="auto"/>
                      <w:sz w:val="18"/>
                      <w:szCs w:val="18"/>
                    </w:rPr>
                  </w:pPr>
                </w:p>
              </w:tc>
              <w:tc>
                <w:tcPr>
                  <w:tcW w:w="410" w:type="pct"/>
                  <w:shd w:val="clear" w:color="auto" w:fill="FFFFFF"/>
                  <w:noWrap/>
                  <w:vAlign w:val="center"/>
                </w:tcPr>
                <w:p w14:paraId="57BCBED3">
                  <w:pPr>
                    <w:widowControl/>
                    <w:jc w:val="center"/>
                    <w:textAlignment w:val="center"/>
                    <w:rPr>
                      <w:color w:val="auto"/>
                      <w:sz w:val="18"/>
                      <w:szCs w:val="18"/>
                    </w:rPr>
                  </w:pPr>
                  <w:r>
                    <w:rPr>
                      <w:color w:val="auto"/>
                      <w:kern w:val="0"/>
                      <w:sz w:val="18"/>
                      <w:szCs w:val="18"/>
                      <w:lang w:bidi="ar"/>
                    </w:rPr>
                    <w:t>盐分</w:t>
                  </w:r>
                </w:p>
              </w:tc>
              <w:tc>
                <w:tcPr>
                  <w:tcW w:w="529" w:type="pct"/>
                  <w:shd w:val="clear" w:color="auto" w:fill="FFFFFF"/>
                  <w:noWrap/>
                  <w:vAlign w:val="center"/>
                </w:tcPr>
                <w:p w14:paraId="7EF1987D">
                  <w:pPr>
                    <w:widowControl/>
                    <w:jc w:val="center"/>
                    <w:textAlignment w:val="center"/>
                    <w:rPr>
                      <w:color w:val="auto"/>
                      <w:sz w:val="18"/>
                      <w:szCs w:val="18"/>
                    </w:rPr>
                  </w:pPr>
                  <w:r>
                    <w:rPr>
                      <w:color w:val="auto"/>
                      <w:kern w:val="0"/>
                      <w:sz w:val="18"/>
                      <w:szCs w:val="18"/>
                      <w:lang w:bidi="ar"/>
                    </w:rPr>
                    <w:t>36.270</w:t>
                  </w:r>
                </w:p>
              </w:tc>
              <w:tc>
                <w:tcPr>
                  <w:tcW w:w="482" w:type="pct"/>
                  <w:shd w:val="clear" w:color="auto" w:fill="FFFFFF"/>
                  <w:vAlign w:val="center"/>
                </w:tcPr>
                <w:p w14:paraId="1573EC92">
                  <w:pPr>
                    <w:widowControl/>
                    <w:jc w:val="center"/>
                    <w:textAlignment w:val="center"/>
                    <w:rPr>
                      <w:color w:val="auto"/>
                      <w:sz w:val="18"/>
                      <w:szCs w:val="18"/>
                    </w:rPr>
                  </w:pPr>
                  <w:r>
                    <w:rPr>
                      <w:color w:val="auto"/>
                      <w:kern w:val="0"/>
                      <w:sz w:val="18"/>
                      <w:szCs w:val="18"/>
                      <w:lang w:bidi="ar"/>
                    </w:rPr>
                    <w:t>36.27</w:t>
                  </w:r>
                </w:p>
              </w:tc>
              <w:tc>
                <w:tcPr>
                  <w:tcW w:w="529" w:type="pct"/>
                  <w:shd w:val="clear" w:color="auto" w:fill="FFFFFF"/>
                  <w:noWrap/>
                  <w:vAlign w:val="center"/>
                </w:tcPr>
                <w:p w14:paraId="1B476BF1">
                  <w:pPr>
                    <w:widowControl/>
                    <w:jc w:val="center"/>
                    <w:textAlignment w:val="center"/>
                    <w:rPr>
                      <w:color w:val="auto"/>
                      <w:sz w:val="18"/>
                      <w:szCs w:val="18"/>
                    </w:rPr>
                  </w:pPr>
                  <w:r>
                    <w:rPr>
                      <w:color w:val="auto"/>
                      <w:kern w:val="0"/>
                      <w:sz w:val="18"/>
                      <w:szCs w:val="18"/>
                      <w:lang w:bidi="ar"/>
                    </w:rPr>
                    <w:t>18.540</w:t>
                  </w:r>
                </w:p>
              </w:tc>
              <w:tc>
                <w:tcPr>
                  <w:tcW w:w="482" w:type="pct"/>
                  <w:shd w:val="clear" w:color="auto" w:fill="FFFFFF"/>
                  <w:vAlign w:val="center"/>
                </w:tcPr>
                <w:p w14:paraId="1E04BA4B">
                  <w:pPr>
                    <w:widowControl/>
                    <w:jc w:val="center"/>
                    <w:textAlignment w:val="center"/>
                    <w:rPr>
                      <w:color w:val="auto"/>
                      <w:sz w:val="18"/>
                      <w:szCs w:val="18"/>
                    </w:rPr>
                  </w:pPr>
                  <w:r>
                    <w:rPr>
                      <w:color w:val="auto"/>
                      <w:kern w:val="0"/>
                      <w:sz w:val="18"/>
                      <w:szCs w:val="18"/>
                      <w:lang w:bidi="ar"/>
                    </w:rPr>
                    <w:t>18.54</w:t>
                  </w:r>
                </w:p>
              </w:tc>
              <w:tc>
                <w:tcPr>
                  <w:tcW w:w="482" w:type="pct"/>
                  <w:shd w:val="clear" w:color="auto" w:fill="FFFFFF"/>
                  <w:noWrap/>
                  <w:vAlign w:val="center"/>
                </w:tcPr>
                <w:p w14:paraId="366B9C80">
                  <w:pPr>
                    <w:widowControl/>
                    <w:jc w:val="center"/>
                    <w:textAlignment w:val="center"/>
                    <w:rPr>
                      <w:color w:val="auto"/>
                      <w:sz w:val="18"/>
                      <w:szCs w:val="18"/>
                    </w:rPr>
                  </w:pPr>
                  <w:r>
                    <w:rPr>
                      <w:color w:val="auto"/>
                      <w:kern w:val="0"/>
                      <w:sz w:val="18"/>
                      <w:szCs w:val="18"/>
                      <w:lang w:bidi="ar"/>
                    </w:rPr>
                    <w:t>0.000</w:t>
                  </w:r>
                </w:p>
              </w:tc>
              <w:tc>
                <w:tcPr>
                  <w:tcW w:w="338" w:type="pct"/>
                  <w:shd w:val="clear" w:color="auto" w:fill="FFFFFF"/>
                  <w:vAlign w:val="center"/>
                </w:tcPr>
                <w:p w14:paraId="595F9864">
                  <w:pPr>
                    <w:widowControl/>
                    <w:jc w:val="center"/>
                    <w:textAlignment w:val="center"/>
                    <w:rPr>
                      <w:color w:val="auto"/>
                      <w:sz w:val="18"/>
                      <w:szCs w:val="18"/>
                    </w:rPr>
                  </w:pPr>
                  <w:r>
                    <w:rPr>
                      <w:color w:val="auto"/>
                      <w:kern w:val="0"/>
                      <w:sz w:val="18"/>
                      <w:szCs w:val="18"/>
                      <w:lang w:bidi="ar"/>
                    </w:rPr>
                    <w:t>0</w:t>
                  </w:r>
                </w:p>
              </w:tc>
              <w:tc>
                <w:tcPr>
                  <w:tcW w:w="434" w:type="pct"/>
                  <w:shd w:val="clear" w:color="auto" w:fill="FFFFFF"/>
                  <w:noWrap/>
                  <w:vAlign w:val="center"/>
                </w:tcPr>
                <w:p w14:paraId="43660F84">
                  <w:pPr>
                    <w:widowControl/>
                    <w:jc w:val="center"/>
                    <w:textAlignment w:val="center"/>
                    <w:rPr>
                      <w:color w:val="auto"/>
                      <w:sz w:val="18"/>
                      <w:szCs w:val="18"/>
                    </w:rPr>
                  </w:pPr>
                  <w:r>
                    <w:rPr>
                      <w:color w:val="auto"/>
                      <w:kern w:val="0"/>
                      <w:sz w:val="18"/>
                      <w:szCs w:val="18"/>
                      <w:lang w:bidi="ar"/>
                    </w:rPr>
                    <w:t>17.730</w:t>
                  </w:r>
                </w:p>
              </w:tc>
              <w:tc>
                <w:tcPr>
                  <w:tcW w:w="364" w:type="pct"/>
                  <w:shd w:val="clear" w:color="auto" w:fill="FFFFFF"/>
                  <w:noWrap/>
                  <w:vAlign w:val="center"/>
                </w:tcPr>
                <w:p w14:paraId="3D6E16F7">
                  <w:pPr>
                    <w:widowControl/>
                    <w:jc w:val="center"/>
                    <w:textAlignment w:val="center"/>
                    <w:rPr>
                      <w:color w:val="auto"/>
                      <w:sz w:val="18"/>
                      <w:szCs w:val="18"/>
                    </w:rPr>
                  </w:pPr>
                  <w:r>
                    <w:rPr>
                      <w:color w:val="auto"/>
                      <w:kern w:val="0"/>
                      <w:sz w:val="18"/>
                      <w:szCs w:val="18"/>
                      <w:lang w:bidi="ar"/>
                    </w:rPr>
                    <w:t>17.73</w:t>
                  </w:r>
                </w:p>
              </w:tc>
              <w:tc>
                <w:tcPr>
                  <w:tcW w:w="505" w:type="pct"/>
                  <w:shd w:val="clear" w:color="auto" w:fill="FFFFFF"/>
                  <w:noWrap/>
                  <w:vAlign w:val="center"/>
                </w:tcPr>
                <w:p w14:paraId="4373DDAB">
                  <w:pPr>
                    <w:widowControl/>
                    <w:jc w:val="center"/>
                    <w:textAlignment w:val="center"/>
                    <w:rPr>
                      <w:color w:val="auto"/>
                      <w:sz w:val="18"/>
                      <w:szCs w:val="18"/>
                    </w:rPr>
                  </w:pPr>
                  <w:r>
                    <w:rPr>
                      <w:color w:val="auto"/>
                      <w:kern w:val="0"/>
                      <w:sz w:val="18"/>
                      <w:szCs w:val="18"/>
                      <w:lang w:bidi="ar"/>
                    </w:rPr>
                    <w:t>/</w:t>
                  </w:r>
                </w:p>
              </w:tc>
            </w:tr>
            <w:tr w14:paraId="797838AE">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39" w:type="pct"/>
                  <w:gridSpan w:val="2"/>
                  <w:vMerge w:val="restart"/>
                  <w:shd w:val="clear" w:color="auto" w:fill="FFFFFF"/>
                  <w:vAlign w:val="center"/>
                </w:tcPr>
                <w:p w14:paraId="10885173">
                  <w:pPr>
                    <w:widowControl/>
                    <w:jc w:val="center"/>
                    <w:textAlignment w:val="center"/>
                    <w:rPr>
                      <w:color w:val="auto"/>
                      <w:sz w:val="18"/>
                      <w:szCs w:val="18"/>
                    </w:rPr>
                  </w:pPr>
                  <w:r>
                    <w:rPr>
                      <w:color w:val="auto"/>
                      <w:kern w:val="0"/>
                      <w:sz w:val="18"/>
                      <w:szCs w:val="18"/>
                      <w:lang w:bidi="ar"/>
                    </w:rPr>
                    <w:t>固废</w:t>
                  </w:r>
                </w:p>
              </w:tc>
              <w:tc>
                <w:tcPr>
                  <w:tcW w:w="410" w:type="pct"/>
                  <w:shd w:val="clear" w:color="auto" w:fill="FFFFFF"/>
                  <w:vAlign w:val="center"/>
                </w:tcPr>
                <w:p w14:paraId="58A95B21">
                  <w:pPr>
                    <w:widowControl/>
                    <w:jc w:val="center"/>
                    <w:textAlignment w:val="center"/>
                    <w:rPr>
                      <w:color w:val="auto"/>
                      <w:sz w:val="18"/>
                      <w:szCs w:val="18"/>
                    </w:rPr>
                  </w:pPr>
                  <w:r>
                    <w:rPr>
                      <w:color w:val="auto"/>
                      <w:kern w:val="0"/>
                      <w:sz w:val="18"/>
                      <w:szCs w:val="18"/>
                      <w:lang w:bidi="ar"/>
                    </w:rPr>
                    <w:t>危险废物</w:t>
                  </w:r>
                </w:p>
              </w:tc>
              <w:tc>
                <w:tcPr>
                  <w:tcW w:w="1012" w:type="pct"/>
                  <w:gridSpan w:val="2"/>
                  <w:shd w:val="clear" w:color="auto" w:fill="FFFFFF"/>
                  <w:vAlign w:val="center"/>
                </w:tcPr>
                <w:p w14:paraId="7419DD39">
                  <w:pPr>
                    <w:widowControl/>
                    <w:jc w:val="center"/>
                    <w:textAlignment w:val="center"/>
                    <w:rPr>
                      <w:bCs/>
                      <w:color w:val="auto"/>
                      <w:sz w:val="18"/>
                      <w:szCs w:val="18"/>
                    </w:rPr>
                  </w:pPr>
                  <w:r>
                    <w:rPr>
                      <w:bCs/>
                      <w:color w:val="auto"/>
                      <w:kern w:val="0"/>
                      <w:sz w:val="18"/>
                      <w:szCs w:val="18"/>
                      <w:lang w:bidi="ar"/>
                    </w:rPr>
                    <w:t>0</w:t>
                  </w:r>
                </w:p>
              </w:tc>
              <w:tc>
                <w:tcPr>
                  <w:tcW w:w="1012" w:type="pct"/>
                  <w:gridSpan w:val="2"/>
                  <w:shd w:val="clear" w:color="auto" w:fill="FFFFFF"/>
                  <w:vAlign w:val="center"/>
                </w:tcPr>
                <w:p w14:paraId="1F48C48D">
                  <w:pPr>
                    <w:widowControl/>
                    <w:jc w:val="center"/>
                    <w:textAlignment w:val="center"/>
                    <w:rPr>
                      <w:bCs/>
                      <w:color w:val="auto"/>
                      <w:sz w:val="18"/>
                      <w:szCs w:val="18"/>
                    </w:rPr>
                  </w:pPr>
                  <w:r>
                    <w:rPr>
                      <w:bCs/>
                      <w:color w:val="auto"/>
                      <w:kern w:val="0"/>
                      <w:sz w:val="18"/>
                      <w:szCs w:val="18"/>
                      <w:lang w:bidi="ar"/>
                    </w:rPr>
                    <w:t>0</w:t>
                  </w:r>
                </w:p>
              </w:tc>
              <w:tc>
                <w:tcPr>
                  <w:tcW w:w="821" w:type="pct"/>
                  <w:gridSpan w:val="2"/>
                  <w:shd w:val="clear" w:color="auto" w:fill="FFFFFF"/>
                  <w:vAlign w:val="center"/>
                </w:tcPr>
                <w:p w14:paraId="45A91DFA">
                  <w:pPr>
                    <w:widowControl/>
                    <w:jc w:val="center"/>
                    <w:textAlignment w:val="center"/>
                    <w:rPr>
                      <w:bCs/>
                      <w:color w:val="auto"/>
                      <w:sz w:val="18"/>
                      <w:szCs w:val="18"/>
                    </w:rPr>
                  </w:pPr>
                  <w:r>
                    <w:rPr>
                      <w:bCs/>
                      <w:color w:val="auto"/>
                      <w:kern w:val="0"/>
                      <w:sz w:val="18"/>
                      <w:szCs w:val="18"/>
                      <w:lang w:bidi="ar"/>
                    </w:rPr>
                    <w:t>0</w:t>
                  </w:r>
                </w:p>
              </w:tc>
              <w:tc>
                <w:tcPr>
                  <w:tcW w:w="799" w:type="pct"/>
                  <w:gridSpan w:val="2"/>
                  <w:shd w:val="clear" w:color="auto" w:fill="FFFFFF"/>
                  <w:vAlign w:val="center"/>
                </w:tcPr>
                <w:p w14:paraId="03EFE7FA">
                  <w:pPr>
                    <w:widowControl/>
                    <w:jc w:val="center"/>
                    <w:textAlignment w:val="center"/>
                    <w:rPr>
                      <w:bCs/>
                      <w:color w:val="auto"/>
                      <w:sz w:val="18"/>
                      <w:szCs w:val="18"/>
                    </w:rPr>
                  </w:pPr>
                  <w:r>
                    <w:rPr>
                      <w:bCs/>
                      <w:color w:val="auto"/>
                      <w:kern w:val="0"/>
                      <w:sz w:val="18"/>
                      <w:szCs w:val="18"/>
                      <w:lang w:bidi="ar"/>
                    </w:rPr>
                    <w:t>0</w:t>
                  </w:r>
                </w:p>
              </w:tc>
              <w:tc>
                <w:tcPr>
                  <w:tcW w:w="505" w:type="pct"/>
                  <w:shd w:val="clear" w:color="auto" w:fill="FFFFFF"/>
                  <w:noWrap/>
                  <w:vAlign w:val="center"/>
                </w:tcPr>
                <w:p w14:paraId="25A3015E">
                  <w:pPr>
                    <w:widowControl/>
                    <w:jc w:val="center"/>
                    <w:textAlignment w:val="center"/>
                    <w:rPr>
                      <w:color w:val="auto"/>
                      <w:sz w:val="18"/>
                      <w:szCs w:val="18"/>
                    </w:rPr>
                  </w:pPr>
                  <w:r>
                    <w:rPr>
                      <w:color w:val="auto"/>
                      <w:kern w:val="0"/>
                      <w:sz w:val="18"/>
                      <w:szCs w:val="18"/>
                      <w:lang w:bidi="ar"/>
                    </w:rPr>
                    <w:t>/</w:t>
                  </w:r>
                </w:p>
              </w:tc>
            </w:tr>
            <w:tr w14:paraId="6B5B247A">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439" w:type="pct"/>
                  <w:gridSpan w:val="2"/>
                  <w:vMerge w:val="continue"/>
                  <w:shd w:val="clear" w:color="auto" w:fill="FFFFFF"/>
                  <w:vAlign w:val="center"/>
                </w:tcPr>
                <w:p w14:paraId="14235AA2">
                  <w:pPr>
                    <w:jc w:val="center"/>
                    <w:rPr>
                      <w:color w:val="auto"/>
                      <w:sz w:val="18"/>
                      <w:szCs w:val="18"/>
                    </w:rPr>
                  </w:pPr>
                </w:p>
              </w:tc>
              <w:tc>
                <w:tcPr>
                  <w:tcW w:w="410" w:type="pct"/>
                  <w:shd w:val="clear" w:color="auto" w:fill="FFFFFF"/>
                  <w:vAlign w:val="center"/>
                </w:tcPr>
                <w:p w14:paraId="2B58B03A">
                  <w:pPr>
                    <w:widowControl/>
                    <w:jc w:val="center"/>
                    <w:textAlignment w:val="center"/>
                    <w:rPr>
                      <w:color w:val="auto"/>
                      <w:sz w:val="18"/>
                      <w:szCs w:val="18"/>
                    </w:rPr>
                  </w:pPr>
                  <w:r>
                    <w:rPr>
                      <w:color w:val="auto"/>
                      <w:kern w:val="0"/>
                      <w:sz w:val="18"/>
                      <w:szCs w:val="18"/>
                      <w:lang w:bidi="ar"/>
                    </w:rPr>
                    <w:t>一般工业固废</w:t>
                  </w:r>
                </w:p>
              </w:tc>
              <w:tc>
                <w:tcPr>
                  <w:tcW w:w="1012" w:type="pct"/>
                  <w:gridSpan w:val="2"/>
                  <w:shd w:val="clear" w:color="auto" w:fill="FFFFFF"/>
                  <w:vAlign w:val="center"/>
                </w:tcPr>
                <w:p w14:paraId="046D5D77">
                  <w:pPr>
                    <w:widowControl/>
                    <w:jc w:val="center"/>
                    <w:textAlignment w:val="center"/>
                    <w:rPr>
                      <w:bCs/>
                      <w:color w:val="auto"/>
                      <w:sz w:val="18"/>
                      <w:szCs w:val="18"/>
                    </w:rPr>
                  </w:pPr>
                  <w:r>
                    <w:rPr>
                      <w:bCs/>
                      <w:color w:val="auto"/>
                      <w:kern w:val="0"/>
                      <w:sz w:val="18"/>
                      <w:szCs w:val="18"/>
                      <w:lang w:bidi="ar"/>
                    </w:rPr>
                    <w:t>0</w:t>
                  </w:r>
                </w:p>
              </w:tc>
              <w:tc>
                <w:tcPr>
                  <w:tcW w:w="1012" w:type="pct"/>
                  <w:gridSpan w:val="2"/>
                  <w:shd w:val="clear" w:color="auto" w:fill="FFFFFF"/>
                  <w:vAlign w:val="center"/>
                </w:tcPr>
                <w:p w14:paraId="72A76123">
                  <w:pPr>
                    <w:widowControl/>
                    <w:jc w:val="center"/>
                    <w:textAlignment w:val="center"/>
                    <w:rPr>
                      <w:bCs/>
                      <w:color w:val="auto"/>
                      <w:sz w:val="18"/>
                      <w:szCs w:val="18"/>
                    </w:rPr>
                  </w:pPr>
                  <w:r>
                    <w:rPr>
                      <w:bCs/>
                      <w:color w:val="auto"/>
                      <w:kern w:val="0"/>
                      <w:sz w:val="18"/>
                      <w:szCs w:val="18"/>
                      <w:lang w:bidi="ar"/>
                    </w:rPr>
                    <w:t>0</w:t>
                  </w:r>
                </w:p>
              </w:tc>
              <w:tc>
                <w:tcPr>
                  <w:tcW w:w="821" w:type="pct"/>
                  <w:gridSpan w:val="2"/>
                  <w:shd w:val="clear" w:color="auto" w:fill="FFFFFF"/>
                  <w:vAlign w:val="center"/>
                </w:tcPr>
                <w:p w14:paraId="1A4683CA">
                  <w:pPr>
                    <w:widowControl/>
                    <w:jc w:val="center"/>
                    <w:textAlignment w:val="center"/>
                    <w:rPr>
                      <w:bCs/>
                      <w:color w:val="auto"/>
                      <w:sz w:val="18"/>
                      <w:szCs w:val="18"/>
                    </w:rPr>
                  </w:pPr>
                  <w:r>
                    <w:rPr>
                      <w:bCs/>
                      <w:color w:val="auto"/>
                      <w:kern w:val="0"/>
                      <w:sz w:val="18"/>
                      <w:szCs w:val="18"/>
                      <w:lang w:bidi="ar"/>
                    </w:rPr>
                    <w:t>0</w:t>
                  </w:r>
                </w:p>
              </w:tc>
              <w:tc>
                <w:tcPr>
                  <w:tcW w:w="799" w:type="pct"/>
                  <w:gridSpan w:val="2"/>
                  <w:shd w:val="clear" w:color="auto" w:fill="FFFFFF"/>
                  <w:vAlign w:val="center"/>
                </w:tcPr>
                <w:p w14:paraId="1E3A8A77">
                  <w:pPr>
                    <w:widowControl/>
                    <w:jc w:val="center"/>
                    <w:textAlignment w:val="center"/>
                    <w:rPr>
                      <w:bCs/>
                      <w:color w:val="auto"/>
                      <w:sz w:val="18"/>
                      <w:szCs w:val="18"/>
                    </w:rPr>
                  </w:pPr>
                  <w:r>
                    <w:rPr>
                      <w:bCs/>
                      <w:color w:val="auto"/>
                      <w:kern w:val="0"/>
                      <w:sz w:val="18"/>
                      <w:szCs w:val="18"/>
                      <w:lang w:bidi="ar"/>
                    </w:rPr>
                    <w:t>0</w:t>
                  </w:r>
                </w:p>
              </w:tc>
              <w:tc>
                <w:tcPr>
                  <w:tcW w:w="505" w:type="pct"/>
                  <w:shd w:val="clear" w:color="auto" w:fill="FFFFFF"/>
                  <w:noWrap/>
                  <w:vAlign w:val="center"/>
                </w:tcPr>
                <w:p w14:paraId="46DEC5E8">
                  <w:pPr>
                    <w:widowControl/>
                    <w:jc w:val="center"/>
                    <w:textAlignment w:val="center"/>
                    <w:rPr>
                      <w:color w:val="auto"/>
                      <w:sz w:val="18"/>
                      <w:szCs w:val="18"/>
                    </w:rPr>
                  </w:pPr>
                  <w:r>
                    <w:rPr>
                      <w:color w:val="auto"/>
                      <w:kern w:val="0"/>
                      <w:sz w:val="18"/>
                      <w:szCs w:val="18"/>
                      <w:lang w:bidi="ar"/>
                    </w:rPr>
                    <w:t>/</w:t>
                  </w:r>
                </w:p>
              </w:tc>
            </w:tr>
            <w:tr w14:paraId="0167F781">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39" w:type="pct"/>
                  <w:gridSpan w:val="2"/>
                  <w:vMerge w:val="continue"/>
                  <w:shd w:val="clear" w:color="auto" w:fill="FFFFFF"/>
                  <w:vAlign w:val="center"/>
                </w:tcPr>
                <w:p w14:paraId="22935C4D">
                  <w:pPr>
                    <w:jc w:val="center"/>
                    <w:rPr>
                      <w:color w:val="auto"/>
                      <w:sz w:val="18"/>
                      <w:szCs w:val="18"/>
                    </w:rPr>
                  </w:pPr>
                </w:p>
              </w:tc>
              <w:tc>
                <w:tcPr>
                  <w:tcW w:w="410" w:type="pct"/>
                  <w:shd w:val="clear" w:color="auto" w:fill="FFFFFF"/>
                  <w:vAlign w:val="center"/>
                </w:tcPr>
                <w:p w14:paraId="0A48B2BE">
                  <w:pPr>
                    <w:widowControl/>
                    <w:jc w:val="center"/>
                    <w:textAlignment w:val="center"/>
                    <w:rPr>
                      <w:color w:val="auto"/>
                      <w:sz w:val="18"/>
                      <w:szCs w:val="18"/>
                    </w:rPr>
                  </w:pPr>
                  <w:r>
                    <w:rPr>
                      <w:color w:val="auto"/>
                      <w:kern w:val="0"/>
                      <w:sz w:val="18"/>
                      <w:szCs w:val="18"/>
                      <w:lang w:bidi="ar"/>
                    </w:rPr>
                    <w:t>生活垃圾</w:t>
                  </w:r>
                </w:p>
              </w:tc>
              <w:tc>
                <w:tcPr>
                  <w:tcW w:w="1012" w:type="pct"/>
                  <w:gridSpan w:val="2"/>
                  <w:shd w:val="clear" w:color="auto" w:fill="FFFFFF"/>
                  <w:vAlign w:val="center"/>
                </w:tcPr>
                <w:p w14:paraId="21FDE26A">
                  <w:pPr>
                    <w:widowControl/>
                    <w:jc w:val="center"/>
                    <w:textAlignment w:val="center"/>
                    <w:rPr>
                      <w:bCs/>
                      <w:color w:val="auto"/>
                      <w:sz w:val="18"/>
                      <w:szCs w:val="18"/>
                    </w:rPr>
                  </w:pPr>
                  <w:r>
                    <w:rPr>
                      <w:bCs/>
                      <w:color w:val="auto"/>
                      <w:kern w:val="0"/>
                      <w:sz w:val="18"/>
                      <w:szCs w:val="18"/>
                      <w:lang w:bidi="ar"/>
                    </w:rPr>
                    <w:t>0</w:t>
                  </w:r>
                </w:p>
              </w:tc>
              <w:tc>
                <w:tcPr>
                  <w:tcW w:w="1012" w:type="pct"/>
                  <w:gridSpan w:val="2"/>
                  <w:shd w:val="clear" w:color="auto" w:fill="FFFFFF"/>
                  <w:vAlign w:val="center"/>
                </w:tcPr>
                <w:p w14:paraId="23E3C99C">
                  <w:pPr>
                    <w:widowControl/>
                    <w:jc w:val="center"/>
                    <w:textAlignment w:val="center"/>
                    <w:rPr>
                      <w:bCs/>
                      <w:color w:val="auto"/>
                      <w:sz w:val="18"/>
                      <w:szCs w:val="18"/>
                    </w:rPr>
                  </w:pPr>
                  <w:r>
                    <w:rPr>
                      <w:bCs/>
                      <w:color w:val="auto"/>
                      <w:kern w:val="0"/>
                      <w:sz w:val="18"/>
                      <w:szCs w:val="18"/>
                      <w:lang w:bidi="ar"/>
                    </w:rPr>
                    <w:t>0</w:t>
                  </w:r>
                </w:p>
              </w:tc>
              <w:tc>
                <w:tcPr>
                  <w:tcW w:w="821" w:type="pct"/>
                  <w:gridSpan w:val="2"/>
                  <w:shd w:val="clear" w:color="auto" w:fill="FFFFFF"/>
                  <w:vAlign w:val="center"/>
                </w:tcPr>
                <w:p w14:paraId="74BA3BFD">
                  <w:pPr>
                    <w:widowControl/>
                    <w:jc w:val="center"/>
                    <w:textAlignment w:val="center"/>
                    <w:rPr>
                      <w:bCs/>
                      <w:color w:val="auto"/>
                      <w:sz w:val="18"/>
                      <w:szCs w:val="18"/>
                    </w:rPr>
                  </w:pPr>
                  <w:r>
                    <w:rPr>
                      <w:bCs/>
                      <w:color w:val="auto"/>
                      <w:kern w:val="0"/>
                      <w:sz w:val="18"/>
                      <w:szCs w:val="18"/>
                      <w:lang w:bidi="ar"/>
                    </w:rPr>
                    <w:t>0</w:t>
                  </w:r>
                </w:p>
              </w:tc>
              <w:tc>
                <w:tcPr>
                  <w:tcW w:w="799" w:type="pct"/>
                  <w:gridSpan w:val="2"/>
                  <w:shd w:val="clear" w:color="auto" w:fill="FFFFFF"/>
                  <w:vAlign w:val="center"/>
                </w:tcPr>
                <w:p w14:paraId="279C3C58">
                  <w:pPr>
                    <w:widowControl/>
                    <w:jc w:val="center"/>
                    <w:textAlignment w:val="center"/>
                    <w:rPr>
                      <w:bCs/>
                      <w:color w:val="auto"/>
                      <w:sz w:val="18"/>
                      <w:szCs w:val="18"/>
                    </w:rPr>
                  </w:pPr>
                  <w:r>
                    <w:rPr>
                      <w:bCs/>
                      <w:color w:val="auto"/>
                      <w:kern w:val="0"/>
                      <w:sz w:val="18"/>
                      <w:szCs w:val="18"/>
                      <w:lang w:bidi="ar"/>
                    </w:rPr>
                    <w:t>0</w:t>
                  </w:r>
                </w:p>
              </w:tc>
              <w:tc>
                <w:tcPr>
                  <w:tcW w:w="505" w:type="pct"/>
                  <w:shd w:val="clear" w:color="auto" w:fill="FFFFFF"/>
                  <w:noWrap/>
                  <w:vAlign w:val="center"/>
                </w:tcPr>
                <w:p w14:paraId="2FC3B0F2">
                  <w:pPr>
                    <w:widowControl/>
                    <w:jc w:val="center"/>
                    <w:textAlignment w:val="center"/>
                    <w:rPr>
                      <w:color w:val="auto"/>
                      <w:sz w:val="18"/>
                      <w:szCs w:val="18"/>
                    </w:rPr>
                  </w:pPr>
                  <w:r>
                    <w:rPr>
                      <w:color w:val="auto"/>
                      <w:kern w:val="0"/>
                      <w:sz w:val="18"/>
                      <w:szCs w:val="18"/>
                      <w:lang w:bidi="ar"/>
                    </w:rPr>
                    <w:t>/</w:t>
                  </w:r>
                </w:p>
              </w:tc>
            </w:tr>
          </w:tbl>
          <w:p w14:paraId="602A67F5">
            <w:pPr>
              <w:adjustRightInd w:val="0"/>
              <w:snapToGrid w:val="0"/>
              <w:rPr>
                <w:b/>
                <w:color w:val="auto"/>
                <w:sz w:val="20"/>
                <w:szCs w:val="20"/>
              </w:rPr>
            </w:pPr>
            <w:r>
              <w:rPr>
                <w:rFonts w:hint="eastAsia"/>
                <w:b/>
                <w:color w:val="auto"/>
                <w:sz w:val="20"/>
                <w:szCs w:val="20"/>
              </w:rPr>
              <w:t>注：废水左侧为接管量，右侧为外排量。</w:t>
            </w:r>
          </w:p>
          <w:p w14:paraId="552EC6A1">
            <w:pPr>
              <w:adjustRightInd w:val="0"/>
              <w:snapToGrid w:val="0"/>
              <w:spacing w:line="500" w:lineRule="exact"/>
              <w:ind w:firstLine="422" w:firstLineChars="200"/>
              <w:rPr>
                <w:b/>
                <w:color w:val="auto"/>
                <w:szCs w:val="21"/>
              </w:rPr>
            </w:pPr>
            <w:r>
              <w:rPr>
                <w:b/>
                <w:color w:val="auto"/>
                <w:szCs w:val="21"/>
              </w:rPr>
              <w:t>8.</w:t>
            </w:r>
            <w:r>
              <w:rPr>
                <w:rFonts w:hint="eastAsia"/>
                <w:b/>
                <w:color w:val="auto"/>
                <w:szCs w:val="21"/>
              </w:rPr>
              <w:t>现有项目存在的主要环保问题以及“以新代老”措施</w:t>
            </w:r>
          </w:p>
          <w:p w14:paraId="6E5947C2">
            <w:pPr>
              <w:adjustRightInd w:val="0"/>
              <w:snapToGrid w:val="0"/>
              <w:spacing w:line="500" w:lineRule="exact"/>
              <w:ind w:firstLine="420" w:firstLineChars="200"/>
              <w:rPr>
                <w:color w:val="auto"/>
                <w:szCs w:val="21"/>
              </w:rPr>
            </w:pPr>
            <w:r>
              <w:rPr>
                <w:rFonts w:hint="eastAsia"/>
                <w:color w:val="auto"/>
                <w:szCs w:val="21"/>
              </w:rPr>
              <w:t>1）现有项目实验室废气经空气净化装置处理后直接排放，且未进行废气量的核算。通过本项目的建设，新建化验室废气经收集处理后通过新建的1</w:t>
            </w:r>
            <w:r>
              <w:rPr>
                <w:color w:val="auto"/>
                <w:szCs w:val="21"/>
              </w:rPr>
              <w:t>5</w:t>
            </w:r>
            <w:r>
              <w:rPr>
                <w:rFonts w:hint="eastAsia"/>
                <w:color w:val="auto"/>
                <w:szCs w:val="21"/>
              </w:rPr>
              <w:t>m高排气筒有组织排放，现有实验室闲置不再使用。本项目实验室检验项目、规模、频率</w:t>
            </w:r>
            <w:r>
              <w:rPr>
                <w:rFonts w:hint="eastAsia"/>
                <w:color w:val="auto"/>
                <w:szCs w:val="21"/>
                <w:lang w:val="en-US" w:eastAsia="zh-CN"/>
              </w:rPr>
              <w:t>以及产污情况</w:t>
            </w:r>
            <w:r>
              <w:rPr>
                <w:rFonts w:hint="eastAsia"/>
                <w:color w:val="auto"/>
                <w:szCs w:val="21"/>
              </w:rPr>
              <w:t>与现有实验室保持一致。</w:t>
            </w:r>
            <w:r>
              <w:rPr>
                <w:rFonts w:hint="eastAsia"/>
                <w:color w:val="auto"/>
                <w:szCs w:val="21"/>
                <w:lang w:val="en-US" w:eastAsia="zh-CN"/>
              </w:rPr>
              <w:t>直接在本项目</w:t>
            </w:r>
            <w:r>
              <w:rPr>
                <w:rFonts w:hint="eastAsia"/>
                <w:color w:val="auto"/>
                <w:szCs w:val="21"/>
              </w:rPr>
              <w:t>对实验室废气进行</w:t>
            </w:r>
            <w:r>
              <w:rPr>
                <w:rFonts w:hint="eastAsia"/>
                <w:color w:val="auto"/>
                <w:szCs w:val="21"/>
                <w:lang w:val="en-US" w:eastAsia="zh-CN"/>
              </w:rPr>
              <w:t>重新</w:t>
            </w:r>
            <w:r>
              <w:rPr>
                <w:rFonts w:hint="eastAsia"/>
                <w:color w:val="auto"/>
                <w:szCs w:val="21"/>
              </w:rPr>
              <w:t>核算。</w:t>
            </w:r>
          </w:p>
          <w:p w14:paraId="4701A26D">
            <w:pPr>
              <w:adjustRightInd w:val="0"/>
              <w:snapToGrid w:val="0"/>
              <w:spacing w:line="500" w:lineRule="exact"/>
              <w:ind w:firstLine="420" w:firstLineChars="200"/>
              <w:rPr>
                <w:color w:val="auto"/>
                <w:szCs w:val="21"/>
              </w:rPr>
            </w:pPr>
            <w:r>
              <w:rPr>
                <w:rFonts w:hint="eastAsia"/>
                <w:color w:val="auto"/>
                <w:szCs w:val="21"/>
              </w:rPr>
              <w:t>2）本次改建</w:t>
            </w:r>
            <w:r>
              <w:rPr>
                <w:rFonts w:hint="eastAsia"/>
                <w:bCs/>
                <w:color w:val="auto"/>
                <w:szCs w:val="21"/>
              </w:rPr>
              <w:t>质检及车间管理楼实验室后，中控品管理楼内</w:t>
            </w:r>
            <w:r>
              <w:rPr>
                <w:rFonts w:hint="eastAsia"/>
                <w:color w:val="auto"/>
                <w:szCs w:val="21"/>
              </w:rPr>
              <w:t>现有实验室闲置不再使用。故本次将削减现有实验室</w:t>
            </w:r>
            <w:r>
              <w:rPr>
                <w:rFonts w:hint="eastAsia"/>
                <w:color w:val="auto"/>
                <w:szCs w:val="21"/>
                <w:lang w:val="en-US" w:eastAsia="zh-CN"/>
              </w:rPr>
              <w:t>已核算</w:t>
            </w:r>
            <w:r>
              <w:rPr>
                <w:rFonts w:hint="eastAsia"/>
                <w:color w:val="auto"/>
                <w:szCs w:val="21"/>
              </w:rPr>
              <w:t>的污染物排放量</w:t>
            </w:r>
            <w:r>
              <w:rPr>
                <w:rFonts w:hint="eastAsia"/>
                <w:color w:val="auto"/>
                <w:szCs w:val="21"/>
                <w:lang w:eastAsia="zh-CN"/>
              </w:rPr>
              <w:t>（</w:t>
            </w:r>
            <w:r>
              <w:rPr>
                <w:rFonts w:hint="eastAsia"/>
                <w:color w:val="auto"/>
                <w:szCs w:val="21"/>
                <w:lang w:val="en-US" w:eastAsia="zh-CN"/>
              </w:rPr>
              <w:t>废水及固废</w:t>
            </w:r>
            <w:r>
              <w:rPr>
                <w:rFonts w:hint="eastAsia"/>
                <w:color w:val="auto"/>
                <w:szCs w:val="21"/>
                <w:lang w:eastAsia="zh-CN"/>
              </w:rPr>
              <w:t>）</w:t>
            </w:r>
            <w:r>
              <w:rPr>
                <w:rFonts w:hint="eastAsia"/>
                <w:color w:val="auto"/>
                <w:szCs w:val="21"/>
              </w:rPr>
              <w:t>，并将其作为以新带老量。削减量详见表2-21。现有实验室排放量来源于现有项目环评。</w:t>
            </w:r>
          </w:p>
          <w:p w14:paraId="0A6C97FA">
            <w:pPr>
              <w:snapToGrid w:val="0"/>
              <w:spacing w:line="500" w:lineRule="exact"/>
              <w:jc w:val="center"/>
              <w:rPr>
                <w:color w:val="auto"/>
                <w:szCs w:val="21"/>
              </w:rPr>
            </w:pPr>
            <w:r>
              <w:rPr>
                <w:rFonts w:hint="eastAsia"/>
                <w:b/>
                <w:color w:val="auto"/>
                <w:szCs w:val="21"/>
              </w:rPr>
              <w:t>表2-11</w:t>
            </w:r>
            <w:r>
              <w:rPr>
                <w:b/>
                <w:color w:val="auto"/>
                <w:szCs w:val="21"/>
              </w:rPr>
              <w:t xml:space="preserve"> </w:t>
            </w:r>
            <w:r>
              <w:rPr>
                <w:rFonts w:hint="eastAsia"/>
                <w:b/>
                <w:color w:val="auto"/>
                <w:szCs w:val="21"/>
              </w:rPr>
              <w:t>现有实验室污染物排放一览表（即本项目“削减量”）</w:t>
            </w:r>
          </w:p>
          <w:tbl>
            <w:tblPr>
              <w:tblStyle w:val="21"/>
              <w:tblW w:w="499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993"/>
              <w:gridCol w:w="2855"/>
              <w:gridCol w:w="3576"/>
            </w:tblGrid>
            <w:tr w14:paraId="2A7E8A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184" w:type="pct"/>
                  <w:vMerge w:val="restart"/>
                  <w:shd w:val="clear" w:color="auto" w:fill="auto"/>
                  <w:vAlign w:val="center"/>
                </w:tcPr>
                <w:p w14:paraId="5ED1D46A">
                  <w:pPr>
                    <w:widowControl/>
                    <w:jc w:val="center"/>
                    <w:textAlignment w:val="center"/>
                    <w:rPr>
                      <w:b/>
                      <w:bCs/>
                      <w:color w:val="auto"/>
                      <w:sz w:val="18"/>
                      <w:szCs w:val="18"/>
                    </w:rPr>
                  </w:pPr>
                  <w:r>
                    <w:rPr>
                      <w:b/>
                      <w:bCs/>
                      <w:color w:val="auto"/>
                      <w:kern w:val="0"/>
                      <w:sz w:val="18"/>
                      <w:szCs w:val="18"/>
                      <w:lang w:bidi="ar"/>
                    </w:rPr>
                    <w:t>类别</w:t>
                  </w:r>
                </w:p>
              </w:tc>
              <w:tc>
                <w:tcPr>
                  <w:tcW w:w="1696" w:type="pct"/>
                  <w:vMerge w:val="restart"/>
                  <w:shd w:val="clear" w:color="auto" w:fill="auto"/>
                  <w:vAlign w:val="center"/>
                </w:tcPr>
                <w:p w14:paraId="6EC25D8B">
                  <w:pPr>
                    <w:widowControl/>
                    <w:jc w:val="center"/>
                    <w:textAlignment w:val="center"/>
                    <w:rPr>
                      <w:b/>
                      <w:bCs/>
                      <w:color w:val="auto"/>
                      <w:sz w:val="18"/>
                      <w:szCs w:val="18"/>
                    </w:rPr>
                  </w:pPr>
                  <w:r>
                    <w:rPr>
                      <w:b/>
                      <w:bCs/>
                      <w:color w:val="auto"/>
                      <w:kern w:val="0"/>
                      <w:sz w:val="18"/>
                      <w:szCs w:val="18"/>
                      <w:lang w:bidi="ar"/>
                    </w:rPr>
                    <w:t>污染因子</w:t>
                  </w:r>
                </w:p>
              </w:tc>
              <w:tc>
                <w:tcPr>
                  <w:tcW w:w="2118" w:type="pct"/>
                  <w:shd w:val="clear" w:color="auto" w:fill="auto"/>
                  <w:vAlign w:val="center"/>
                </w:tcPr>
                <w:p w14:paraId="1591918C">
                  <w:pPr>
                    <w:widowControl/>
                    <w:jc w:val="center"/>
                    <w:textAlignment w:val="center"/>
                    <w:rPr>
                      <w:b/>
                      <w:bCs/>
                      <w:color w:val="auto"/>
                      <w:sz w:val="18"/>
                      <w:szCs w:val="18"/>
                    </w:rPr>
                  </w:pPr>
                  <w:r>
                    <w:rPr>
                      <w:b/>
                      <w:bCs/>
                      <w:color w:val="auto"/>
                      <w:kern w:val="0"/>
                      <w:sz w:val="18"/>
                      <w:szCs w:val="18"/>
                      <w:lang w:bidi="ar"/>
                    </w:rPr>
                    <w:t>本次拟削减量（</w:t>
                  </w:r>
                  <w:r>
                    <w:rPr>
                      <w:rStyle w:val="110"/>
                      <w:color w:val="auto"/>
                      <w:sz w:val="18"/>
                      <w:szCs w:val="18"/>
                      <w:lang w:bidi="ar"/>
                    </w:rPr>
                    <w:t>t/a</w:t>
                  </w:r>
                  <w:r>
                    <w:rPr>
                      <w:b/>
                      <w:bCs/>
                      <w:color w:val="auto"/>
                      <w:kern w:val="0"/>
                      <w:sz w:val="18"/>
                      <w:szCs w:val="18"/>
                      <w:lang w:bidi="ar"/>
                    </w:rPr>
                    <w:t>）</w:t>
                  </w:r>
                </w:p>
              </w:tc>
            </w:tr>
            <w:tr w14:paraId="2BAAFE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184" w:type="pct"/>
                  <w:vMerge w:val="continue"/>
                  <w:shd w:val="clear" w:color="auto" w:fill="auto"/>
                  <w:vAlign w:val="center"/>
                </w:tcPr>
                <w:p w14:paraId="50DD1CD4">
                  <w:pPr>
                    <w:jc w:val="center"/>
                    <w:rPr>
                      <w:b/>
                      <w:bCs/>
                      <w:color w:val="auto"/>
                      <w:sz w:val="18"/>
                      <w:szCs w:val="18"/>
                    </w:rPr>
                  </w:pPr>
                </w:p>
              </w:tc>
              <w:tc>
                <w:tcPr>
                  <w:tcW w:w="1696" w:type="pct"/>
                  <w:vMerge w:val="continue"/>
                  <w:shd w:val="clear" w:color="auto" w:fill="auto"/>
                  <w:vAlign w:val="center"/>
                </w:tcPr>
                <w:p w14:paraId="1A528A10">
                  <w:pPr>
                    <w:jc w:val="center"/>
                    <w:rPr>
                      <w:b/>
                      <w:bCs/>
                      <w:color w:val="auto"/>
                      <w:sz w:val="18"/>
                      <w:szCs w:val="18"/>
                    </w:rPr>
                  </w:pPr>
                </w:p>
              </w:tc>
              <w:tc>
                <w:tcPr>
                  <w:tcW w:w="2118" w:type="pct"/>
                  <w:shd w:val="clear" w:color="auto" w:fill="auto"/>
                  <w:vAlign w:val="center"/>
                </w:tcPr>
                <w:p w14:paraId="62CD2B94">
                  <w:pPr>
                    <w:widowControl/>
                    <w:jc w:val="center"/>
                    <w:textAlignment w:val="center"/>
                    <w:rPr>
                      <w:b/>
                      <w:bCs/>
                      <w:color w:val="auto"/>
                      <w:sz w:val="18"/>
                      <w:szCs w:val="18"/>
                    </w:rPr>
                  </w:pPr>
                  <w:r>
                    <w:rPr>
                      <w:b/>
                      <w:bCs/>
                      <w:color w:val="auto"/>
                      <w:kern w:val="0"/>
                      <w:sz w:val="18"/>
                      <w:szCs w:val="18"/>
                      <w:lang w:bidi="ar"/>
                    </w:rPr>
                    <w:t>现有实验室</w:t>
                  </w:r>
                </w:p>
              </w:tc>
            </w:tr>
            <w:tr w14:paraId="5A308D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184" w:type="pct"/>
                  <w:shd w:val="clear" w:color="auto" w:fill="auto"/>
                  <w:vAlign w:val="center"/>
                </w:tcPr>
                <w:p w14:paraId="2F3DAF92">
                  <w:pPr>
                    <w:widowControl/>
                    <w:jc w:val="center"/>
                    <w:textAlignment w:val="center"/>
                    <w:rPr>
                      <w:color w:val="auto"/>
                      <w:sz w:val="18"/>
                      <w:szCs w:val="18"/>
                    </w:rPr>
                  </w:pPr>
                  <w:r>
                    <w:rPr>
                      <w:color w:val="auto"/>
                      <w:kern w:val="0"/>
                      <w:sz w:val="18"/>
                      <w:szCs w:val="18"/>
                      <w:lang w:bidi="ar"/>
                    </w:rPr>
                    <w:t>废气（有组织）</w:t>
                  </w:r>
                </w:p>
              </w:tc>
              <w:tc>
                <w:tcPr>
                  <w:tcW w:w="1696" w:type="pct"/>
                  <w:shd w:val="clear" w:color="auto" w:fill="auto"/>
                  <w:noWrap/>
                  <w:vAlign w:val="center"/>
                </w:tcPr>
                <w:p w14:paraId="1C8B41B5">
                  <w:pPr>
                    <w:widowControl/>
                    <w:jc w:val="center"/>
                    <w:textAlignment w:val="center"/>
                    <w:rPr>
                      <w:color w:val="auto"/>
                      <w:sz w:val="18"/>
                      <w:szCs w:val="18"/>
                    </w:rPr>
                  </w:pPr>
                  <w:r>
                    <w:rPr>
                      <w:color w:val="auto"/>
                      <w:kern w:val="0"/>
                      <w:sz w:val="18"/>
                      <w:szCs w:val="18"/>
                      <w:lang w:bidi="ar"/>
                    </w:rPr>
                    <w:t>/</w:t>
                  </w:r>
                </w:p>
              </w:tc>
              <w:tc>
                <w:tcPr>
                  <w:tcW w:w="2118" w:type="pct"/>
                  <w:shd w:val="clear" w:color="auto" w:fill="auto"/>
                  <w:vAlign w:val="center"/>
                </w:tcPr>
                <w:p w14:paraId="1C7BDF66">
                  <w:pPr>
                    <w:widowControl/>
                    <w:jc w:val="center"/>
                    <w:textAlignment w:val="center"/>
                    <w:rPr>
                      <w:color w:val="auto"/>
                      <w:sz w:val="18"/>
                      <w:szCs w:val="18"/>
                    </w:rPr>
                  </w:pPr>
                  <w:r>
                    <w:rPr>
                      <w:color w:val="auto"/>
                      <w:kern w:val="0"/>
                      <w:sz w:val="18"/>
                      <w:szCs w:val="18"/>
                      <w:lang w:bidi="ar"/>
                    </w:rPr>
                    <w:t>/</w:t>
                  </w:r>
                </w:p>
              </w:tc>
            </w:tr>
            <w:tr w14:paraId="61B71F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184" w:type="pct"/>
                  <w:shd w:val="clear" w:color="auto" w:fill="auto"/>
                  <w:vAlign w:val="center"/>
                </w:tcPr>
                <w:p w14:paraId="5BEA9417">
                  <w:pPr>
                    <w:widowControl/>
                    <w:jc w:val="center"/>
                    <w:textAlignment w:val="center"/>
                    <w:rPr>
                      <w:color w:val="auto"/>
                      <w:sz w:val="18"/>
                      <w:szCs w:val="18"/>
                    </w:rPr>
                  </w:pPr>
                  <w:r>
                    <w:rPr>
                      <w:color w:val="auto"/>
                      <w:kern w:val="0"/>
                      <w:sz w:val="18"/>
                      <w:szCs w:val="18"/>
                      <w:lang w:bidi="ar"/>
                    </w:rPr>
                    <w:t>废气（无组织）</w:t>
                  </w:r>
                </w:p>
              </w:tc>
              <w:tc>
                <w:tcPr>
                  <w:tcW w:w="1696" w:type="pct"/>
                  <w:shd w:val="clear" w:color="auto" w:fill="auto"/>
                  <w:vAlign w:val="center"/>
                </w:tcPr>
                <w:p w14:paraId="74298E8B">
                  <w:pPr>
                    <w:widowControl/>
                    <w:jc w:val="center"/>
                    <w:textAlignment w:val="center"/>
                    <w:rPr>
                      <w:color w:val="auto"/>
                      <w:sz w:val="18"/>
                      <w:szCs w:val="18"/>
                    </w:rPr>
                  </w:pPr>
                  <w:r>
                    <w:rPr>
                      <w:color w:val="auto"/>
                      <w:kern w:val="0"/>
                      <w:sz w:val="18"/>
                      <w:szCs w:val="18"/>
                      <w:lang w:bidi="ar"/>
                    </w:rPr>
                    <w:t>/</w:t>
                  </w:r>
                </w:p>
              </w:tc>
              <w:tc>
                <w:tcPr>
                  <w:tcW w:w="2118" w:type="pct"/>
                  <w:shd w:val="clear" w:color="auto" w:fill="auto"/>
                  <w:vAlign w:val="center"/>
                </w:tcPr>
                <w:p w14:paraId="0737E1F4">
                  <w:pPr>
                    <w:widowControl/>
                    <w:jc w:val="center"/>
                    <w:textAlignment w:val="center"/>
                    <w:rPr>
                      <w:color w:val="auto"/>
                      <w:sz w:val="18"/>
                      <w:szCs w:val="18"/>
                    </w:rPr>
                  </w:pPr>
                  <w:r>
                    <w:rPr>
                      <w:color w:val="auto"/>
                      <w:kern w:val="0"/>
                      <w:sz w:val="18"/>
                      <w:szCs w:val="18"/>
                      <w:lang w:bidi="ar"/>
                    </w:rPr>
                    <w:t>/</w:t>
                  </w:r>
                </w:p>
              </w:tc>
            </w:tr>
            <w:tr w14:paraId="3FDFEC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184" w:type="pct"/>
                  <w:vMerge w:val="restart"/>
                  <w:shd w:val="clear" w:color="auto" w:fill="auto"/>
                  <w:vAlign w:val="center"/>
                </w:tcPr>
                <w:p w14:paraId="1E740EB6">
                  <w:pPr>
                    <w:widowControl/>
                    <w:jc w:val="center"/>
                    <w:textAlignment w:val="center"/>
                    <w:rPr>
                      <w:color w:val="auto"/>
                      <w:sz w:val="18"/>
                      <w:szCs w:val="18"/>
                    </w:rPr>
                  </w:pPr>
                  <w:r>
                    <w:rPr>
                      <w:color w:val="auto"/>
                      <w:kern w:val="0"/>
                      <w:sz w:val="18"/>
                      <w:szCs w:val="18"/>
                      <w:lang w:bidi="ar"/>
                    </w:rPr>
                    <w:t>废水（接管量）</w:t>
                  </w:r>
                </w:p>
              </w:tc>
              <w:tc>
                <w:tcPr>
                  <w:tcW w:w="1696" w:type="pct"/>
                  <w:shd w:val="clear" w:color="auto" w:fill="auto"/>
                  <w:vAlign w:val="center"/>
                </w:tcPr>
                <w:p w14:paraId="5539D25F">
                  <w:pPr>
                    <w:widowControl/>
                    <w:jc w:val="center"/>
                    <w:textAlignment w:val="center"/>
                    <w:rPr>
                      <w:color w:val="auto"/>
                      <w:sz w:val="18"/>
                      <w:szCs w:val="18"/>
                    </w:rPr>
                  </w:pPr>
                  <w:r>
                    <w:rPr>
                      <w:color w:val="auto"/>
                      <w:kern w:val="0"/>
                      <w:sz w:val="18"/>
                      <w:szCs w:val="18"/>
                      <w:lang w:bidi="ar"/>
                    </w:rPr>
                    <w:t>废水量</w:t>
                  </w:r>
                </w:p>
              </w:tc>
              <w:tc>
                <w:tcPr>
                  <w:tcW w:w="3576" w:type="dxa"/>
                  <w:shd w:val="clear" w:color="auto" w:fill="auto"/>
                  <w:noWrap/>
                  <w:vAlign w:val="center"/>
                </w:tcPr>
                <w:p w14:paraId="2EE8DF7D">
                  <w:pPr>
                    <w:widowControl/>
                    <w:jc w:val="center"/>
                    <w:textAlignment w:val="center"/>
                    <w:rPr>
                      <w:color w:val="auto"/>
                      <w:sz w:val="18"/>
                      <w:szCs w:val="18"/>
                    </w:rPr>
                  </w:pPr>
                  <w:r>
                    <w:rPr>
                      <w:color w:val="auto"/>
                      <w:sz w:val="18"/>
                      <w:szCs w:val="18"/>
                    </w:rPr>
                    <w:t>1768.9</w:t>
                  </w:r>
                </w:p>
              </w:tc>
            </w:tr>
            <w:tr w14:paraId="1DE7CF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184" w:type="pct"/>
                  <w:vMerge w:val="continue"/>
                  <w:shd w:val="clear" w:color="auto" w:fill="auto"/>
                  <w:vAlign w:val="center"/>
                </w:tcPr>
                <w:p w14:paraId="36E4C0F2">
                  <w:pPr>
                    <w:jc w:val="center"/>
                    <w:rPr>
                      <w:color w:val="auto"/>
                      <w:sz w:val="18"/>
                      <w:szCs w:val="18"/>
                    </w:rPr>
                  </w:pPr>
                </w:p>
              </w:tc>
              <w:tc>
                <w:tcPr>
                  <w:tcW w:w="1696" w:type="pct"/>
                  <w:shd w:val="clear" w:color="auto" w:fill="auto"/>
                  <w:vAlign w:val="center"/>
                </w:tcPr>
                <w:p w14:paraId="01D3844D">
                  <w:pPr>
                    <w:widowControl/>
                    <w:jc w:val="center"/>
                    <w:textAlignment w:val="center"/>
                    <w:rPr>
                      <w:color w:val="auto"/>
                      <w:sz w:val="18"/>
                      <w:szCs w:val="18"/>
                    </w:rPr>
                  </w:pPr>
                  <w:r>
                    <w:rPr>
                      <w:color w:val="auto"/>
                      <w:kern w:val="0"/>
                      <w:sz w:val="18"/>
                      <w:szCs w:val="18"/>
                      <w:lang w:bidi="ar"/>
                    </w:rPr>
                    <w:t>COD</w:t>
                  </w:r>
                </w:p>
              </w:tc>
              <w:tc>
                <w:tcPr>
                  <w:tcW w:w="3576" w:type="dxa"/>
                  <w:shd w:val="clear" w:color="auto" w:fill="auto"/>
                  <w:noWrap/>
                  <w:vAlign w:val="center"/>
                </w:tcPr>
                <w:p w14:paraId="48151147">
                  <w:pPr>
                    <w:widowControl/>
                    <w:jc w:val="center"/>
                    <w:textAlignment w:val="center"/>
                    <w:rPr>
                      <w:color w:val="auto"/>
                      <w:sz w:val="18"/>
                      <w:szCs w:val="18"/>
                    </w:rPr>
                  </w:pPr>
                  <w:r>
                    <w:rPr>
                      <w:color w:val="auto"/>
                      <w:sz w:val="18"/>
                      <w:szCs w:val="18"/>
                    </w:rPr>
                    <w:t xml:space="preserve">0.3538 </w:t>
                  </w:r>
                </w:p>
              </w:tc>
            </w:tr>
            <w:tr w14:paraId="010421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184" w:type="pct"/>
                  <w:vMerge w:val="continue"/>
                  <w:shd w:val="clear" w:color="auto" w:fill="auto"/>
                  <w:vAlign w:val="center"/>
                </w:tcPr>
                <w:p w14:paraId="74941347">
                  <w:pPr>
                    <w:jc w:val="center"/>
                    <w:rPr>
                      <w:color w:val="auto"/>
                      <w:sz w:val="18"/>
                      <w:szCs w:val="18"/>
                    </w:rPr>
                  </w:pPr>
                </w:p>
              </w:tc>
              <w:tc>
                <w:tcPr>
                  <w:tcW w:w="1696" w:type="pct"/>
                  <w:shd w:val="clear" w:color="auto" w:fill="auto"/>
                  <w:vAlign w:val="center"/>
                </w:tcPr>
                <w:p w14:paraId="418A58D9">
                  <w:pPr>
                    <w:widowControl/>
                    <w:jc w:val="center"/>
                    <w:textAlignment w:val="center"/>
                    <w:rPr>
                      <w:color w:val="auto"/>
                      <w:sz w:val="18"/>
                      <w:szCs w:val="18"/>
                    </w:rPr>
                  </w:pPr>
                  <w:r>
                    <w:rPr>
                      <w:color w:val="auto"/>
                      <w:kern w:val="0"/>
                      <w:sz w:val="18"/>
                      <w:szCs w:val="18"/>
                      <w:lang w:bidi="ar"/>
                    </w:rPr>
                    <w:t>SS</w:t>
                  </w:r>
                </w:p>
              </w:tc>
              <w:tc>
                <w:tcPr>
                  <w:tcW w:w="3576" w:type="dxa"/>
                  <w:shd w:val="clear" w:color="auto" w:fill="auto"/>
                  <w:noWrap/>
                  <w:vAlign w:val="center"/>
                </w:tcPr>
                <w:p w14:paraId="77EA922C">
                  <w:pPr>
                    <w:widowControl/>
                    <w:jc w:val="center"/>
                    <w:textAlignment w:val="center"/>
                    <w:rPr>
                      <w:color w:val="auto"/>
                      <w:sz w:val="18"/>
                      <w:szCs w:val="18"/>
                    </w:rPr>
                  </w:pPr>
                  <w:r>
                    <w:rPr>
                      <w:color w:val="auto"/>
                      <w:sz w:val="18"/>
                      <w:szCs w:val="18"/>
                    </w:rPr>
                    <w:t xml:space="preserve">0.1769 </w:t>
                  </w:r>
                </w:p>
              </w:tc>
            </w:tr>
            <w:tr w14:paraId="5F2BEC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184" w:type="pct"/>
                  <w:vMerge w:val="continue"/>
                  <w:shd w:val="clear" w:color="auto" w:fill="auto"/>
                  <w:vAlign w:val="center"/>
                </w:tcPr>
                <w:p w14:paraId="0DB9B254">
                  <w:pPr>
                    <w:jc w:val="center"/>
                    <w:rPr>
                      <w:color w:val="auto"/>
                      <w:sz w:val="18"/>
                      <w:szCs w:val="18"/>
                    </w:rPr>
                  </w:pPr>
                </w:p>
              </w:tc>
              <w:tc>
                <w:tcPr>
                  <w:tcW w:w="1696" w:type="pct"/>
                  <w:shd w:val="clear" w:color="auto" w:fill="auto"/>
                  <w:vAlign w:val="center"/>
                </w:tcPr>
                <w:p w14:paraId="6953E772">
                  <w:pPr>
                    <w:widowControl/>
                    <w:jc w:val="center"/>
                    <w:textAlignment w:val="center"/>
                    <w:rPr>
                      <w:color w:val="auto"/>
                      <w:sz w:val="18"/>
                      <w:szCs w:val="18"/>
                    </w:rPr>
                  </w:pPr>
                  <w:r>
                    <w:rPr>
                      <w:color w:val="auto"/>
                      <w:kern w:val="0"/>
                      <w:sz w:val="18"/>
                      <w:szCs w:val="18"/>
                      <w:lang w:bidi="ar"/>
                    </w:rPr>
                    <w:t>氨氮</w:t>
                  </w:r>
                </w:p>
              </w:tc>
              <w:tc>
                <w:tcPr>
                  <w:tcW w:w="3576" w:type="dxa"/>
                  <w:shd w:val="clear" w:color="auto" w:fill="auto"/>
                  <w:noWrap/>
                  <w:vAlign w:val="center"/>
                </w:tcPr>
                <w:p w14:paraId="7EFF5B5C">
                  <w:pPr>
                    <w:widowControl/>
                    <w:jc w:val="center"/>
                    <w:textAlignment w:val="center"/>
                    <w:rPr>
                      <w:color w:val="auto"/>
                      <w:sz w:val="18"/>
                      <w:szCs w:val="18"/>
                    </w:rPr>
                  </w:pPr>
                  <w:r>
                    <w:rPr>
                      <w:color w:val="auto"/>
                      <w:sz w:val="18"/>
                      <w:szCs w:val="18"/>
                    </w:rPr>
                    <w:t xml:space="preserve">0.0088 </w:t>
                  </w:r>
                </w:p>
              </w:tc>
            </w:tr>
            <w:tr w14:paraId="2F3579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184" w:type="pct"/>
                  <w:vMerge w:val="continue"/>
                  <w:shd w:val="clear" w:color="auto" w:fill="auto"/>
                  <w:vAlign w:val="center"/>
                </w:tcPr>
                <w:p w14:paraId="7822BBBF">
                  <w:pPr>
                    <w:jc w:val="center"/>
                    <w:rPr>
                      <w:color w:val="auto"/>
                      <w:sz w:val="18"/>
                      <w:szCs w:val="18"/>
                    </w:rPr>
                  </w:pPr>
                </w:p>
              </w:tc>
              <w:tc>
                <w:tcPr>
                  <w:tcW w:w="1696" w:type="pct"/>
                  <w:shd w:val="clear" w:color="auto" w:fill="auto"/>
                  <w:vAlign w:val="center"/>
                </w:tcPr>
                <w:p w14:paraId="33CB38B5">
                  <w:pPr>
                    <w:widowControl/>
                    <w:jc w:val="center"/>
                    <w:textAlignment w:val="center"/>
                    <w:rPr>
                      <w:color w:val="auto"/>
                      <w:sz w:val="18"/>
                      <w:szCs w:val="18"/>
                    </w:rPr>
                  </w:pPr>
                  <w:r>
                    <w:rPr>
                      <w:color w:val="auto"/>
                      <w:kern w:val="0"/>
                      <w:sz w:val="18"/>
                      <w:szCs w:val="18"/>
                      <w:lang w:bidi="ar"/>
                    </w:rPr>
                    <w:t>TN</w:t>
                  </w:r>
                </w:p>
              </w:tc>
              <w:tc>
                <w:tcPr>
                  <w:tcW w:w="3576" w:type="dxa"/>
                  <w:shd w:val="clear" w:color="auto" w:fill="auto"/>
                  <w:noWrap/>
                  <w:vAlign w:val="center"/>
                </w:tcPr>
                <w:p w14:paraId="044B1133">
                  <w:pPr>
                    <w:widowControl/>
                    <w:jc w:val="center"/>
                    <w:textAlignment w:val="center"/>
                    <w:rPr>
                      <w:color w:val="auto"/>
                      <w:sz w:val="18"/>
                      <w:szCs w:val="18"/>
                    </w:rPr>
                  </w:pPr>
                  <w:r>
                    <w:rPr>
                      <w:color w:val="auto"/>
                      <w:sz w:val="18"/>
                      <w:szCs w:val="18"/>
                    </w:rPr>
                    <w:t xml:space="preserve">0.0177 </w:t>
                  </w:r>
                </w:p>
              </w:tc>
            </w:tr>
            <w:tr w14:paraId="185EF4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184" w:type="pct"/>
                  <w:vMerge w:val="continue"/>
                  <w:shd w:val="clear" w:color="auto" w:fill="auto"/>
                  <w:vAlign w:val="center"/>
                </w:tcPr>
                <w:p w14:paraId="2AF3675B">
                  <w:pPr>
                    <w:jc w:val="center"/>
                    <w:rPr>
                      <w:color w:val="auto"/>
                      <w:sz w:val="18"/>
                      <w:szCs w:val="18"/>
                    </w:rPr>
                  </w:pPr>
                </w:p>
              </w:tc>
              <w:tc>
                <w:tcPr>
                  <w:tcW w:w="1696" w:type="pct"/>
                  <w:shd w:val="clear" w:color="auto" w:fill="auto"/>
                  <w:noWrap/>
                  <w:vAlign w:val="center"/>
                </w:tcPr>
                <w:p w14:paraId="5438E2AE">
                  <w:pPr>
                    <w:widowControl/>
                    <w:jc w:val="center"/>
                    <w:textAlignment w:val="center"/>
                    <w:rPr>
                      <w:color w:val="auto"/>
                      <w:sz w:val="18"/>
                      <w:szCs w:val="18"/>
                    </w:rPr>
                  </w:pPr>
                  <w:r>
                    <w:rPr>
                      <w:color w:val="auto"/>
                      <w:kern w:val="0"/>
                      <w:sz w:val="18"/>
                      <w:szCs w:val="18"/>
                      <w:lang w:bidi="ar"/>
                    </w:rPr>
                    <w:t>TDS</w:t>
                  </w:r>
                </w:p>
              </w:tc>
              <w:tc>
                <w:tcPr>
                  <w:tcW w:w="3576" w:type="dxa"/>
                  <w:shd w:val="clear" w:color="auto" w:fill="auto"/>
                  <w:noWrap/>
                  <w:vAlign w:val="center"/>
                </w:tcPr>
                <w:p w14:paraId="5A9573A5">
                  <w:pPr>
                    <w:widowControl/>
                    <w:jc w:val="center"/>
                    <w:textAlignment w:val="center"/>
                    <w:rPr>
                      <w:color w:val="auto"/>
                      <w:sz w:val="18"/>
                      <w:szCs w:val="18"/>
                    </w:rPr>
                  </w:pPr>
                  <w:r>
                    <w:rPr>
                      <w:color w:val="auto"/>
                      <w:sz w:val="18"/>
                      <w:szCs w:val="18"/>
                    </w:rPr>
                    <w:t xml:space="preserve">0.1769 </w:t>
                  </w:r>
                </w:p>
              </w:tc>
            </w:tr>
            <w:tr w14:paraId="7D546E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184" w:type="pct"/>
                  <w:vMerge w:val="restart"/>
                  <w:shd w:val="clear" w:color="auto" w:fill="auto"/>
                  <w:vAlign w:val="center"/>
                </w:tcPr>
                <w:p w14:paraId="7DF863D3">
                  <w:pPr>
                    <w:widowControl/>
                    <w:jc w:val="center"/>
                    <w:textAlignment w:val="center"/>
                    <w:rPr>
                      <w:color w:val="auto"/>
                      <w:sz w:val="18"/>
                      <w:szCs w:val="18"/>
                    </w:rPr>
                  </w:pPr>
                  <w:r>
                    <w:rPr>
                      <w:color w:val="auto"/>
                      <w:kern w:val="0"/>
                      <w:sz w:val="18"/>
                      <w:szCs w:val="18"/>
                      <w:lang w:bidi="ar"/>
                    </w:rPr>
                    <w:t>废水（外排量）</w:t>
                  </w:r>
                </w:p>
              </w:tc>
              <w:tc>
                <w:tcPr>
                  <w:tcW w:w="1696" w:type="pct"/>
                  <w:shd w:val="clear" w:color="auto" w:fill="auto"/>
                  <w:vAlign w:val="center"/>
                </w:tcPr>
                <w:p w14:paraId="5A87D108">
                  <w:pPr>
                    <w:widowControl/>
                    <w:jc w:val="center"/>
                    <w:textAlignment w:val="center"/>
                    <w:rPr>
                      <w:color w:val="auto"/>
                      <w:sz w:val="18"/>
                      <w:szCs w:val="18"/>
                    </w:rPr>
                  </w:pPr>
                  <w:r>
                    <w:rPr>
                      <w:color w:val="auto"/>
                      <w:kern w:val="0"/>
                      <w:sz w:val="18"/>
                      <w:szCs w:val="18"/>
                      <w:lang w:bidi="ar"/>
                    </w:rPr>
                    <w:t>废水量</w:t>
                  </w:r>
                </w:p>
              </w:tc>
              <w:tc>
                <w:tcPr>
                  <w:tcW w:w="3576" w:type="dxa"/>
                  <w:shd w:val="clear" w:color="auto" w:fill="auto"/>
                  <w:noWrap/>
                  <w:vAlign w:val="center"/>
                </w:tcPr>
                <w:p w14:paraId="673647B6">
                  <w:pPr>
                    <w:widowControl/>
                    <w:jc w:val="center"/>
                    <w:textAlignment w:val="center"/>
                    <w:rPr>
                      <w:color w:val="auto"/>
                      <w:sz w:val="18"/>
                      <w:szCs w:val="18"/>
                    </w:rPr>
                  </w:pPr>
                  <w:r>
                    <w:rPr>
                      <w:color w:val="auto"/>
                      <w:sz w:val="18"/>
                      <w:szCs w:val="18"/>
                    </w:rPr>
                    <w:t>530.67</w:t>
                  </w:r>
                </w:p>
              </w:tc>
            </w:tr>
            <w:tr w14:paraId="142295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184" w:type="pct"/>
                  <w:vMerge w:val="continue"/>
                  <w:shd w:val="clear" w:color="auto" w:fill="auto"/>
                  <w:vAlign w:val="center"/>
                </w:tcPr>
                <w:p w14:paraId="230AE01E">
                  <w:pPr>
                    <w:jc w:val="center"/>
                    <w:rPr>
                      <w:color w:val="auto"/>
                      <w:sz w:val="18"/>
                      <w:szCs w:val="18"/>
                    </w:rPr>
                  </w:pPr>
                </w:p>
              </w:tc>
              <w:tc>
                <w:tcPr>
                  <w:tcW w:w="1696" w:type="pct"/>
                  <w:shd w:val="clear" w:color="auto" w:fill="auto"/>
                  <w:vAlign w:val="center"/>
                </w:tcPr>
                <w:p w14:paraId="6058855F">
                  <w:pPr>
                    <w:widowControl/>
                    <w:jc w:val="center"/>
                    <w:textAlignment w:val="center"/>
                    <w:rPr>
                      <w:color w:val="auto"/>
                      <w:sz w:val="18"/>
                      <w:szCs w:val="18"/>
                    </w:rPr>
                  </w:pPr>
                  <w:r>
                    <w:rPr>
                      <w:color w:val="auto"/>
                      <w:kern w:val="0"/>
                      <w:sz w:val="18"/>
                      <w:szCs w:val="18"/>
                      <w:lang w:bidi="ar"/>
                    </w:rPr>
                    <w:t>COD</w:t>
                  </w:r>
                </w:p>
              </w:tc>
              <w:tc>
                <w:tcPr>
                  <w:tcW w:w="3576" w:type="dxa"/>
                  <w:shd w:val="clear" w:color="auto" w:fill="auto"/>
                  <w:noWrap/>
                  <w:vAlign w:val="center"/>
                </w:tcPr>
                <w:p w14:paraId="1A1723CB">
                  <w:pPr>
                    <w:widowControl/>
                    <w:jc w:val="center"/>
                    <w:textAlignment w:val="center"/>
                    <w:rPr>
                      <w:color w:val="auto"/>
                      <w:sz w:val="18"/>
                      <w:szCs w:val="18"/>
                    </w:rPr>
                  </w:pPr>
                  <w:r>
                    <w:rPr>
                      <w:color w:val="auto"/>
                      <w:sz w:val="18"/>
                      <w:szCs w:val="18"/>
                    </w:rPr>
                    <w:t xml:space="preserve">0.0212 </w:t>
                  </w:r>
                </w:p>
              </w:tc>
            </w:tr>
            <w:tr w14:paraId="6F188E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184" w:type="pct"/>
                  <w:vMerge w:val="continue"/>
                  <w:shd w:val="clear" w:color="auto" w:fill="auto"/>
                  <w:vAlign w:val="center"/>
                </w:tcPr>
                <w:p w14:paraId="5F66AF5E">
                  <w:pPr>
                    <w:jc w:val="center"/>
                    <w:rPr>
                      <w:color w:val="auto"/>
                      <w:sz w:val="18"/>
                      <w:szCs w:val="18"/>
                    </w:rPr>
                  </w:pPr>
                </w:p>
              </w:tc>
              <w:tc>
                <w:tcPr>
                  <w:tcW w:w="1696" w:type="pct"/>
                  <w:shd w:val="clear" w:color="auto" w:fill="auto"/>
                  <w:vAlign w:val="center"/>
                </w:tcPr>
                <w:p w14:paraId="52A06B42">
                  <w:pPr>
                    <w:widowControl/>
                    <w:jc w:val="center"/>
                    <w:textAlignment w:val="center"/>
                    <w:rPr>
                      <w:color w:val="auto"/>
                      <w:sz w:val="18"/>
                      <w:szCs w:val="18"/>
                    </w:rPr>
                  </w:pPr>
                  <w:r>
                    <w:rPr>
                      <w:color w:val="auto"/>
                      <w:kern w:val="0"/>
                      <w:sz w:val="18"/>
                      <w:szCs w:val="18"/>
                      <w:lang w:bidi="ar"/>
                    </w:rPr>
                    <w:t>SS</w:t>
                  </w:r>
                </w:p>
              </w:tc>
              <w:tc>
                <w:tcPr>
                  <w:tcW w:w="3576" w:type="dxa"/>
                  <w:shd w:val="clear" w:color="auto" w:fill="auto"/>
                  <w:noWrap/>
                  <w:vAlign w:val="center"/>
                </w:tcPr>
                <w:p w14:paraId="31093ECB">
                  <w:pPr>
                    <w:widowControl/>
                    <w:jc w:val="center"/>
                    <w:textAlignment w:val="center"/>
                    <w:rPr>
                      <w:color w:val="auto"/>
                      <w:sz w:val="18"/>
                      <w:szCs w:val="18"/>
                    </w:rPr>
                  </w:pPr>
                  <w:r>
                    <w:rPr>
                      <w:color w:val="auto"/>
                      <w:sz w:val="18"/>
                      <w:szCs w:val="18"/>
                    </w:rPr>
                    <w:t xml:space="preserve">0.0053 </w:t>
                  </w:r>
                </w:p>
              </w:tc>
            </w:tr>
            <w:tr w14:paraId="212599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184" w:type="pct"/>
                  <w:vMerge w:val="continue"/>
                  <w:shd w:val="clear" w:color="auto" w:fill="auto"/>
                  <w:vAlign w:val="center"/>
                </w:tcPr>
                <w:p w14:paraId="0FED1882">
                  <w:pPr>
                    <w:jc w:val="center"/>
                    <w:rPr>
                      <w:color w:val="auto"/>
                      <w:sz w:val="18"/>
                      <w:szCs w:val="18"/>
                    </w:rPr>
                  </w:pPr>
                </w:p>
              </w:tc>
              <w:tc>
                <w:tcPr>
                  <w:tcW w:w="1696" w:type="pct"/>
                  <w:shd w:val="clear" w:color="auto" w:fill="auto"/>
                  <w:vAlign w:val="center"/>
                </w:tcPr>
                <w:p w14:paraId="48D23738">
                  <w:pPr>
                    <w:widowControl/>
                    <w:jc w:val="center"/>
                    <w:textAlignment w:val="center"/>
                    <w:rPr>
                      <w:color w:val="auto"/>
                      <w:sz w:val="18"/>
                      <w:szCs w:val="18"/>
                    </w:rPr>
                  </w:pPr>
                  <w:r>
                    <w:rPr>
                      <w:color w:val="auto"/>
                      <w:kern w:val="0"/>
                      <w:sz w:val="18"/>
                      <w:szCs w:val="18"/>
                      <w:lang w:bidi="ar"/>
                    </w:rPr>
                    <w:t>氨氮</w:t>
                  </w:r>
                </w:p>
              </w:tc>
              <w:tc>
                <w:tcPr>
                  <w:tcW w:w="3576" w:type="dxa"/>
                  <w:shd w:val="clear" w:color="auto" w:fill="auto"/>
                  <w:noWrap/>
                  <w:vAlign w:val="center"/>
                </w:tcPr>
                <w:p w14:paraId="7EDAD033">
                  <w:pPr>
                    <w:widowControl/>
                    <w:jc w:val="center"/>
                    <w:textAlignment w:val="center"/>
                    <w:rPr>
                      <w:color w:val="auto"/>
                      <w:sz w:val="18"/>
                      <w:szCs w:val="18"/>
                    </w:rPr>
                  </w:pPr>
                  <w:r>
                    <w:rPr>
                      <w:color w:val="auto"/>
                      <w:sz w:val="18"/>
                      <w:szCs w:val="18"/>
                    </w:rPr>
                    <w:t xml:space="preserve">0.0027 </w:t>
                  </w:r>
                </w:p>
              </w:tc>
            </w:tr>
            <w:tr w14:paraId="1E51FB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184" w:type="pct"/>
                  <w:vMerge w:val="continue"/>
                  <w:shd w:val="clear" w:color="auto" w:fill="auto"/>
                  <w:vAlign w:val="center"/>
                </w:tcPr>
                <w:p w14:paraId="0C497911">
                  <w:pPr>
                    <w:jc w:val="center"/>
                    <w:rPr>
                      <w:color w:val="auto"/>
                      <w:sz w:val="18"/>
                      <w:szCs w:val="18"/>
                    </w:rPr>
                  </w:pPr>
                </w:p>
              </w:tc>
              <w:tc>
                <w:tcPr>
                  <w:tcW w:w="1696" w:type="pct"/>
                  <w:shd w:val="clear" w:color="auto" w:fill="auto"/>
                  <w:vAlign w:val="center"/>
                </w:tcPr>
                <w:p w14:paraId="66EF96CA">
                  <w:pPr>
                    <w:widowControl/>
                    <w:jc w:val="center"/>
                    <w:textAlignment w:val="center"/>
                    <w:rPr>
                      <w:color w:val="auto"/>
                      <w:sz w:val="18"/>
                      <w:szCs w:val="18"/>
                    </w:rPr>
                  </w:pPr>
                  <w:r>
                    <w:rPr>
                      <w:color w:val="auto"/>
                      <w:kern w:val="0"/>
                      <w:sz w:val="18"/>
                      <w:szCs w:val="18"/>
                      <w:lang w:bidi="ar"/>
                    </w:rPr>
                    <w:t>TN</w:t>
                  </w:r>
                </w:p>
              </w:tc>
              <w:tc>
                <w:tcPr>
                  <w:tcW w:w="3576" w:type="dxa"/>
                  <w:shd w:val="clear" w:color="auto" w:fill="auto"/>
                  <w:noWrap/>
                  <w:vAlign w:val="center"/>
                </w:tcPr>
                <w:p w14:paraId="3CD8A789">
                  <w:pPr>
                    <w:widowControl/>
                    <w:jc w:val="center"/>
                    <w:textAlignment w:val="center"/>
                    <w:rPr>
                      <w:color w:val="auto"/>
                      <w:sz w:val="18"/>
                      <w:szCs w:val="18"/>
                    </w:rPr>
                  </w:pPr>
                  <w:r>
                    <w:rPr>
                      <w:color w:val="auto"/>
                      <w:sz w:val="18"/>
                      <w:szCs w:val="18"/>
                    </w:rPr>
                    <w:t xml:space="preserve">0.0080 </w:t>
                  </w:r>
                </w:p>
              </w:tc>
            </w:tr>
            <w:tr w14:paraId="53E5D7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184" w:type="pct"/>
                  <w:vMerge w:val="continue"/>
                  <w:shd w:val="clear" w:color="auto" w:fill="auto"/>
                  <w:vAlign w:val="center"/>
                </w:tcPr>
                <w:p w14:paraId="15B4F2EA">
                  <w:pPr>
                    <w:jc w:val="center"/>
                    <w:rPr>
                      <w:color w:val="auto"/>
                      <w:sz w:val="18"/>
                      <w:szCs w:val="18"/>
                    </w:rPr>
                  </w:pPr>
                </w:p>
              </w:tc>
              <w:tc>
                <w:tcPr>
                  <w:tcW w:w="1696" w:type="pct"/>
                  <w:shd w:val="clear" w:color="auto" w:fill="auto"/>
                  <w:noWrap/>
                  <w:vAlign w:val="center"/>
                </w:tcPr>
                <w:p w14:paraId="35D62610">
                  <w:pPr>
                    <w:widowControl/>
                    <w:jc w:val="center"/>
                    <w:textAlignment w:val="center"/>
                    <w:rPr>
                      <w:color w:val="auto"/>
                      <w:sz w:val="18"/>
                      <w:szCs w:val="18"/>
                    </w:rPr>
                  </w:pPr>
                  <w:r>
                    <w:rPr>
                      <w:color w:val="auto"/>
                      <w:kern w:val="0"/>
                      <w:sz w:val="18"/>
                      <w:szCs w:val="18"/>
                      <w:lang w:bidi="ar"/>
                    </w:rPr>
                    <w:t>TDS</w:t>
                  </w:r>
                </w:p>
              </w:tc>
              <w:tc>
                <w:tcPr>
                  <w:tcW w:w="3576" w:type="dxa"/>
                  <w:shd w:val="clear" w:color="auto" w:fill="auto"/>
                  <w:noWrap/>
                  <w:vAlign w:val="center"/>
                </w:tcPr>
                <w:p w14:paraId="0D1A46B8">
                  <w:pPr>
                    <w:widowControl/>
                    <w:jc w:val="center"/>
                    <w:textAlignment w:val="center"/>
                    <w:rPr>
                      <w:color w:val="auto"/>
                      <w:sz w:val="18"/>
                      <w:szCs w:val="18"/>
                    </w:rPr>
                  </w:pPr>
                  <w:r>
                    <w:rPr>
                      <w:color w:val="auto"/>
                      <w:sz w:val="18"/>
                      <w:szCs w:val="18"/>
                    </w:rPr>
                    <w:t xml:space="preserve">0.1769 </w:t>
                  </w:r>
                </w:p>
              </w:tc>
            </w:tr>
            <w:tr w14:paraId="2A2615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184" w:type="pct"/>
                  <w:shd w:val="clear" w:color="auto" w:fill="auto"/>
                  <w:vAlign w:val="center"/>
                </w:tcPr>
                <w:p w14:paraId="059FA4BA">
                  <w:pPr>
                    <w:widowControl/>
                    <w:jc w:val="center"/>
                    <w:textAlignment w:val="center"/>
                    <w:rPr>
                      <w:color w:val="auto"/>
                      <w:sz w:val="18"/>
                      <w:szCs w:val="18"/>
                    </w:rPr>
                  </w:pPr>
                  <w:r>
                    <w:rPr>
                      <w:color w:val="auto"/>
                      <w:kern w:val="0"/>
                      <w:sz w:val="18"/>
                      <w:szCs w:val="18"/>
                      <w:lang w:bidi="ar"/>
                    </w:rPr>
                    <w:t>固废（产生量）</w:t>
                  </w:r>
                </w:p>
              </w:tc>
              <w:tc>
                <w:tcPr>
                  <w:tcW w:w="1696" w:type="pct"/>
                  <w:shd w:val="clear" w:color="auto" w:fill="auto"/>
                  <w:noWrap/>
                  <w:vAlign w:val="center"/>
                </w:tcPr>
                <w:p w14:paraId="74CBCCFF">
                  <w:pPr>
                    <w:widowControl/>
                    <w:jc w:val="center"/>
                    <w:textAlignment w:val="center"/>
                    <w:rPr>
                      <w:color w:val="auto"/>
                      <w:sz w:val="18"/>
                      <w:szCs w:val="18"/>
                    </w:rPr>
                  </w:pPr>
                  <w:r>
                    <w:rPr>
                      <w:color w:val="auto"/>
                      <w:kern w:val="0"/>
                      <w:sz w:val="18"/>
                      <w:szCs w:val="18"/>
                      <w:lang w:bidi="ar"/>
                    </w:rPr>
                    <w:t>废试剂瓶</w:t>
                  </w:r>
                </w:p>
              </w:tc>
              <w:tc>
                <w:tcPr>
                  <w:tcW w:w="2118" w:type="pct"/>
                  <w:shd w:val="clear" w:color="auto" w:fill="auto"/>
                  <w:noWrap/>
                  <w:vAlign w:val="center"/>
                </w:tcPr>
                <w:p w14:paraId="20529EA7">
                  <w:pPr>
                    <w:widowControl/>
                    <w:jc w:val="center"/>
                    <w:textAlignment w:val="center"/>
                    <w:rPr>
                      <w:color w:val="auto"/>
                      <w:sz w:val="18"/>
                      <w:szCs w:val="18"/>
                    </w:rPr>
                  </w:pPr>
                  <w:r>
                    <w:rPr>
                      <w:color w:val="auto"/>
                      <w:kern w:val="0"/>
                      <w:sz w:val="18"/>
                      <w:szCs w:val="18"/>
                      <w:lang w:bidi="ar"/>
                    </w:rPr>
                    <w:t>0.03</w:t>
                  </w:r>
                </w:p>
              </w:tc>
            </w:tr>
          </w:tbl>
          <w:p w14:paraId="62F7870A">
            <w:pPr>
              <w:adjustRightInd w:val="0"/>
              <w:snapToGrid w:val="0"/>
              <w:spacing w:line="500" w:lineRule="exact"/>
              <w:ind w:firstLine="422"/>
              <w:jc w:val="center"/>
              <w:rPr>
                <w:b/>
                <w:color w:val="auto"/>
                <w:szCs w:val="21"/>
              </w:rPr>
            </w:pPr>
          </w:p>
        </w:tc>
      </w:tr>
    </w:tbl>
    <w:p w14:paraId="3DB75A4F">
      <w:pPr>
        <w:pStyle w:val="18"/>
        <w:rPr>
          <w:color w:val="auto"/>
        </w:rPr>
        <w:sectPr>
          <w:type w:val="nextColumn"/>
          <w:pgSz w:w="11906" w:h="16838"/>
          <w:pgMar w:top="1418" w:right="1418" w:bottom="1418" w:left="1418" w:header="851" w:footer="851" w:gutter="0"/>
          <w:cols w:space="720" w:num="1"/>
          <w:docGrid w:linePitch="312" w:charSpace="0"/>
        </w:sectPr>
      </w:pPr>
    </w:p>
    <w:p w14:paraId="3E105F9E">
      <w:pPr>
        <w:pStyle w:val="18"/>
        <w:rPr>
          <w:snapToGrid w:val="0"/>
          <w:color w:val="auto"/>
        </w:rPr>
      </w:pPr>
      <w:bookmarkStart w:id="13" w:name="_Toc156751474"/>
      <w:r>
        <w:rPr>
          <w:snapToGrid w:val="0"/>
          <w:color w:val="auto"/>
        </w:rPr>
        <w:t>三、区域环境质量现状、环境保护目标及评价标准</w:t>
      </w:r>
      <w:bookmarkEnd w:id="13"/>
    </w:p>
    <w:tbl>
      <w:tblPr>
        <w:tblStyle w:val="21"/>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605"/>
        <w:gridCol w:w="8220"/>
      </w:tblGrid>
      <w:tr w14:paraId="3AB80E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2906" w:hRule="atLeast"/>
          <w:jc w:val="center"/>
        </w:trPr>
        <w:tc>
          <w:tcPr>
            <w:tcW w:w="605" w:type="dxa"/>
            <w:vAlign w:val="center"/>
          </w:tcPr>
          <w:p w14:paraId="671977F8">
            <w:pPr>
              <w:pStyle w:val="18"/>
              <w:rPr>
                <w:color w:val="auto"/>
              </w:rPr>
            </w:pPr>
            <w:r>
              <w:rPr>
                <w:color w:val="auto"/>
                <w:sz w:val="21"/>
                <w:szCs w:val="16"/>
              </w:rPr>
              <w:t>区域环境质量现状</w:t>
            </w:r>
          </w:p>
        </w:tc>
        <w:tc>
          <w:tcPr>
            <w:tcW w:w="8220" w:type="dxa"/>
            <w:vAlign w:val="center"/>
          </w:tcPr>
          <w:p w14:paraId="571C5569">
            <w:pPr>
              <w:adjustRightInd w:val="0"/>
              <w:snapToGrid w:val="0"/>
              <w:spacing w:line="500" w:lineRule="exact"/>
              <w:ind w:firstLine="422" w:firstLineChars="200"/>
              <w:rPr>
                <w:b/>
                <w:color w:val="auto"/>
                <w:szCs w:val="21"/>
              </w:rPr>
            </w:pPr>
            <w:r>
              <w:rPr>
                <w:b/>
                <w:color w:val="auto"/>
                <w:szCs w:val="21"/>
              </w:rPr>
              <w:t>1. 大气环境质量现状</w:t>
            </w:r>
          </w:p>
          <w:p w14:paraId="2A1C059F">
            <w:pPr>
              <w:spacing w:line="500" w:lineRule="exact"/>
              <w:ind w:firstLine="420" w:firstLineChars="200"/>
              <w:rPr>
                <w:color w:val="auto"/>
                <w:szCs w:val="21"/>
              </w:rPr>
            </w:pPr>
            <w:r>
              <w:rPr>
                <w:rFonts w:hint="eastAsia" w:ascii="宋体" w:hAnsi="宋体" w:cs="宋体"/>
                <w:color w:val="auto"/>
                <w:szCs w:val="21"/>
                <w:lang w:bidi="ar"/>
              </w:rPr>
              <w:t>根据《连云港市生态环境状况公报》（</w:t>
            </w:r>
            <w:r>
              <w:rPr>
                <w:color w:val="auto"/>
                <w:szCs w:val="21"/>
                <w:lang w:bidi="ar"/>
              </w:rPr>
              <w:t>2025</w:t>
            </w:r>
            <w:r>
              <w:rPr>
                <w:rFonts w:hint="eastAsia" w:ascii="宋体" w:hAnsi="宋体" w:cs="宋体"/>
                <w:color w:val="auto"/>
                <w:szCs w:val="21"/>
                <w:lang w:bidi="ar"/>
              </w:rPr>
              <w:t>年），</w:t>
            </w:r>
            <w:r>
              <w:rPr>
                <w:color w:val="auto"/>
                <w:szCs w:val="21"/>
                <w:lang w:bidi="ar"/>
              </w:rPr>
              <w:t>2025</w:t>
            </w:r>
            <w:r>
              <w:rPr>
                <w:rFonts w:hint="eastAsia" w:ascii="宋体" w:hAnsi="宋体" w:cs="宋体"/>
                <w:color w:val="auto"/>
                <w:szCs w:val="21"/>
                <w:lang w:bidi="ar"/>
              </w:rPr>
              <w:t>年，连云港市环境空气中二氧化硫、二氧化氮、可吸入颗粒物、细颗粒物的年平均浓度分别为</w:t>
            </w:r>
            <w:r>
              <w:rPr>
                <w:color w:val="auto"/>
                <w:szCs w:val="21"/>
                <w:lang w:bidi="ar"/>
              </w:rPr>
              <w:t>8</w:t>
            </w:r>
            <w:r>
              <w:rPr>
                <w:rFonts w:hint="eastAsia" w:ascii="宋体" w:hAnsi="宋体" w:cs="宋体"/>
                <w:color w:val="auto"/>
                <w:szCs w:val="21"/>
                <w:lang w:bidi="ar"/>
              </w:rPr>
              <w:t>、</w:t>
            </w:r>
            <w:r>
              <w:rPr>
                <w:color w:val="auto"/>
                <w:szCs w:val="21"/>
                <w:lang w:bidi="ar"/>
              </w:rPr>
              <w:t>22</w:t>
            </w:r>
            <w:r>
              <w:rPr>
                <w:rFonts w:hint="eastAsia" w:ascii="宋体" w:hAnsi="宋体" w:cs="宋体"/>
                <w:color w:val="auto"/>
                <w:szCs w:val="21"/>
                <w:lang w:bidi="ar"/>
              </w:rPr>
              <w:t>、</w:t>
            </w:r>
            <w:r>
              <w:rPr>
                <w:color w:val="auto"/>
                <w:szCs w:val="21"/>
                <w:lang w:bidi="ar"/>
              </w:rPr>
              <w:t>50</w:t>
            </w:r>
            <w:r>
              <w:rPr>
                <w:rFonts w:hint="eastAsia" w:ascii="宋体" w:hAnsi="宋体" w:cs="宋体"/>
                <w:color w:val="auto"/>
                <w:szCs w:val="21"/>
                <w:lang w:bidi="ar"/>
              </w:rPr>
              <w:t>、</w:t>
            </w:r>
            <w:r>
              <w:rPr>
                <w:color w:val="auto"/>
                <w:szCs w:val="21"/>
                <w:lang w:bidi="ar"/>
              </w:rPr>
              <w:t>29</w:t>
            </w:r>
            <w:r>
              <w:rPr>
                <w:rFonts w:hint="eastAsia" w:ascii="宋体" w:hAnsi="宋体" w:cs="宋体"/>
                <w:color w:val="auto"/>
                <w:szCs w:val="21"/>
                <w:lang w:bidi="ar"/>
              </w:rPr>
              <w:t>微克</w:t>
            </w:r>
            <w:r>
              <w:rPr>
                <w:color w:val="auto"/>
                <w:szCs w:val="21"/>
                <w:lang w:bidi="ar"/>
              </w:rPr>
              <w:t>/</w:t>
            </w:r>
            <w:r>
              <w:rPr>
                <w:rFonts w:hint="eastAsia" w:ascii="宋体" w:hAnsi="宋体" w:cs="宋体"/>
                <w:color w:val="auto"/>
                <w:szCs w:val="21"/>
                <w:lang w:bidi="ar"/>
              </w:rPr>
              <w:t>立方米，一氧化碳</w:t>
            </w:r>
            <w:r>
              <w:rPr>
                <w:color w:val="auto"/>
                <w:szCs w:val="21"/>
                <w:lang w:bidi="ar"/>
              </w:rPr>
              <w:t>24</w:t>
            </w:r>
            <w:r>
              <w:rPr>
                <w:rFonts w:hint="eastAsia" w:ascii="宋体" w:hAnsi="宋体" w:cs="宋体"/>
                <w:color w:val="auto"/>
                <w:szCs w:val="21"/>
                <w:lang w:bidi="ar"/>
              </w:rPr>
              <w:t>小时平均第</w:t>
            </w:r>
            <w:r>
              <w:rPr>
                <w:color w:val="auto"/>
                <w:szCs w:val="21"/>
                <w:lang w:bidi="ar"/>
              </w:rPr>
              <w:t>95</w:t>
            </w:r>
            <w:r>
              <w:rPr>
                <w:rFonts w:hint="eastAsia" w:ascii="宋体" w:hAnsi="宋体" w:cs="宋体"/>
                <w:color w:val="auto"/>
                <w:szCs w:val="21"/>
                <w:lang w:bidi="ar"/>
              </w:rPr>
              <w:t>百分位数浓度为</w:t>
            </w:r>
            <w:r>
              <w:rPr>
                <w:color w:val="auto"/>
                <w:szCs w:val="21"/>
                <w:lang w:bidi="ar"/>
              </w:rPr>
              <w:t>0.9</w:t>
            </w:r>
            <w:r>
              <w:rPr>
                <w:rFonts w:hint="eastAsia" w:ascii="宋体" w:hAnsi="宋体" w:cs="宋体"/>
                <w:color w:val="auto"/>
                <w:szCs w:val="21"/>
                <w:lang w:bidi="ar"/>
              </w:rPr>
              <w:t>毫克</w:t>
            </w:r>
            <w:r>
              <w:rPr>
                <w:color w:val="auto"/>
                <w:szCs w:val="21"/>
                <w:lang w:bidi="ar"/>
              </w:rPr>
              <w:t>/</w:t>
            </w:r>
            <w:r>
              <w:rPr>
                <w:rFonts w:hint="eastAsia" w:ascii="宋体" w:hAnsi="宋体" w:cs="宋体"/>
                <w:color w:val="auto"/>
                <w:szCs w:val="21"/>
                <w:lang w:bidi="ar"/>
              </w:rPr>
              <w:t>立方米，臭氧日最大</w:t>
            </w:r>
            <w:r>
              <w:rPr>
                <w:color w:val="auto"/>
                <w:szCs w:val="21"/>
                <w:lang w:bidi="ar"/>
              </w:rPr>
              <w:t>8</w:t>
            </w:r>
            <w:r>
              <w:rPr>
                <w:rFonts w:hint="eastAsia" w:ascii="宋体" w:hAnsi="宋体" w:cs="宋体"/>
                <w:color w:val="auto"/>
                <w:szCs w:val="21"/>
                <w:lang w:bidi="ar"/>
              </w:rPr>
              <w:t>小时滑动平均值的第</w:t>
            </w:r>
            <w:r>
              <w:rPr>
                <w:color w:val="auto"/>
                <w:szCs w:val="21"/>
                <w:lang w:bidi="ar"/>
              </w:rPr>
              <w:t>90</w:t>
            </w:r>
            <w:r>
              <w:rPr>
                <w:rFonts w:hint="eastAsia" w:ascii="宋体" w:hAnsi="宋体" w:cs="宋体"/>
                <w:color w:val="auto"/>
                <w:szCs w:val="21"/>
                <w:lang w:bidi="ar"/>
              </w:rPr>
              <w:t>百分位数浓度为</w:t>
            </w:r>
            <w:r>
              <w:rPr>
                <w:color w:val="auto"/>
                <w:szCs w:val="21"/>
                <w:lang w:bidi="ar"/>
              </w:rPr>
              <w:t>154</w:t>
            </w:r>
            <w:r>
              <w:rPr>
                <w:rFonts w:hint="eastAsia" w:ascii="宋体" w:hAnsi="宋体" w:cs="宋体"/>
                <w:color w:val="auto"/>
                <w:szCs w:val="21"/>
                <w:lang w:bidi="ar"/>
              </w:rPr>
              <w:t>微克</w:t>
            </w:r>
            <w:r>
              <w:rPr>
                <w:color w:val="auto"/>
                <w:szCs w:val="21"/>
                <w:lang w:bidi="ar"/>
              </w:rPr>
              <w:t>/</w:t>
            </w:r>
            <w:r>
              <w:rPr>
                <w:rFonts w:hint="eastAsia" w:ascii="宋体" w:hAnsi="宋体" w:cs="宋体"/>
                <w:color w:val="auto"/>
                <w:szCs w:val="21"/>
                <w:lang w:bidi="ar"/>
              </w:rPr>
              <w:t>立方米。</w:t>
            </w:r>
            <w:r>
              <w:rPr>
                <w:color w:val="auto"/>
                <w:szCs w:val="21"/>
                <w:lang w:bidi="ar"/>
              </w:rPr>
              <w:t>6</w:t>
            </w:r>
            <w:r>
              <w:rPr>
                <w:rFonts w:hint="eastAsia" w:ascii="宋体" w:hAnsi="宋体" w:cs="宋体"/>
                <w:color w:val="auto"/>
                <w:szCs w:val="21"/>
                <w:lang w:bidi="ar"/>
              </w:rPr>
              <w:t>项指标浓度与</w:t>
            </w:r>
            <w:r>
              <w:rPr>
                <w:color w:val="auto"/>
                <w:szCs w:val="21"/>
                <w:lang w:bidi="ar"/>
              </w:rPr>
              <w:t>2024</w:t>
            </w:r>
            <w:r>
              <w:rPr>
                <w:rFonts w:hint="eastAsia" w:ascii="宋体" w:hAnsi="宋体" w:cs="宋体"/>
                <w:color w:val="auto"/>
                <w:szCs w:val="21"/>
                <w:lang w:bidi="ar"/>
              </w:rPr>
              <w:t>年相比均持平或下降，变化幅度分别为</w:t>
            </w:r>
            <w:r>
              <w:rPr>
                <w:color w:val="auto"/>
                <w:szCs w:val="21"/>
                <w:lang w:bidi="ar"/>
              </w:rPr>
              <w:t>0</w:t>
            </w:r>
            <w:r>
              <w:rPr>
                <w:rFonts w:hint="eastAsia" w:ascii="宋体" w:hAnsi="宋体" w:cs="宋体"/>
                <w:color w:val="auto"/>
                <w:szCs w:val="21"/>
                <w:lang w:bidi="ar"/>
              </w:rPr>
              <w:t>、</w:t>
            </w:r>
            <w:r>
              <w:rPr>
                <w:color w:val="auto"/>
                <w:szCs w:val="21"/>
                <w:lang w:bidi="ar"/>
              </w:rPr>
              <w:t>-4.3%</w:t>
            </w:r>
            <w:r>
              <w:rPr>
                <w:rFonts w:hint="eastAsia" w:ascii="宋体" w:hAnsi="宋体" w:cs="宋体"/>
                <w:color w:val="auto"/>
                <w:szCs w:val="21"/>
                <w:lang w:bidi="ar"/>
              </w:rPr>
              <w:t>、</w:t>
            </w:r>
            <w:r>
              <w:rPr>
                <w:color w:val="auto"/>
                <w:szCs w:val="21"/>
                <w:lang w:bidi="ar"/>
              </w:rPr>
              <w:t>-2%</w:t>
            </w:r>
            <w:r>
              <w:rPr>
                <w:rFonts w:hint="eastAsia" w:ascii="宋体" w:hAnsi="宋体" w:cs="宋体"/>
                <w:color w:val="auto"/>
                <w:szCs w:val="21"/>
                <w:lang w:bidi="ar"/>
              </w:rPr>
              <w:t>、</w:t>
            </w:r>
            <w:r>
              <w:rPr>
                <w:color w:val="auto"/>
                <w:szCs w:val="21"/>
                <w:lang w:bidi="ar"/>
              </w:rPr>
              <w:t>-3.3%</w:t>
            </w:r>
            <w:r>
              <w:rPr>
                <w:rFonts w:hint="eastAsia" w:ascii="宋体" w:hAnsi="宋体" w:cs="宋体"/>
                <w:color w:val="auto"/>
                <w:szCs w:val="21"/>
                <w:lang w:bidi="ar"/>
              </w:rPr>
              <w:t>、</w:t>
            </w:r>
            <w:r>
              <w:rPr>
                <w:color w:val="auto"/>
                <w:szCs w:val="21"/>
                <w:lang w:bidi="ar"/>
              </w:rPr>
              <w:t>-10%</w:t>
            </w:r>
            <w:r>
              <w:rPr>
                <w:rFonts w:hint="eastAsia" w:ascii="宋体" w:hAnsi="宋体" w:cs="宋体"/>
                <w:color w:val="auto"/>
                <w:szCs w:val="21"/>
                <w:lang w:bidi="ar"/>
              </w:rPr>
              <w:t>、</w:t>
            </w:r>
            <w:r>
              <w:rPr>
                <w:color w:val="auto"/>
                <w:szCs w:val="21"/>
                <w:lang w:bidi="ar"/>
              </w:rPr>
              <w:t>-4.3%</w:t>
            </w:r>
            <w:r>
              <w:rPr>
                <w:rFonts w:hint="eastAsia" w:ascii="宋体" w:hAnsi="宋体" w:cs="宋体"/>
                <w:color w:val="auto"/>
                <w:szCs w:val="21"/>
                <w:lang w:bidi="ar"/>
              </w:rPr>
              <w:t>。连云港市降尘量为</w:t>
            </w:r>
            <w:r>
              <w:rPr>
                <w:color w:val="auto"/>
                <w:szCs w:val="21"/>
                <w:lang w:bidi="ar"/>
              </w:rPr>
              <w:t>2.4</w:t>
            </w:r>
            <w:r>
              <w:rPr>
                <w:rFonts w:hint="eastAsia" w:ascii="宋体" w:hAnsi="宋体" w:cs="宋体"/>
                <w:color w:val="auto"/>
                <w:szCs w:val="21"/>
                <w:lang w:bidi="ar"/>
              </w:rPr>
              <w:t>吨（平方千米·</w:t>
            </w:r>
            <w:r>
              <w:rPr>
                <w:color w:val="auto"/>
                <w:szCs w:val="21"/>
                <w:lang w:bidi="ar"/>
              </w:rPr>
              <w:t>30</w:t>
            </w:r>
            <w:r>
              <w:rPr>
                <w:rFonts w:hint="eastAsia" w:ascii="宋体" w:hAnsi="宋体" w:cs="宋体"/>
                <w:color w:val="auto"/>
                <w:szCs w:val="21"/>
                <w:lang w:bidi="ar"/>
              </w:rPr>
              <w:t>日），与</w:t>
            </w:r>
            <w:r>
              <w:rPr>
                <w:color w:val="auto"/>
                <w:szCs w:val="21"/>
                <w:lang w:bidi="ar"/>
              </w:rPr>
              <w:t>2024</w:t>
            </w:r>
            <w:r>
              <w:rPr>
                <w:rFonts w:hint="eastAsia" w:ascii="宋体" w:hAnsi="宋体" w:cs="宋体"/>
                <w:color w:val="auto"/>
                <w:szCs w:val="21"/>
                <w:lang w:bidi="ar"/>
              </w:rPr>
              <w:t>年相比上升</w:t>
            </w:r>
            <w:r>
              <w:rPr>
                <w:color w:val="auto"/>
                <w:szCs w:val="21"/>
                <w:lang w:bidi="ar"/>
              </w:rPr>
              <w:t>20.0%</w:t>
            </w:r>
            <w:r>
              <w:rPr>
                <w:rFonts w:hint="eastAsia" w:ascii="宋体" w:hAnsi="宋体" w:cs="宋体"/>
                <w:color w:val="auto"/>
                <w:szCs w:val="21"/>
                <w:lang w:bidi="ar"/>
              </w:rPr>
              <w:t>。</w:t>
            </w:r>
            <w:r>
              <w:rPr>
                <w:color w:val="auto"/>
                <w:szCs w:val="21"/>
                <w:lang w:bidi="ar"/>
              </w:rPr>
              <w:t>2025</w:t>
            </w:r>
            <w:r>
              <w:rPr>
                <w:rFonts w:hint="eastAsia" w:ascii="宋体" w:hAnsi="宋体" w:cs="宋体"/>
                <w:color w:val="auto"/>
                <w:szCs w:val="21"/>
                <w:lang w:bidi="ar"/>
              </w:rPr>
              <w:t>年，连云港市环境空气质量优良天数为</w:t>
            </w:r>
            <w:r>
              <w:rPr>
                <w:color w:val="auto"/>
                <w:szCs w:val="21"/>
                <w:lang w:bidi="ar"/>
              </w:rPr>
              <w:t>315</w:t>
            </w:r>
            <w:r>
              <w:rPr>
                <w:rFonts w:hint="eastAsia" w:ascii="宋体" w:hAnsi="宋体" w:cs="宋体"/>
                <w:color w:val="auto"/>
                <w:szCs w:val="21"/>
                <w:lang w:bidi="ar"/>
              </w:rPr>
              <w:t>天（其中优</w:t>
            </w:r>
            <w:r>
              <w:rPr>
                <w:color w:val="auto"/>
                <w:szCs w:val="21"/>
                <w:lang w:bidi="ar"/>
              </w:rPr>
              <w:t>99</w:t>
            </w:r>
            <w:r>
              <w:rPr>
                <w:rFonts w:hint="eastAsia" w:ascii="宋体" w:hAnsi="宋体" w:cs="宋体"/>
                <w:color w:val="auto"/>
                <w:szCs w:val="21"/>
                <w:lang w:bidi="ar"/>
              </w:rPr>
              <w:t>天，良</w:t>
            </w:r>
            <w:r>
              <w:rPr>
                <w:color w:val="auto"/>
                <w:szCs w:val="21"/>
                <w:lang w:bidi="ar"/>
              </w:rPr>
              <w:t>216</w:t>
            </w:r>
            <w:r>
              <w:rPr>
                <w:rFonts w:hint="eastAsia" w:ascii="宋体" w:hAnsi="宋体" w:cs="宋体"/>
                <w:color w:val="auto"/>
                <w:szCs w:val="21"/>
                <w:lang w:bidi="ar"/>
              </w:rPr>
              <w:t>天），优良天数比率为</w:t>
            </w:r>
            <w:r>
              <w:rPr>
                <w:color w:val="auto"/>
                <w:szCs w:val="21"/>
                <w:lang w:bidi="ar"/>
              </w:rPr>
              <w:t>86.3%</w:t>
            </w:r>
            <w:r>
              <w:rPr>
                <w:rFonts w:hint="eastAsia" w:ascii="宋体" w:hAnsi="宋体" w:cs="宋体"/>
                <w:color w:val="auto"/>
                <w:szCs w:val="21"/>
                <w:lang w:bidi="ar"/>
              </w:rPr>
              <w:t>，与</w:t>
            </w:r>
            <w:r>
              <w:rPr>
                <w:color w:val="auto"/>
                <w:szCs w:val="21"/>
                <w:lang w:bidi="ar"/>
              </w:rPr>
              <w:t>2024</w:t>
            </w:r>
            <w:r>
              <w:rPr>
                <w:rFonts w:hint="eastAsia" w:ascii="宋体" w:hAnsi="宋体" w:cs="宋体"/>
                <w:color w:val="auto"/>
                <w:szCs w:val="21"/>
                <w:lang w:bidi="ar"/>
              </w:rPr>
              <w:t>年相比上升</w:t>
            </w:r>
            <w:r>
              <w:rPr>
                <w:color w:val="auto"/>
                <w:szCs w:val="21"/>
                <w:lang w:bidi="ar"/>
              </w:rPr>
              <w:t>4.3</w:t>
            </w:r>
            <w:r>
              <w:rPr>
                <w:rFonts w:hint="eastAsia" w:ascii="宋体" w:hAnsi="宋体" w:cs="宋体"/>
                <w:color w:val="auto"/>
                <w:szCs w:val="21"/>
                <w:lang w:bidi="ar"/>
              </w:rPr>
              <w:t>个百分点。</w:t>
            </w:r>
            <w:r>
              <w:rPr>
                <w:color w:val="auto"/>
                <w:szCs w:val="21"/>
                <w:lang w:bidi="ar"/>
              </w:rPr>
              <w:t>2025</w:t>
            </w:r>
            <w:r>
              <w:rPr>
                <w:rFonts w:hint="eastAsia" w:ascii="宋体" w:hAnsi="宋体" w:cs="宋体"/>
                <w:color w:val="auto"/>
                <w:szCs w:val="21"/>
                <w:lang w:bidi="ar"/>
              </w:rPr>
              <w:t>年污染天中，首要污染物分别为臭氧、细颗粒物和可吸入颗粒物，占比分别为</w:t>
            </w:r>
            <w:r>
              <w:rPr>
                <w:color w:val="auto"/>
                <w:szCs w:val="21"/>
                <w:lang w:bidi="ar"/>
              </w:rPr>
              <w:t>52%</w:t>
            </w:r>
            <w:r>
              <w:rPr>
                <w:rFonts w:hint="eastAsia" w:ascii="宋体" w:hAnsi="宋体" w:cs="宋体"/>
                <w:color w:val="auto"/>
                <w:szCs w:val="21"/>
                <w:lang w:bidi="ar"/>
              </w:rPr>
              <w:t>、</w:t>
            </w:r>
            <w:r>
              <w:rPr>
                <w:color w:val="auto"/>
                <w:szCs w:val="21"/>
                <w:lang w:bidi="ar"/>
              </w:rPr>
              <w:t>38%</w:t>
            </w:r>
            <w:r>
              <w:rPr>
                <w:rFonts w:hint="eastAsia" w:ascii="宋体" w:hAnsi="宋体" w:cs="宋体"/>
                <w:color w:val="auto"/>
                <w:szCs w:val="21"/>
                <w:lang w:bidi="ar"/>
              </w:rPr>
              <w:t>和</w:t>
            </w:r>
            <w:r>
              <w:rPr>
                <w:color w:val="auto"/>
                <w:szCs w:val="21"/>
                <w:lang w:bidi="ar"/>
              </w:rPr>
              <w:t>10%</w:t>
            </w:r>
            <w:r>
              <w:rPr>
                <w:rFonts w:hint="eastAsia" w:ascii="宋体" w:hAnsi="宋体" w:cs="宋体"/>
                <w:color w:val="auto"/>
                <w:szCs w:val="21"/>
                <w:lang w:bidi="ar"/>
              </w:rPr>
              <w:t>，与</w:t>
            </w:r>
            <w:r>
              <w:rPr>
                <w:color w:val="auto"/>
                <w:szCs w:val="21"/>
                <w:lang w:bidi="ar"/>
              </w:rPr>
              <w:t>2024</w:t>
            </w:r>
            <w:r>
              <w:rPr>
                <w:rFonts w:hint="eastAsia" w:ascii="宋体" w:hAnsi="宋体" w:cs="宋体"/>
                <w:color w:val="auto"/>
                <w:szCs w:val="21"/>
                <w:lang w:bidi="ar"/>
              </w:rPr>
              <w:t>年相比，臭氧为首要污染物的天数占比下降</w:t>
            </w:r>
            <w:r>
              <w:rPr>
                <w:color w:val="auto"/>
                <w:szCs w:val="21"/>
                <w:lang w:bidi="ar"/>
              </w:rPr>
              <w:t>4.1</w:t>
            </w:r>
            <w:r>
              <w:rPr>
                <w:rFonts w:hint="eastAsia" w:ascii="宋体" w:hAnsi="宋体" w:cs="宋体"/>
                <w:color w:val="auto"/>
                <w:szCs w:val="21"/>
                <w:lang w:bidi="ar"/>
              </w:rPr>
              <w:t>个百分点，细颗粒物为首要污染物的天数占比上升</w:t>
            </w:r>
            <w:r>
              <w:rPr>
                <w:color w:val="auto"/>
                <w:szCs w:val="21"/>
                <w:lang w:bidi="ar"/>
              </w:rPr>
              <w:t>6.2</w:t>
            </w:r>
            <w:r>
              <w:rPr>
                <w:rFonts w:hint="eastAsia" w:ascii="宋体" w:hAnsi="宋体" w:cs="宋体"/>
                <w:color w:val="auto"/>
                <w:szCs w:val="21"/>
                <w:lang w:bidi="ar"/>
              </w:rPr>
              <w:t>个百分点，可吸入颗粒物为首要污染物的天数占比下降</w:t>
            </w:r>
            <w:r>
              <w:rPr>
                <w:color w:val="auto"/>
                <w:szCs w:val="21"/>
                <w:lang w:bidi="ar"/>
              </w:rPr>
              <w:t>2.1</w:t>
            </w:r>
            <w:r>
              <w:rPr>
                <w:rFonts w:hint="eastAsia" w:ascii="宋体" w:hAnsi="宋体" w:cs="宋体"/>
                <w:color w:val="auto"/>
                <w:szCs w:val="21"/>
                <w:lang w:bidi="ar"/>
              </w:rPr>
              <w:t>个百分点。</w:t>
            </w:r>
          </w:p>
          <w:p w14:paraId="62C152F7">
            <w:pPr>
              <w:spacing w:line="500" w:lineRule="exact"/>
              <w:ind w:firstLine="420" w:firstLineChars="200"/>
              <w:rPr>
                <w:color w:val="auto"/>
                <w:szCs w:val="21"/>
              </w:rPr>
            </w:pPr>
            <w:r>
              <w:rPr>
                <w:rFonts w:hint="eastAsia" w:ascii="宋体" w:hAnsi="宋体" w:cs="宋体"/>
                <w:color w:val="auto"/>
                <w:szCs w:val="21"/>
                <w:lang w:bidi="ar"/>
              </w:rPr>
              <w:t>结合以上分析，</w:t>
            </w:r>
            <w:r>
              <w:rPr>
                <w:color w:val="auto"/>
                <w:szCs w:val="21"/>
                <w:lang w:bidi="ar"/>
              </w:rPr>
              <w:t>2025</w:t>
            </w:r>
            <w:r>
              <w:rPr>
                <w:rFonts w:hint="eastAsia" w:ascii="宋体" w:hAnsi="宋体" w:cs="宋体"/>
                <w:color w:val="auto"/>
                <w:szCs w:val="21"/>
                <w:lang w:bidi="ar"/>
              </w:rPr>
              <w:t>年连云港市环境空气二氧化硫、二氧化氮、可吸入颗粒物、细颗粒物、一氧化碳、臭氧浓度符合《环境空气质量标准》（</w:t>
            </w:r>
            <w:r>
              <w:rPr>
                <w:color w:val="auto"/>
                <w:szCs w:val="21"/>
                <w:lang w:bidi="ar"/>
              </w:rPr>
              <w:t>GB 3095—2026</w:t>
            </w:r>
            <w:r>
              <w:rPr>
                <w:rFonts w:hint="eastAsia" w:ascii="宋体" w:hAnsi="宋体" w:cs="宋体"/>
                <w:color w:val="auto"/>
                <w:szCs w:val="21"/>
                <w:lang w:bidi="ar"/>
              </w:rPr>
              <w:t>）过渡阶段二级标准限值，故连云港市为环境空气质量达标区。</w:t>
            </w:r>
          </w:p>
          <w:p w14:paraId="1D951B77">
            <w:pPr>
              <w:spacing w:line="500" w:lineRule="exact"/>
              <w:ind w:firstLine="420" w:firstLineChars="200"/>
              <w:rPr>
                <w:color w:val="auto"/>
                <w:kern w:val="0"/>
                <w:szCs w:val="21"/>
              </w:rPr>
            </w:pPr>
            <w:r>
              <w:rPr>
                <w:rFonts w:hint="eastAsia" w:ascii="宋体" w:hAnsi="宋体" w:cs="宋体"/>
                <w:color w:val="auto"/>
                <w:szCs w:val="21"/>
                <w:lang w:bidi="ar"/>
              </w:rPr>
              <w:t>由此判定本项目所在区域为环境空气达标区。</w:t>
            </w:r>
          </w:p>
          <w:p w14:paraId="7C4B6DF5">
            <w:pPr>
              <w:adjustRightInd w:val="0"/>
              <w:snapToGrid w:val="0"/>
              <w:spacing w:line="500" w:lineRule="exact"/>
              <w:ind w:firstLine="422" w:firstLineChars="200"/>
              <w:rPr>
                <w:color w:val="auto"/>
              </w:rPr>
            </w:pPr>
            <w:r>
              <w:rPr>
                <w:b/>
                <w:color w:val="auto"/>
                <w:szCs w:val="21"/>
              </w:rPr>
              <w:t>2. 地表水环境质量状况</w:t>
            </w:r>
          </w:p>
          <w:p w14:paraId="39599D89">
            <w:pPr>
              <w:adjustRightInd w:val="0"/>
              <w:snapToGrid w:val="0"/>
              <w:spacing w:line="500" w:lineRule="exact"/>
              <w:ind w:firstLine="420" w:firstLineChars="200"/>
              <w:rPr>
                <w:color w:val="auto"/>
                <w:kern w:val="0"/>
                <w:szCs w:val="21"/>
              </w:rPr>
            </w:pPr>
            <w:r>
              <w:rPr>
                <w:rFonts w:hint="eastAsia" w:ascii="宋体" w:hAnsi="宋体" w:cs="宋体"/>
                <w:color w:val="auto"/>
                <w:szCs w:val="21"/>
                <w:lang w:bidi="ar"/>
              </w:rPr>
              <w:t>根据《</w:t>
            </w:r>
            <w:r>
              <w:rPr>
                <w:color w:val="auto"/>
                <w:szCs w:val="21"/>
                <w:lang w:bidi="ar"/>
              </w:rPr>
              <w:t>2025</w:t>
            </w:r>
            <w:r>
              <w:rPr>
                <w:rFonts w:hint="eastAsia" w:ascii="宋体" w:hAnsi="宋体" w:cs="宋体"/>
                <w:color w:val="auto"/>
                <w:szCs w:val="21"/>
                <w:lang w:bidi="ar"/>
              </w:rPr>
              <w:t>年度连云港市生态环境状况公报》，</w:t>
            </w:r>
            <w:r>
              <w:rPr>
                <w:color w:val="auto"/>
                <w:szCs w:val="21"/>
                <w:lang w:bidi="ar"/>
              </w:rPr>
              <w:t xml:space="preserve">2025 </w:t>
            </w:r>
            <w:r>
              <w:rPr>
                <w:rFonts w:hint="eastAsia" w:ascii="宋体" w:hAnsi="宋体" w:cs="宋体"/>
                <w:color w:val="auto"/>
                <w:szCs w:val="21"/>
                <w:lang w:bidi="ar"/>
              </w:rPr>
              <w:t>年，连云港市地表水国省考断面优</w:t>
            </w:r>
            <w:r>
              <w:rPr>
                <w:color w:val="auto"/>
                <w:szCs w:val="21"/>
                <w:lang w:bidi="ar"/>
              </w:rPr>
              <w:t>Ⅲ</w:t>
            </w:r>
            <w:r>
              <w:rPr>
                <w:rFonts w:hint="eastAsia" w:ascii="宋体" w:hAnsi="宋体" w:cs="宋体"/>
                <w:color w:val="auto"/>
                <w:szCs w:val="21"/>
                <w:lang w:bidi="ar"/>
              </w:rPr>
              <w:t>比连续</w:t>
            </w:r>
            <w:r>
              <w:rPr>
                <w:color w:val="auto"/>
                <w:szCs w:val="21"/>
                <w:lang w:bidi="ar"/>
              </w:rPr>
              <w:t>3</w:t>
            </w:r>
            <w:r>
              <w:rPr>
                <w:rFonts w:hint="eastAsia" w:ascii="宋体" w:hAnsi="宋体" w:cs="宋体"/>
                <w:color w:val="auto"/>
                <w:szCs w:val="21"/>
                <w:lang w:bidi="ar"/>
              </w:rPr>
              <w:t>年达到优级水平。</w:t>
            </w:r>
            <w:r>
              <w:rPr>
                <w:color w:val="auto"/>
                <w:szCs w:val="21"/>
                <w:lang w:bidi="ar"/>
              </w:rPr>
              <w:t xml:space="preserve">22 </w:t>
            </w:r>
            <w:r>
              <w:rPr>
                <w:rFonts w:hint="eastAsia" w:ascii="宋体" w:hAnsi="宋体" w:cs="宋体"/>
                <w:color w:val="auto"/>
                <w:szCs w:val="21"/>
                <w:lang w:bidi="ar"/>
              </w:rPr>
              <w:t>个地表水国考断面达到或好于</w:t>
            </w:r>
            <w:r>
              <w:rPr>
                <w:color w:val="auto"/>
                <w:szCs w:val="21"/>
                <w:lang w:bidi="ar"/>
              </w:rPr>
              <w:t>Ⅲ</w:t>
            </w:r>
            <w:r>
              <w:rPr>
                <w:rFonts w:hint="eastAsia" w:ascii="宋体" w:hAnsi="宋体" w:cs="宋体"/>
                <w:color w:val="auto"/>
                <w:szCs w:val="21"/>
                <w:lang w:bidi="ar"/>
              </w:rPr>
              <w:t>类断面比例为</w:t>
            </w:r>
            <w:r>
              <w:rPr>
                <w:color w:val="auto"/>
                <w:szCs w:val="21"/>
                <w:lang w:bidi="ar"/>
              </w:rPr>
              <w:t>95.5%</w:t>
            </w:r>
            <w:r>
              <w:rPr>
                <w:rFonts w:hint="eastAsia" w:ascii="宋体" w:hAnsi="宋体" w:cs="宋体"/>
                <w:color w:val="auto"/>
                <w:szCs w:val="21"/>
                <w:lang w:bidi="ar"/>
              </w:rPr>
              <w:t>，</w:t>
            </w:r>
            <w:r>
              <w:rPr>
                <w:color w:val="auto"/>
                <w:szCs w:val="21"/>
                <w:lang w:bidi="ar"/>
              </w:rPr>
              <w:t>Ⅳ</w:t>
            </w:r>
            <w:r>
              <w:rPr>
                <w:rFonts w:hint="eastAsia" w:ascii="宋体" w:hAnsi="宋体" w:cs="宋体"/>
                <w:color w:val="auto"/>
                <w:szCs w:val="21"/>
                <w:lang w:bidi="ar"/>
              </w:rPr>
              <w:t xml:space="preserve">类水质断面比例为 </w:t>
            </w:r>
            <w:r>
              <w:rPr>
                <w:color w:val="auto"/>
                <w:szCs w:val="21"/>
                <w:lang w:bidi="ar"/>
              </w:rPr>
              <w:t>4.5%</w:t>
            </w:r>
            <w:r>
              <w:rPr>
                <w:rFonts w:hint="eastAsia" w:ascii="宋体" w:hAnsi="宋体" w:cs="宋体"/>
                <w:color w:val="auto"/>
                <w:szCs w:val="21"/>
                <w:lang w:bidi="ar"/>
              </w:rPr>
              <w:t>，无</w:t>
            </w:r>
            <w:r>
              <w:rPr>
                <w:color w:val="auto"/>
                <w:szCs w:val="21"/>
                <w:lang w:bidi="ar"/>
              </w:rPr>
              <w:t>Ⅴ</w:t>
            </w:r>
            <w:r>
              <w:rPr>
                <w:rFonts w:hint="eastAsia" w:ascii="宋体" w:hAnsi="宋体" w:cs="宋体"/>
                <w:color w:val="auto"/>
                <w:szCs w:val="21"/>
                <w:lang w:bidi="ar"/>
              </w:rPr>
              <w:t>类及劣</w:t>
            </w:r>
            <w:r>
              <w:rPr>
                <w:color w:val="auto"/>
                <w:szCs w:val="21"/>
                <w:lang w:bidi="ar"/>
              </w:rPr>
              <w:t>Ⅴ</w:t>
            </w:r>
            <w:r>
              <w:rPr>
                <w:rFonts w:hint="eastAsia" w:ascii="宋体" w:hAnsi="宋体" w:cs="宋体"/>
                <w:color w:val="auto"/>
                <w:szCs w:val="21"/>
                <w:lang w:bidi="ar"/>
              </w:rPr>
              <w:t>类水质断面。</w:t>
            </w:r>
            <w:r>
              <w:rPr>
                <w:color w:val="auto"/>
                <w:szCs w:val="21"/>
                <w:lang w:bidi="ar"/>
              </w:rPr>
              <w:t xml:space="preserve">45 </w:t>
            </w:r>
            <w:r>
              <w:rPr>
                <w:rFonts w:hint="eastAsia" w:ascii="宋体" w:hAnsi="宋体" w:cs="宋体"/>
                <w:color w:val="auto"/>
                <w:szCs w:val="21"/>
                <w:lang w:bidi="ar"/>
              </w:rPr>
              <w:t xml:space="preserve">个省考断面（包括 </w:t>
            </w:r>
            <w:r>
              <w:rPr>
                <w:color w:val="auto"/>
                <w:szCs w:val="21"/>
                <w:lang w:bidi="ar"/>
              </w:rPr>
              <w:t xml:space="preserve">22 </w:t>
            </w:r>
            <w:r>
              <w:rPr>
                <w:rFonts w:hint="eastAsia" w:ascii="宋体" w:hAnsi="宋体" w:cs="宋体"/>
                <w:color w:val="auto"/>
                <w:szCs w:val="21"/>
                <w:lang w:bidi="ar"/>
              </w:rPr>
              <w:t>个国考断面）达到或优于</w:t>
            </w:r>
            <w:r>
              <w:rPr>
                <w:color w:val="auto"/>
                <w:szCs w:val="21"/>
                <w:lang w:bidi="ar"/>
              </w:rPr>
              <w:t>Ⅲ</w:t>
            </w:r>
            <w:r>
              <w:rPr>
                <w:rFonts w:hint="eastAsia" w:ascii="宋体" w:hAnsi="宋体" w:cs="宋体"/>
                <w:color w:val="auto"/>
                <w:szCs w:val="21"/>
                <w:lang w:bidi="ar"/>
              </w:rPr>
              <w:t xml:space="preserve">类水质断面的比例为 </w:t>
            </w:r>
            <w:r>
              <w:rPr>
                <w:color w:val="auto"/>
                <w:szCs w:val="21"/>
                <w:lang w:bidi="ar"/>
              </w:rPr>
              <w:t>95.6%</w:t>
            </w:r>
            <w:r>
              <w:rPr>
                <w:rFonts w:hint="eastAsia" w:ascii="宋体" w:hAnsi="宋体" w:cs="宋体"/>
                <w:color w:val="auto"/>
                <w:szCs w:val="21"/>
                <w:lang w:bidi="ar"/>
              </w:rPr>
              <w:t>，</w:t>
            </w:r>
            <w:r>
              <w:rPr>
                <w:color w:val="auto"/>
                <w:szCs w:val="21"/>
                <w:lang w:bidi="ar"/>
              </w:rPr>
              <w:t>Ⅳ</w:t>
            </w:r>
            <w:r>
              <w:rPr>
                <w:rFonts w:hint="eastAsia" w:ascii="宋体" w:hAnsi="宋体" w:cs="宋体"/>
                <w:color w:val="auto"/>
                <w:szCs w:val="21"/>
                <w:lang w:bidi="ar"/>
              </w:rPr>
              <w:t>类水质断面的比例为</w:t>
            </w:r>
            <w:r>
              <w:rPr>
                <w:color w:val="auto"/>
                <w:szCs w:val="21"/>
                <w:lang w:bidi="ar"/>
              </w:rPr>
              <w:t>4.4%</w:t>
            </w:r>
            <w:r>
              <w:rPr>
                <w:rFonts w:hint="eastAsia" w:ascii="宋体" w:hAnsi="宋体" w:cs="宋体"/>
                <w:color w:val="auto"/>
                <w:szCs w:val="21"/>
                <w:lang w:bidi="ar"/>
              </w:rPr>
              <w:t>，未出现劣</w:t>
            </w:r>
            <w:r>
              <w:rPr>
                <w:color w:val="auto"/>
                <w:szCs w:val="21"/>
                <w:lang w:bidi="ar"/>
              </w:rPr>
              <w:t>Ⅴ</w:t>
            </w:r>
            <w:r>
              <w:rPr>
                <w:rFonts w:hint="eastAsia" w:ascii="宋体" w:hAnsi="宋体" w:cs="宋体"/>
                <w:color w:val="auto"/>
                <w:szCs w:val="21"/>
                <w:lang w:bidi="ar"/>
              </w:rPr>
              <w:t>类水质断面。县级以上集中式饮用水水源水质达到或好于</w:t>
            </w:r>
            <w:r>
              <w:rPr>
                <w:color w:val="auto"/>
                <w:szCs w:val="21"/>
                <w:lang w:bidi="ar"/>
              </w:rPr>
              <w:t>Ⅲ</w:t>
            </w:r>
            <w:r>
              <w:rPr>
                <w:rFonts w:hint="eastAsia" w:ascii="宋体" w:hAnsi="宋体" w:cs="宋体"/>
                <w:color w:val="auto"/>
                <w:szCs w:val="21"/>
                <w:lang w:bidi="ar"/>
              </w:rPr>
              <w:t>类比率为</w:t>
            </w:r>
            <w:r>
              <w:rPr>
                <w:color w:val="auto"/>
                <w:szCs w:val="21"/>
                <w:lang w:bidi="ar"/>
              </w:rPr>
              <w:t>100%</w:t>
            </w:r>
            <w:r>
              <w:rPr>
                <w:rFonts w:hint="eastAsia" w:ascii="宋体" w:hAnsi="宋体" w:cs="宋体"/>
                <w:color w:val="auto"/>
                <w:szCs w:val="21"/>
                <w:lang w:bidi="ar"/>
              </w:rPr>
              <w:t>。</w:t>
            </w:r>
          </w:p>
          <w:p w14:paraId="39AC4CB5">
            <w:pPr>
              <w:adjustRightInd w:val="0"/>
              <w:snapToGrid w:val="0"/>
              <w:spacing w:line="500" w:lineRule="exact"/>
              <w:ind w:firstLine="422" w:firstLineChars="200"/>
              <w:rPr>
                <w:b/>
                <w:color w:val="auto"/>
                <w:szCs w:val="21"/>
              </w:rPr>
            </w:pPr>
            <w:r>
              <w:rPr>
                <w:b/>
                <w:color w:val="auto"/>
                <w:szCs w:val="21"/>
              </w:rPr>
              <w:t xml:space="preserve">3. </w:t>
            </w:r>
            <w:r>
              <w:rPr>
                <w:rFonts w:hint="eastAsia"/>
                <w:b/>
                <w:color w:val="auto"/>
                <w:szCs w:val="21"/>
              </w:rPr>
              <w:t>海水</w:t>
            </w:r>
            <w:r>
              <w:rPr>
                <w:b/>
                <w:color w:val="auto"/>
                <w:szCs w:val="21"/>
              </w:rPr>
              <w:t>环境质量状况</w:t>
            </w:r>
          </w:p>
          <w:p w14:paraId="7F0041B5">
            <w:pPr>
              <w:adjustRightInd w:val="0"/>
              <w:snapToGrid w:val="0"/>
              <w:spacing w:line="500" w:lineRule="exact"/>
              <w:ind w:firstLine="420" w:firstLineChars="200"/>
              <w:rPr>
                <w:color w:val="auto"/>
                <w:szCs w:val="21"/>
                <w:lang w:bidi="ar"/>
              </w:rPr>
            </w:pPr>
            <w:r>
              <w:rPr>
                <w:color w:val="auto"/>
                <w:szCs w:val="21"/>
                <w:lang w:bidi="ar"/>
              </w:rPr>
              <w:t>根据《2025年度连云港市生态环境状况公报》，2025 年，连云港市近岸海域水质状况总体为优。全市入海河流水质总体为优，无劣 V 类水质断面。连岛和苏马湾海水浴场水质状况总体为优良，与 2024 年相比，海水浴场水质等级为“优”的比例有所上升，“差”的比例有所下降。</w:t>
            </w:r>
          </w:p>
          <w:p w14:paraId="45C44CBF">
            <w:pPr>
              <w:adjustRightInd w:val="0"/>
              <w:snapToGrid w:val="0"/>
              <w:spacing w:line="500" w:lineRule="exact"/>
              <w:ind w:firstLine="422" w:firstLineChars="200"/>
              <w:rPr>
                <w:b/>
                <w:color w:val="auto"/>
                <w:szCs w:val="21"/>
              </w:rPr>
            </w:pPr>
            <w:r>
              <w:rPr>
                <w:rFonts w:hint="eastAsia"/>
                <w:b/>
                <w:color w:val="auto"/>
                <w:szCs w:val="21"/>
              </w:rPr>
              <w:t>4</w:t>
            </w:r>
            <w:r>
              <w:rPr>
                <w:b/>
                <w:color w:val="auto"/>
                <w:szCs w:val="21"/>
              </w:rPr>
              <w:t>. 声环境质量状况</w:t>
            </w:r>
          </w:p>
          <w:p w14:paraId="16C12843">
            <w:pPr>
              <w:snapToGrid w:val="0"/>
              <w:spacing w:line="500" w:lineRule="exact"/>
              <w:ind w:firstLine="420" w:firstLineChars="200"/>
              <w:rPr>
                <w:color w:val="auto"/>
                <w:szCs w:val="21"/>
              </w:rPr>
            </w:pPr>
            <w:r>
              <w:rPr>
                <w:color w:val="auto"/>
                <w:szCs w:val="21"/>
                <w:lang w:bidi="ar"/>
              </w:rPr>
              <w:t>根据《2025年度连云港市生态环境状况公报》，</w:t>
            </w:r>
            <w:r>
              <w:rPr>
                <w:rFonts w:hint="eastAsia"/>
                <w:color w:val="auto"/>
                <w:szCs w:val="21"/>
              </w:rPr>
              <w:t>2025 年，连云港市声环境质量总体较好。市区功能区噪声昼间和夜间达标率分别为 95.2%和85.3%。</w:t>
            </w:r>
          </w:p>
          <w:p w14:paraId="0B3242E6">
            <w:pPr>
              <w:snapToGrid w:val="0"/>
              <w:spacing w:line="500" w:lineRule="exact"/>
              <w:ind w:firstLine="420" w:firstLineChars="200"/>
              <w:rPr>
                <w:color w:val="auto"/>
                <w:szCs w:val="21"/>
              </w:rPr>
            </w:pPr>
            <w:r>
              <w:rPr>
                <w:color w:val="auto"/>
                <w:szCs w:val="21"/>
              </w:rPr>
              <w:t>本项目在</w:t>
            </w:r>
            <w:r>
              <w:rPr>
                <w:rFonts w:hint="eastAsia"/>
                <w:color w:val="auto"/>
                <w:szCs w:val="21"/>
              </w:rPr>
              <w:t>瑞兆科公司</w:t>
            </w:r>
            <w:r>
              <w:rPr>
                <w:color w:val="auto"/>
                <w:szCs w:val="21"/>
              </w:rPr>
              <w:t>现有厂区内，所在厂区厂界周边50m范围内无声环境敏感目标，根据《建设项目环境影响报告表编制技术指南（污染影响类</w:t>
            </w:r>
            <w:r>
              <w:rPr>
                <w:rFonts w:hint="eastAsia"/>
                <w:color w:val="auto"/>
                <w:szCs w:val="21"/>
                <w:lang w:eastAsia="zh-CN"/>
              </w:rPr>
              <w:t>）</w:t>
            </w:r>
            <w:r>
              <w:rPr>
                <w:color w:val="auto"/>
                <w:szCs w:val="21"/>
              </w:rPr>
              <w:t>》</w:t>
            </w:r>
            <w:r>
              <w:rPr>
                <w:rFonts w:hint="eastAsia"/>
                <w:color w:val="auto"/>
                <w:szCs w:val="21"/>
                <w:lang w:eastAsia="zh-CN"/>
              </w:rPr>
              <w:t>（</w:t>
            </w:r>
            <w:r>
              <w:rPr>
                <w:color w:val="auto"/>
                <w:szCs w:val="21"/>
              </w:rPr>
              <w:t>试行</w:t>
            </w:r>
            <w:r>
              <w:rPr>
                <w:rFonts w:hint="eastAsia"/>
                <w:color w:val="auto"/>
                <w:szCs w:val="21"/>
                <w:lang w:eastAsia="zh-CN"/>
              </w:rPr>
              <w:t>）</w:t>
            </w:r>
            <w:r>
              <w:rPr>
                <w:color w:val="auto"/>
                <w:szCs w:val="21"/>
              </w:rPr>
              <w:t>，无需开展声环境现状监测工作。</w:t>
            </w:r>
          </w:p>
          <w:p w14:paraId="223D19A5">
            <w:pPr>
              <w:adjustRightInd w:val="0"/>
              <w:snapToGrid w:val="0"/>
              <w:spacing w:line="500" w:lineRule="exact"/>
              <w:ind w:firstLine="422" w:firstLineChars="200"/>
              <w:rPr>
                <w:b/>
                <w:color w:val="auto"/>
                <w:szCs w:val="21"/>
              </w:rPr>
            </w:pPr>
            <w:r>
              <w:rPr>
                <w:rFonts w:hint="eastAsia"/>
                <w:b/>
                <w:color w:val="auto"/>
                <w:szCs w:val="21"/>
              </w:rPr>
              <w:t>5、生态环境</w:t>
            </w:r>
          </w:p>
          <w:p w14:paraId="1D0D893D">
            <w:pPr>
              <w:snapToGrid w:val="0"/>
              <w:spacing w:line="500" w:lineRule="exact"/>
              <w:ind w:firstLine="420" w:firstLineChars="200"/>
              <w:rPr>
                <w:color w:val="auto"/>
                <w:szCs w:val="21"/>
              </w:rPr>
            </w:pPr>
            <w:r>
              <w:rPr>
                <w:rFonts w:hint="eastAsia"/>
                <w:color w:val="auto"/>
                <w:szCs w:val="21"/>
              </w:rPr>
              <w:t>本项目位于瑞兆科公司现有厂区内，不新增用地，且用地范围内无生态环境保护目标。根据《建设项目环境影响报告表编制技术指南（污染影响类）》（试行），无需开展生态环境现状调查。</w:t>
            </w:r>
          </w:p>
          <w:p w14:paraId="2B56A8C7">
            <w:pPr>
              <w:adjustRightInd w:val="0"/>
              <w:snapToGrid w:val="0"/>
              <w:spacing w:line="500" w:lineRule="exact"/>
              <w:ind w:firstLine="422" w:firstLineChars="200"/>
              <w:rPr>
                <w:b/>
                <w:color w:val="auto"/>
                <w:szCs w:val="21"/>
              </w:rPr>
            </w:pPr>
            <w:r>
              <w:rPr>
                <w:rFonts w:hint="eastAsia"/>
                <w:b/>
                <w:color w:val="auto"/>
                <w:szCs w:val="21"/>
              </w:rPr>
              <w:t>6、电磁辐射</w:t>
            </w:r>
          </w:p>
          <w:p w14:paraId="369595F0">
            <w:pPr>
              <w:snapToGrid w:val="0"/>
              <w:spacing w:line="500" w:lineRule="exact"/>
              <w:ind w:firstLine="420" w:firstLineChars="200"/>
              <w:rPr>
                <w:color w:val="auto"/>
                <w:szCs w:val="21"/>
              </w:rPr>
            </w:pPr>
            <w:r>
              <w:rPr>
                <w:rFonts w:hint="eastAsia"/>
                <w:color w:val="auto"/>
                <w:szCs w:val="21"/>
              </w:rPr>
              <w:t>本项目不涉及电磁辐射，不进行监测和评价。</w:t>
            </w:r>
          </w:p>
          <w:p w14:paraId="23A5E225">
            <w:pPr>
              <w:adjustRightInd w:val="0"/>
              <w:snapToGrid w:val="0"/>
              <w:spacing w:line="500" w:lineRule="exact"/>
              <w:ind w:firstLine="422" w:firstLineChars="200"/>
              <w:rPr>
                <w:b/>
                <w:color w:val="auto"/>
                <w:szCs w:val="21"/>
              </w:rPr>
            </w:pPr>
            <w:r>
              <w:rPr>
                <w:rFonts w:hint="eastAsia"/>
                <w:b/>
                <w:color w:val="auto"/>
                <w:szCs w:val="21"/>
              </w:rPr>
              <w:t>7、地下水、土壤环境</w:t>
            </w:r>
          </w:p>
          <w:p w14:paraId="2DE163A2">
            <w:pPr>
              <w:snapToGrid w:val="0"/>
              <w:spacing w:line="500" w:lineRule="exact"/>
              <w:ind w:firstLine="420" w:firstLineChars="200"/>
              <w:rPr>
                <w:color w:val="auto"/>
                <w:szCs w:val="21"/>
              </w:rPr>
            </w:pPr>
            <w:r>
              <w:rPr>
                <w:rFonts w:hint="eastAsia"/>
                <w:color w:val="auto"/>
                <w:szCs w:val="21"/>
              </w:rPr>
              <w:t>本项目为品控洁净实验室项目，生产工艺较为简单，且项目周边不存在敏感目标。根据《建设项目环境影响报告表编制技术指南（污染影响类）》（试行），原则上可不开展土壤和地下水环境质量现状调查工作。</w:t>
            </w:r>
          </w:p>
        </w:tc>
      </w:tr>
      <w:tr w14:paraId="32601D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00" w:hRule="atLeast"/>
          <w:jc w:val="center"/>
        </w:trPr>
        <w:tc>
          <w:tcPr>
            <w:tcW w:w="605" w:type="dxa"/>
            <w:vAlign w:val="center"/>
          </w:tcPr>
          <w:p w14:paraId="421302C0">
            <w:pPr>
              <w:adjustRightInd w:val="0"/>
              <w:snapToGrid w:val="0"/>
              <w:jc w:val="center"/>
              <w:rPr>
                <w:color w:val="auto"/>
                <w:kern w:val="0"/>
                <w:szCs w:val="21"/>
              </w:rPr>
            </w:pPr>
            <w:r>
              <w:rPr>
                <w:color w:val="auto"/>
                <w:kern w:val="0"/>
                <w:szCs w:val="21"/>
              </w:rPr>
              <w:t>环境</w:t>
            </w:r>
          </w:p>
          <w:p w14:paraId="6E5D5D2F">
            <w:pPr>
              <w:adjustRightInd w:val="0"/>
              <w:snapToGrid w:val="0"/>
              <w:jc w:val="center"/>
              <w:rPr>
                <w:color w:val="auto"/>
                <w:kern w:val="0"/>
                <w:szCs w:val="21"/>
              </w:rPr>
            </w:pPr>
            <w:r>
              <w:rPr>
                <w:color w:val="auto"/>
                <w:kern w:val="0"/>
                <w:szCs w:val="21"/>
              </w:rPr>
              <w:t>保护</w:t>
            </w:r>
          </w:p>
          <w:p w14:paraId="0ECCC153">
            <w:pPr>
              <w:adjustRightInd w:val="0"/>
              <w:snapToGrid w:val="0"/>
              <w:jc w:val="center"/>
              <w:rPr>
                <w:color w:val="auto"/>
                <w:kern w:val="0"/>
                <w:szCs w:val="21"/>
              </w:rPr>
            </w:pPr>
            <w:r>
              <w:rPr>
                <w:color w:val="auto"/>
                <w:kern w:val="0"/>
                <w:szCs w:val="21"/>
              </w:rPr>
              <w:t>目标</w:t>
            </w:r>
          </w:p>
        </w:tc>
        <w:tc>
          <w:tcPr>
            <w:tcW w:w="8220" w:type="dxa"/>
            <w:vAlign w:val="center"/>
          </w:tcPr>
          <w:p w14:paraId="60213A55">
            <w:pPr>
              <w:adjustRightInd w:val="0"/>
              <w:snapToGrid w:val="0"/>
              <w:spacing w:line="500" w:lineRule="exact"/>
              <w:ind w:firstLine="422" w:firstLineChars="200"/>
              <w:rPr>
                <w:b/>
                <w:color w:val="auto"/>
                <w:szCs w:val="21"/>
              </w:rPr>
            </w:pPr>
            <w:r>
              <w:rPr>
                <w:b/>
                <w:color w:val="auto"/>
                <w:szCs w:val="21"/>
              </w:rPr>
              <w:t>1</w:t>
            </w:r>
            <w:r>
              <w:rPr>
                <w:rFonts w:hint="eastAsia"/>
                <w:b/>
                <w:color w:val="auto"/>
                <w:szCs w:val="21"/>
              </w:rPr>
              <w:t>、大气环境</w:t>
            </w:r>
          </w:p>
          <w:p w14:paraId="75C7BD05">
            <w:pPr>
              <w:snapToGrid w:val="0"/>
              <w:spacing w:line="500" w:lineRule="exact"/>
              <w:ind w:firstLine="420" w:firstLineChars="200"/>
              <w:rPr>
                <w:color w:val="auto"/>
                <w:szCs w:val="21"/>
              </w:rPr>
            </w:pPr>
            <w:r>
              <w:rPr>
                <w:rFonts w:hint="eastAsia"/>
                <w:color w:val="auto"/>
                <w:szCs w:val="21"/>
              </w:rPr>
              <w:t>本项目厂界外500米范围内无自然保护区、风景名胜区、农村地区中人群较集中的区域。</w:t>
            </w:r>
          </w:p>
          <w:p w14:paraId="0AAB6979">
            <w:pPr>
              <w:adjustRightInd w:val="0"/>
              <w:snapToGrid w:val="0"/>
              <w:spacing w:line="500" w:lineRule="exact"/>
              <w:ind w:firstLine="422" w:firstLineChars="200"/>
              <w:rPr>
                <w:b/>
                <w:color w:val="auto"/>
                <w:szCs w:val="21"/>
              </w:rPr>
            </w:pPr>
            <w:r>
              <w:rPr>
                <w:b/>
                <w:color w:val="auto"/>
                <w:szCs w:val="21"/>
              </w:rPr>
              <w:t>2</w:t>
            </w:r>
            <w:r>
              <w:rPr>
                <w:rFonts w:hint="eastAsia"/>
                <w:b/>
                <w:color w:val="auto"/>
                <w:szCs w:val="21"/>
              </w:rPr>
              <w:t>、声环境</w:t>
            </w:r>
          </w:p>
          <w:p w14:paraId="6CF9F5C9">
            <w:pPr>
              <w:snapToGrid w:val="0"/>
              <w:spacing w:line="500" w:lineRule="exact"/>
              <w:ind w:firstLine="420" w:firstLineChars="200"/>
              <w:rPr>
                <w:color w:val="auto"/>
                <w:szCs w:val="21"/>
              </w:rPr>
            </w:pPr>
            <w:r>
              <w:rPr>
                <w:rFonts w:hint="eastAsia"/>
                <w:color w:val="auto"/>
                <w:szCs w:val="21"/>
              </w:rPr>
              <w:t>厂界外50米范围内无声环境保护目标。</w:t>
            </w:r>
          </w:p>
          <w:p w14:paraId="4C570E04">
            <w:pPr>
              <w:adjustRightInd w:val="0"/>
              <w:snapToGrid w:val="0"/>
              <w:spacing w:line="500" w:lineRule="exact"/>
              <w:ind w:firstLine="422" w:firstLineChars="200"/>
              <w:rPr>
                <w:b/>
                <w:color w:val="auto"/>
                <w:szCs w:val="21"/>
              </w:rPr>
            </w:pPr>
            <w:r>
              <w:rPr>
                <w:b/>
                <w:color w:val="auto"/>
                <w:szCs w:val="21"/>
              </w:rPr>
              <w:t>3</w:t>
            </w:r>
            <w:r>
              <w:rPr>
                <w:rFonts w:hint="eastAsia"/>
                <w:b/>
                <w:color w:val="auto"/>
                <w:szCs w:val="21"/>
              </w:rPr>
              <w:t>、地下水环境</w:t>
            </w:r>
          </w:p>
          <w:p w14:paraId="42C17BCE">
            <w:pPr>
              <w:snapToGrid w:val="0"/>
              <w:spacing w:line="500" w:lineRule="exact"/>
              <w:ind w:firstLine="420" w:firstLineChars="200"/>
              <w:rPr>
                <w:color w:val="auto"/>
                <w:szCs w:val="21"/>
              </w:rPr>
            </w:pPr>
            <w:r>
              <w:rPr>
                <w:rFonts w:hint="eastAsia"/>
                <w:color w:val="auto"/>
                <w:szCs w:val="21"/>
              </w:rPr>
              <w:t>本项目厂界外500米范围内无地下水集中式饮用水水源和热水、矿泉水、温泉等特殊地下水资源，不涉及地下水环境保护目标。</w:t>
            </w:r>
          </w:p>
          <w:p w14:paraId="13B76B33">
            <w:pPr>
              <w:adjustRightInd w:val="0"/>
              <w:snapToGrid w:val="0"/>
              <w:spacing w:line="500" w:lineRule="exact"/>
              <w:ind w:firstLine="422" w:firstLineChars="200"/>
              <w:rPr>
                <w:b/>
                <w:color w:val="auto"/>
                <w:szCs w:val="21"/>
              </w:rPr>
            </w:pPr>
            <w:r>
              <w:rPr>
                <w:b/>
                <w:color w:val="auto"/>
                <w:szCs w:val="21"/>
              </w:rPr>
              <w:t>4</w:t>
            </w:r>
            <w:r>
              <w:rPr>
                <w:rFonts w:hint="eastAsia"/>
                <w:b/>
                <w:color w:val="auto"/>
                <w:szCs w:val="21"/>
              </w:rPr>
              <w:t>、生态环境</w:t>
            </w:r>
          </w:p>
          <w:p w14:paraId="7E984370">
            <w:pPr>
              <w:snapToGrid w:val="0"/>
              <w:spacing w:line="500" w:lineRule="exact"/>
              <w:ind w:firstLine="420" w:firstLineChars="200"/>
              <w:rPr>
                <w:color w:val="auto"/>
                <w:szCs w:val="21"/>
              </w:rPr>
            </w:pPr>
            <w:r>
              <w:rPr>
                <w:rFonts w:hint="eastAsia"/>
                <w:color w:val="auto"/>
                <w:szCs w:val="21"/>
              </w:rPr>
              <w:t>本项目利用厂区现有用地建设，不新增用地，不涉及生态环境保护目标。</w:t>
            </w:r>
          </w:p>
          <w:p w14:paraId="43F6CF23">
            <w:pPr>
              <w:snapToGrid w:val="0"/>
              <w:spacing w:line="500" w:lineRule="exact"/>
              <w:jc w:val="center"/>
              <w:rPr>
                <w:color w:val="auto"/>
                <w:szCs w:val="21"/>
              </w:rPr>
            </w:pPr>
            <w:r>
              <w:rPr>
                <w:rFonts w:hint="eastAsia"/>
                <w:b/>
                <w:color w:val="auto"/>
                <w:szCs w:val="21"/>
              </w:rPr>
              <w:t>表</w:t>
            </w:r>
            <w:r>
              <w:rPr>
                <w:b/>
                <w:color w:val="auto"/>
                <w:szCs w:val="21"/>
              </w:rPr>
              <w:t xml:space="preserve">3-1 </w:t>
            </w:r>
            <w:r>
              <w:rPr>
                <w:rFonts w:hint="eastAsia"/>
                <w:b/>
                <w:color w:val="auto"/>
                <w:szCs w:val="21"/>
              </w:rPr>
              <w:t>本项目主要环境保护目标</w:t>
            </w:r>
          </w:p>
          <w:tbl>
            <w:tblPr>
              <w:tblStyle w:val="21"/>
              <w:tblW w:w="4996"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28" w:type="dxa"/>
                <w:left w:w="108" w:type="dxa"/>
                <w:bottom w:w="28" w:type="dxa"/>
                <w:right w:w="108" w:type="dxa"/>
              </w:tblCellMar>
            </w:tblPr>
            <w:tblGrid>
              <w:gridCol w:w="1109"/>
              <w:gridCol w:w="1933"/>
              <w:gridCol w:w="568"/>
              <w:gridCol w:w="1251"/>
              <w:gridCol w:w="1123"/>
              <w:gridCol w:w="2014"/>
            </w:tblGrid>
            <w:tr w14:paraId="2969CE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108" w:type="dxa"/>
                  <w:bottom w:w="28" w:type="dxa"/>
                  <w:right w:w="108" w:type="dxa"/>
                </w:tblCellMar>
              </w:tblPrEx>
              <w:trPr>
                <w:jc w:val="center"/>
              </w:trPr>
              <w:tc>
                <w:tcPr>
                  <w:tcW w:w="693" w:type="pct"/>
                  <w:vAlign w:val="center"/>
                </w:tcPr>
                <w:p w14:paraId="52F115DE">
                  <w:pPr>
                    <w:jc w:val="center"/>
                    <w:rPr>
                      <w:b/>
                      <w:color w:val="auto"/>
                      <w:sz w:val="18"/>
                      <w:szCs w:val="18"/>
                    </w:rPr>
                  </w:pPr>
                  <w:r>
                    <w:rPr>
                      <w:b/>
                      <w:color w:val="auto"/>
                      <w:sz w:val="18"/>
                      <w:szCs w:val="18"/>
                    </w:rPr>
                    <w:t>环境要素</w:t>
                  </w:r>
                </w:p>
              </w:tc>
              <w:tc>
                <w:tcPr>
                  <w:tcW w:w="1208" w:type="pct"/>
                  <w:vAlign w:val="center"/>
                </w:tcPr>
                <w:p w14:paraId="722A6037">
                  <w:pPr>
                    <w:jc w:val="center"/>
                    <w:rPr>
                      <w:b/>
                      <w:color w:val="auto"/>
                      <w:sz w:val="18"/>
                      <w:szCs w:val="18"/>
                    </w:rPr>
                  </w:pPr>
                  <w:r>
                    <w:rPr>
                      <w:b/>
                      <w:color w:val="auto"/>
                      <w:sz w:val="18"/>
                      <w:szCs w:val="18"/>
                    </w:rPr>
                    <w:t>环境保护对象名称</w:t>
                  </w:r>
                </w:p>
              </w:tc>
              <w:tc>
                <w:tcPr>
                  <w:tcW w:w="355" w:type="pct"/>
                  <w:vAlign w:val="center"/>
                </w:tcPr>
                <w:p w14:paraId="6C6BEAC0">
                  <w:pPr>
                    <w:jc w:val="center"/>
                    <w:rPr>
                      <w:b/>
                      <w:color w:val="auto"/>
                      <w:sz w:val="18"/>
                      <w:szCs w:val="18"/>
                    </w:rPr>
                  </w:pPr>
                  <w:r>
                    <w:rPr>
                      <w:b/>
                      <w:color w:val="auto"/>
                      <w:sz w:val="18"/>
                      <w:szCs w:val="18"/>
                    </w:rPr>
                    <w:t>方位</w:t>
                  </w:r>
                </w:p>
              </w:tc>
              <w:tc>
                <w:tcPr>
                  <w:tcW w:w="782" w:type="pct"/>
                  <w:vAlign w:val="center"/>
                </w:tcPr>
                <w:p w14:paraId="1268FB28">
                  <w:pPr>
                    <w:jc w:val="center"/>
                    <w:rPr>
                      <w:b/>
                      <w:color w:val="auto"/>
                      <w:sz w:val="18"/>
                      <w:szCs w:val="18"/>
                    </w:rPr>
                  </w:pPr>
                  <w:r>
                    <w:rPr>
                      <w:b/>
                      <w:color w:val="auto"/>
                      <w:sz w:val="18"/>
                      <w:szCs w:val="18"/>
                    </w:rPr>
                    <w:t>距离厂界最近距离（m）</w:t>
                  </w:r>
                </w:p>
              </w:tc>
              <w:tc>
                <w:tcPr>
                  <w:tcW w:w="701" w:type="pct"/>
                  <w:vAlign w:val="center"/>
                </w:tcPr>
                <w:p w14:paraId="00D72CAE">
                  <w:pPr>
                    <w:jc w:val="center"/>
                    <w:rPr>
                      <w:b/>
                      <w:color w:val="auto"/>
                      <w:sz w:val="18"/>
                      <w:szCs w:val="18"/>
                    </w:rPr>
                  </w:pPr>
                  <w:r>
                    <w:rPr>
                      <w:b/>
                      <w:color w:val="auto"/>
                      <w:sz w:val="18"/>
                      <w:szCs w:val="18"/>
                    </w:rPr>
                    <w:t>规模</w:t>
                  </w:r>
                </w:p>
              </w:tc>
              <w:tc>
                <w:tcPr>
                  <w:tcW w:w="1258" w:type="pct"/>
                  <w:vAlign w:val="center"/>
                </w:tcPr>
                <w:p w14:paraId="60065E55">
                  <w:pPr>
                    <w:jc w:val="center"/>
                    <w:rPr>
                      <w:b/>
                      <w:color w:val="auto"/>
                      <w:sz w:val="18"/>
                      <w:szCs w:val="18"/>
                    </w:rPr>
                  </w:pPr>
                  <w:r>
                    <w:rPr>
                      <w:b/>
                      <w:color w:val="auto"/>
                      <w:sz w:val="18"/>
                      <w:szCs w:val="18"/>
                    </w:rPr>
                    <w:t>环境质量</w:t>
                  </w:r>
                </w:p>
              </w:tc>
            </w:tr>
            <w:tr w14:paraId="008F6F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108" w:type="dxa"/>
                  <w:bottom w:w="28" w:type="dxa"/>
                  <w:right w:w="108" w:type="dxa"/>
                </w:tblCellMar>
              </w:tblPrEx>
              <w:trPr>
                <w:jc w:val="center"/>
              </w:trPr>
              <w:tc>
                <w:tcPr>
                  <w:tcW w:w="693" w:type="pct"/>
                  <w:vAlign w:val="center"/>
                </w:tcPr>
                <w:p w14:paraId="0429E657">
                  <w:pPr>
                    <w:jc w:val="center"/>
                    <w:rPr>
                      <w:color w:val="auto"/>
                      <w:sz w:val="18"/>
                      <w:szCs w:val="18"/>
                    </w:rPr>
                  </w:pPr>
                  <w:r>
                    <w:rPr>
                      <w:color w:val="auto"/>
                      <w:sz w:val="18"/>
                      <w:szCs w:val="18"/>
                    </w:rPr>
                    <w:t>大气环境</w:t>
                  </w:r>
                </w:p>
              </w:tc>
              <w:tc>
                <w:tcPr>
                  <w:tcW w:w="1208" w:type="pct"/>
                  <w:vAlign w:val="center"/>
                </w:tcPr>
                <w:p w14:paraId="655D46D7">
                  <w:pPr>
                    <w:jc w:val="center"/>
                    <w:rPr>
                      <w:color w:val="auto"/>
                      <w:sz w:val="18"/>
                      <w:szCs w:val="18"/>
                    </w:rPr>
                  </w:pPr>
                  <w:r>
                    <w:rPr>
                      <w:color w:val="auto"/>
                      <w:sz w:val="18"/>
                      <w:szCs w:val="18"/>
                    </w:rPr>
                    <w:t>无</w:t>
                  </w:r>
                </w:p>
              </w:tc>
              <w:tc>
                <w:tcPr>
                  <w:tcW w:w="355" w:type="pct"/>
                  <w:vAlign w:val="center"/>
                </w:tcPr>
                <w:p w14:paraId="6A9874A9">
                  <w:pPr>
                    <w:jc w:val="center"/>
                    <w:rPr>
                      <w:color w:val="auto"/>
                      <w:sz w:val="18"/>
                      <w:szCs w:val="18"/>
                    </w:rPr>
                  </w:pPr>
                  <w:r>
                    <w:rPr>
                      <w:color w:val="auto"/>
                      <w:sz w:val="18"/>
                      <w:szCs w:val="18"/>
                    </w:rPr>
                    <w:t>/</w:t>
                  </w:r>
                </w:p>
              </w:tc>
              <w:tc>
                <w:tcPr>
                  <w:tcW w:w="782" w:type="pct"/>
                  <w:vAlign w:val="center"/>
                </w:tcPr>
                <w:p w14:paraId="5E7E811B">
                  <w:pPr>
                    <w:jc w:val="center"/>
                    <w:rPr>
                      <w:color w:val="auto"/>
                      <w:sz w:val="18"/>
                      <w:szCs w:val="18"/>
                    </w:rPr>
                  </w:pPr>
                  <w:r>
                    <w:rPr>
                      <w:color w:val="auto"/>
                      <w:sz w:val="18"/>
                      <w:szCs w:val="18"/>
                    </w:rPr>
                    <w:t>/</w:t>
                  </w:r>
                </w:p>
              </w:tc>
              <w:tc>
                <w:tcPr>
                  <w:tcW w:w="701" w:type="pct"/>
                  <w:vAlign w:val="center"/>
                </w:tcPr>
                <w:p w14:paraId="12F0EAC3">
                  <w:pPr>
                    <w:jc w:val="center"/>
                    <w:rPr>
                      <w:color w:val="auto"/>
                      <w:sz w:val="18"/>
                      <w:szCs w:val="18"/>
                    </w:rPr>
                  </w:pPr>
                  <w:r>
                    <w:rPr>
                      <w:color w:val="auto"/>
                      <w:sz w:val="18"/>
                      <w:szCs w:val="18"/>
                    </w:rPr>
                    <w:t>/</w:t>
                  </w:r>
                </w:p>
              </w:tc>
              <w:tc>
                <w:tcPr>
                  <w:tcW w:w="1258" w:type="pct"/>
                  <w:vAlign w:val="center"/>
                </w:tcPr>
                <w:p w14:paraId="5F99E5E4">
                  <w:pPr>
                    <w:jc w:val="center"/>
                    <w:rPr>
                      <w:color w:val="auto"/>
                      <w:sz w:val="18"/>
                      <w:szCs w:val="18"/>
                    </w:rPr>
                  </w:pPr>
                  <w:r>
                    <w:rPr>
                      <w:color w:val="auto"/>
                      <w:sz w:val="18"/>
                      <w:szCs w:val="18"/>
                    </w:rPr>
                    <w:t>/</w:t>
                  </w:r>
                </w:p>
              </w:tc>
            </w:tr>
            <w:tr w14:paraId="188225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108" w:type="dxa"/>
                  <w:bottom w:w="28" w:type="dxa"/>
                  <w:right w:w="108" w:type="dxa"/>
                </w:tblCellMar>
              </w:tblPrEx>
              <w:trPr>
                <w:jc w:val="center"/>
              </w:trPr>
              <w:tc>
                <w:tcPr>
                  <w:tcW w:w="693" w:type="pct"/>
                  <w:vMerge w:val="restart"/>
                  <w:vAlign w:val="center"/>
                </w:tcPr>
                <w:p w14:paraId="775464B9">
                  <w:pPr>
                    <w:jc w:val="center"/>
                    <w:rPr>
                      <w:color w:val="auto"/>
                      <w:sz w:val="18"/>
                      <w:szCs w:val="18"/>
                    </w:rPr>
                  </w:pPr>
                  <w:r>
                    <w:rPr>
                      <w:color w:val="auto"/>
                      <w:sz w:val="18"/>
                      <w:szCs w:val="18"/>
                    </w:rPr>
                    <w:t>水环境</w:t>
                  </w:r>
                </w:p>
              </w:tc>
              <w:tc>
                <w:tcPr>
                  <w:tcW w:w="1208" w:type="pct"/>
                  <w:vAlign w:val="center"/>
                </w:tcPr>
                <w:p w14:paraId="5FC8F8EB">
                  <w:pPr>
                    <w:jc w:val="center"/>
                    <w:rPr>
                      <w:color w:val="auto"/>
                      <w:sz w:val="18"/>
                      <w:szCs w:val="18"/>
                    </w:rPr>
                  </w:pPr>
                  <w:r>
                    <w:rPr>
                      <w:color w:val="auto"/>
                      <w:sz w:val="18"/>
                      <w:szCs w:val="18"/>
                    </w:rPr>
                    <w:t>复堆河</w:t>
                  </w:r>
                </w:p>
              </w:tc>
              <w:tc>
                <w:tcPr>
                  <w:tcW w:w="355" w:type="pct"/>
                  <w:vAlign w:val="center"/>
                </w:tcPr>
                <w:p w14:paraId="23835CF2">
                  <w:pPr>
                    <w:jc w:val="center"/>
                    <w:rPr>
                      <w:color w:val="auto"/>
                      <w:sz w:val="18"/>
                      <w:szCs w:val="18"/>
                    </w:rPr>
                  </w:pPr>
                  <w:r>
                    <w:rPr>
                      <w:color w:val="auto"/>
                      <w:sz w:val="18"/>
                      <w:szCs w:val="18"/>
                    </w:rPr>
                    <w:t>NE</w:t>
                  </w:r>
                </w:p>
              </w:tc>
              <w:tc>
                <w:tcPr>
                  <w:tcW w:w="782" w:type="pct"/>
                  <w:vAlign w:val="center"/>
                </w:tcPr>
                <w:p w14:paraId="598D493E">
                  <w:pPr>
                    <w:jc w:val="center"/>
                    <w:rPr>
                      <w:color w:val="auto"/>
                      <w:sz w:val="18"/>
                      <w:szCs w:val="18"/>
                    </w:rPr>
                  </w:pPr>
                  <w:r>
                    <w:rPr>
                      <w:color w:val="auto"/>
                      <w:sz w:val="18"/>
                      <w:szCs w:val="18"/>
                    </w:rPr>
                    <w:t>1600</w:t>
                  </w:r>
                </w:p>
              </w:tc>
              <w:tc>
                <w:tcPr>
                  <w:tcW w:w="701" w:type="pct"/>
                  <w:vMerge w:val="restart"/>
                  <w:vAlign w:val="center"/>
                </w:tcPr>
                <w:p w14:paraId="1691589A">
                  <w:pPr>
                    <w:jc w:val="center"/>
                    <w:rPr>
                      <w:color w:val="auto"/>
                      <w:sz w:val="18"/>
                      <w:szCs w:val="18"/>
                    </w:rPr>
                  </w:pPr>
                  <w:r>
                    <w:rPr>
                      <w:color w:val="auto"/>
                      <w:sz w:val="18"/>
                      <w:szCs w:val="18"/>
                    </w:rPr>
                    <w:t>泄洪、景观</w:t>
                  </w:r>
                </w:p>
              </w:tc>
              <w:tc>
                <w:tcPr>
                  <w:tcW w:w="1258" w:type="pct"/>
                  <w:vMerge w:val="restart"/>
                  <w:vAlign w:val="center"/>
                </w:tcPr>
                <w:p w14:paraId="30A91E58">
                  <w:pPr>
                    <w:jc w:val="center"/>
                    <w:rPr>
                      <w:color w:val="auto"/>
                      <w:sz w:val="18"/>
                      <w:szCs w:val="18"/>
                    </w:rPr>
                  </w:pPr>
                  <w:r>
                    <w:rPr>
                      <w:color w:val="auto"/>
                      <w:sz w:val="18"/>
                      <w:szCs w:val="18"/>
                    </w:rPr>
                    <w:t>《地表水环境质量标准》（GB3838-2002）中Ⅳ类水质标准</w:t>
                  </w:r>
                </w:p>
              </w:tc>
            </w:tr>
            <w:tr w14:paraId="57CA82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108" w:type="dxa"/>
                  <w:bottom w:w="28" w:type="dxa"/>
                  <w:right w:w="108" w:type="dxa"/>
                </w:tblCellMar>
              </w:tblPrEx>
              <w:trPr>
                <w:jc w:val="center"/>
              </w:trPr>
              <w:tc>
                <w:tcPr>
                  <w:tcW w:w="693" w:type="pct"/>
                  <w:vMerge w:val="continue"/>
                  <w:vAlign w:val="center"/>
                </w:tcPr>
                <w:p w14:paraId="21D1F3AA">
                  <w:pPr>
                    <w:jc w:val="center"/>
                    <w:rPr>
                      <w:color w:val="auto"/>
                      <w:sz w:val="18"/>
                      <w:szCs w:val="18"/>
                    </w:rPr>
                  </w:pPr>
                </w:p>
              </w:tc>
              <w:tc>
                <w:tcPr>
                  <w:tcW w:w="1208" w:type="pct"/>
                  <w:vAlign w:val="center"/>
                </w:tcPr>
                <w:p w14:paraId="40819694">
                  <w:pPr>
                    <w:jc w:val="center"/>
                    <w:rPr>
                      <w:color w:val="auto"/>
                      <w:sz w:val="18"/>
                      <w:szCs w:val="18"/>
                    </w:rPr>
                  </w:pPr>
                  <w:r>
                    <w:rPr>
                      <w:color w:val="auto"/>
                      <w:sz w:val="18"/>
                      <w:szCs w:val="18"/>
                    </w:rPr>
                    <w:t>深港河</w:t>
                  </w:r>
                </w:p>
              </w:tc>
              <w:tc>
                <w:tcPr>
                  <w:tcW w:w="355" w:type="pct"/>
                  <w:vAlign w:val="center"/>
                </w:tcPr>
                <w:p w14:paraId="0B45E48A">
                  <w:pPr>
                    <w:jc w:val="center"/>
                    <w:rPr>
                      <w:color w:val="auto"/>
                      <w:sz w:val="18"/>
                      <w:szCs w:val="18"/>
                    </w:rPr>
                  </w:pPr>
                  <w:r>
                    <w:rPr>
                      <w:color w:val="auto"/>
                      <w:sz w:val="18"/>
                      <w:szCs w:val="18"/>
                    </w:rPr>
                    <w:t>NW</w:t>
                  </w:r>
                </w:p>
              </w:tc>
              <w:tc>
                <w:tcPr>
                  <w:tcW w:w="782" w:type="pct"/>
                  <w:vAlign w:val="center"/>
                </w:tcPr>
                <w:p w14:paraId="1EA7478C">
                  <w:pPr>
                    <w:jc w:val="center"/>
                    <w:rPr>
                      <w:color w:val="auto"/>
                      <w:sz w:val="18"/>
                      <w:szCs w:val="18"/>
                    </w:rPr>
                  </w:pPr>
                  <w:r>
                    <w:rPr>
                      <w:color w:val="auto"/>
                      <w:sz w:val="18"/>
                      <w:szCs w:val="18"/>
                    </w:rPr>
                    <w:t>1020</w:t>
                  </w:r>
                </w:p>
              </w:tc>
              <w:tc>
                <w:tcPr>
                  <w:tcW w:w="701" w:type="pct"/>
                  <w:vMerge w:val="continue"/>
                  <w:vAlign w:val="center"/>
                </w:tcPr>
                <w:p w14:paraId="47EB0341">
                  <w:pPr>
                    <w:jc w:val="center"/>
                    <w:rPr>
                      <w:color w:val="auto"/>
                      <w:sz w:val="18"/>
                      <w:szCs w:val="18"/>
                    </w:rPr>
                  </w:pPr>
                </w:p>
              </w:tc>
              <w:tc>
                <w:tcPr>
                  <w:tcW w:w="1258" w:type="pct"/>
                  <w:vMerge w:val="continue"/>
                  <w:vAlign w:val="center"/>
                </w:tcPr>
                <w:p w14:paraId="42314C88">
                  <w:pPr>
                    <w:jc w:val="center"/>
                    <w:rPr>
                      <w:color w:val="auto"/>
                      <w:sz w:val="18"/>
                      <w:szCs w:val="18"/>
                    </w:rPr>
                  </w:pPr>
                </w:p>
              </w:tc>
            </w:tr>
            <w:tr w14:paraId="63FD89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108" w:type="dxa"/>
                  <w:bottom w:w="28" w:type="dxa"/>
                  <w:right w:w="108" w:type="dxa"/>
                </w:tblCellMar>
              </w:tblPrEx>
              <w:trPr>
                <w:jc w:val="center"/>
              </w:trPr>
              <w:tc>
                <w:tcPr>
                  <w:tcW w:w="693" w:type="pct"/>
                  <w:vMerge w:val="continue"/>
                  <w:vAlign w:val="center"/>
                </w:tcPr>
                <w:p w14:paraId="415EB417">
                  <w:pPr>
                    <w:jc w:val="center"/>
                    <w:rPr>
                      <w:color w:val="auto"/>
                      <w:sz w:val="18"/>
                      <w:szCs w:val="18"/>
                    </w:rPr>
                  </w:pPr>
                </w:p>
              </w:tc>
              <w:tc>
                <w:tcPr>
                  <w:tcW w:w="1208" w:type="pct"/>
                  <w:vAlign w:val="center"/>
                </w:tcPr>
                <w:p w14:paraId="5C9E3942">
                  <w:pPr>
                    <w:jc w:val="center"/>
                    <w:rPr>
                      <w:color w:val="auto"/>
                      <w:sz w:val="18"/>
                      <w:szCs w:val="18"/>
                    </w:rPr>
                  </w:pPr>
                  <w:r>
                    <w:rPr>
                      <w:color w:val="auto"/>
                      <w:sz w:val="18"/>
                      <w:szCs w:val="18"/>
                    </w:rPr>
                    <w:t>西港河</w:t>
                  </w:r>
                </w:p>
              </w:tc>
              <w:tc>
                <w:tcPr>
                  <w:tcW w:w="355" w:type="pct"/>
                  <w:vAlign w:val="center"/>
                </w:tcPr>
                <w:p w14:paraId="2ABAE5DF">
                  <w:pPr>
                    <w:jc w:val="center"/>
                    <w:rPr>
                      <w:color w:val="auto"/>
                      <w:sz w:val="18"/>
                      <w:szCs w:val="18"/>
                    </w:rPr>
                  </w:pPr>
                  <w:r>
                    <w:rPr>
                      <w:color w:val="auto"/>
                      <w:sz w:val="18"/>
                      <w:szCs w:val="18"/>
                    </w:rPr>
                    <w:t>NW</w:t>
                  </w:r>
                </w:p>
              </w:tc>
              <w:tc>
                <w:tcPr>
                  <w:tcW w:w="782" w:type="pct"/>
                  <w:vAlign w:val="center"/>
                </w:tcPr>
                <w:p w14:paraId="23DE2F74">
                  <w:pPr>
                    <w:jc w:val="center"/>
                    <w:rPr>
                      <w:color w:val="auto"/>
                      <w:sz w:val="18"/>
                      <w:szCs w:val="18"/>
                    </w:rPr>
                  </w:pPr>
                  <w:r>
                    <w:rPr>
                      <w:color w:val="auto"/>
                      <w:sz w:val="18"/>
                      <w:szCs w:val="18"/>
                    </w:rPr>
                    <w:t>4300</w:t>
                  </w:r>
                </w:p>
              </w:tc>
              <w:tc>
                <w:tcPr>
                  <w:tcW w:w="701" w:type="pct"/>
                  <w:vMerge w:val="continue"/>
                  <w:vAlign w:val="center"/>
                </w:tcPr>
                <w:p w14:paraId="54DB7ECB">
                  <w:pPr>
                    <w:jc w:val="center"/>
                    <w:rPr>
                      <w:color w:val="auto"/>
                      <w:sz w:val="18"/>
                      <w:szCs w:val="18"/>
                    </w:rPr>
                  </w:pPr>
                </w:p>
              </w:tc>
              <w:tc>
                <w:tcPr>
                  <w:tcW w:w="1258" w:type="pct"/>
                  <w:vMerge w:val="continue"/>
                  <w:vAlign w:val="center"/>
                </w:tcPr>
                <w:p w14:paraId="363755E7">
                  <w:pPr>
                    <w:jc w:val="center"/>
                    <w:rPr>
                      <w:color w:val="auto"/>
                      <w:sz w:val="18"/>
                      <w:szCs w:val="18"/>
                    </w:rPr>
                  </w:pPr>
                </w:p>
              </w:tc>
            </w:tr>
            <w:tr w14:paraId="35A325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108" w:type="dxa"/>
                  <w:bottom w:w="28" w:type="dxa"/>
                  <w:right w:w="108" w:type="dxa"/>
                </w:tblCellMar>
              </w:tblPrEx>
              <w:trPr>
                <w:jc w:val="center"/>
              </w:trPr>
              <w:tc>
                <w:tcPr>
                  <w:tcW w:w="693" w:type="pct"/>
                  <w:vMerge w:val="continue"/>
                  <w:vAlign w:val="center"/>
                </w:tcPr>
                <w:p w14:paraId="5B7150A6">
                  <w:pPr>
                    <w:jc w:val="center"/>
                    <w:rPr>
                      <w:color w:val="auto"/>
                      <w:sz w:val="18"/>
                      <w:szCs w:val="18"/>
                    </w:rPr>
                  </w:pPr>
                </w:p>
              </w:tc>
              <w:tc>
                <w:tcPr>
                  <w:tcW w:w="1208" w:type="pct"/>
                  <w:vAlign w:val="center"/>
                </w:tcPr>
                <w:p w14:paraId="09420CF1">
                  <w:pPr>
                    <w:jc w:val="center"/>
                    <w:rPr>
                      <w:color w:val="auto"/>
                      <w:sz w:val="18"/>
                      <w:szCs w:val="18"/>
                    </w:rPr>
                  </w:pPr>
                  <w:r>
                    <w:rPr>
                      <w:color w:val="auto"/>
                      <w:sz w:val="18"/>
                      <w:szCs w:val="18"/>
                    </w:rPr>
                    <w:t>中心河</w:t>
                  </w:r>
                </w:p>
              </w:tc>
              <w:tc>
                <w:tcPr>
                  <w:tcW w:w="355" w:type="pct"/>
                  <w:vAlign w:val="center"/>
                </w:tcPr>
                <w:p w14:paraId="137D5F0E">
                  <w:pPr>
                    <w:jc w:val="center"/>
                    <w:rPr>
                      <w:color w:val="auto"/>
                      <w:sz w:val="18"/>
                      <w:szCs w:val="18"/>
                    </w:rPr>
                  </w:pPr>
                  <w:r>
                    <w:rPr>
                      <w:color w:val="auto"/>
                      <w:sz w:val="18"/>
                      <w:szCs w:val="18"/>
                    </w:rPr>
                    <w:t>SW</w:t>
                  </w:r>
                </w:p>
              </w:tc>
              <w:tc>
                <w:tcPr>
                  <w:tcW w:w="782" w:type="pct"/>
                  <w:vAlign w:val="center"/>
                </w:tcPr>
                <w:p w14:paraId="0FA2FBA6">
                  <w:pPr>
                    <w:jc w:val="center"/>
                    <w:rPr>
                      <w:color w:val="auto"/>
                      <w:sz w:val="18"/>
                      <w:szCs w:val="18"/>
                    </w:rPr>
                  </w:pPr>
                  <w:r>
                    <w:rPr>
                      <w:color w:val="auto"/>
                      <w:sz w:val="18"/>
                      <w:szCs w:val="18"/>
                    </w:rPr>
                    <w:t>3700</w:t>
                  </w:r>
                </w:p>
              </w:tc>
              <w:tc>
                <w:tcPr>
                  <w:tcW w:w="701" w:type="pct"/>
                  <w:vMerge w:val="continue"/>
                  <w:vAlign w:val="center"/>
                </w:tcPr>
                <w:p w14:paraId="3F6D7DDB">
                  <w:pPr>
                    <w:jc w:val="center"/>
                    <w:rPr>
                      <w:color w:val="auto"/>
                      <w:sz w:val="18"/>
                      <w:szCs w:val="18"/>
                    </w:rPr>
                  </w:pPr>
                </w:p>
              </w:tc>
              <w:tc>
                <w:tcPr>
                  <w:tcW w:w="1258" w:type="pct"/>
                  <w:vMerge w:val="continue"/>
                  <w:vAlign w:val="center"/>
                </w:tcPr>
                <w:p w14:paraId="4D77B98D">
                  <w:pPr>
                    <w:jc w:val="center"/>
                    <w:rPr>
                      <w:color w:val="auto"/>
                      <w:sz w:val="18"/>
                      <w:szCs w:val="18"/>
                    </w:rPr>
                  </w:pPr>
                </w:p>
              </w:tc>
            </w:tr>
            <w:tr w14:paraId="4D856E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108" w:type="dxa"/>
                  <w:bottom w:w="28" w:type="dxa"/>
                  <w:right w:w="108" w:type="dxa"/>
                </w:tblCellMar>
              </w:tblPrEx>
              <w:trPr>
                <w:jc w:val="center"/>
              </w:trPr>
              <w:tc>
                <w:tcPr>
                  <w:tcW w:w="693" w:type="pct"/>
                  <w:vMerge w:val="continue"/>
                  <w:vAlign w:val="center"/>
                </w:tcPr>
                <w:p w14:paraId="0213690E">
                  <w:pPr>
                    <w:jc w:val="center"/>
                    <w:rPr>
                      <w:color w:val="auto"/>
                      <w:sz w:val="18"/>
                      <w:szCs w:val="18"/>
                    </w:rPr>
                  </w:pPr>
                </w:p>
              </w:tc>
              <w:tc>
                <w:tcPr>
                  <w:tcW w:w="1208" w:type="pct"/>
                  <w:vAlign w:val="center"/>
                </w:tcPr>
                <w:p w14:paraId="199D6BB2">
                  <w:pPr>
                    <w:jc w:val="center"/>
                    <w:rPr>
                      <w:color w:val="auto"/>
                      <w:sz w:val="18"/>
                      <w:szCs w:val="18"/>
                    </w:rPr>
                  </w:pPr>
                  <w:r>
                    <w:rPr>
                      <w:color w:val="auto"/>
                      <w:sz w:val="18"/>
                      <w:szCs w:val="18"/>
                    </w:rPr>
                    <w:t>南复堆河</w:t>
                  </w:r>
                </w:p>
              </w:tc>
              <w:tc>
                <w:tcPr>
                  <w:tcW w:w="355" w:type="pct"/>
                  <w:vAlign w:val="center"/>
                </w:tcPr>
                <w:p w14:paraId="528C1D83">
                  <w:pPr>
                    <w:jc w:val="center"/>
                    <w:rPr>
                      <w:color w:val="auto"/>
                      <w:sz w:val="18"/>
                      <w:szCs w:val="18"/>
                    </w:rPr>
                  </w:pPr>
                  <w:r>
                    <w:rPr>
                      <w:color w:val="auto"/>
                      <w:sz w:val="18"/>
                      <w:szCs w:val="18"/>
                    </w:rPr>
                    <w:t>SE</w:t>
                  </w:r>
                </w:p>
              </w:tc>
              <w:tc>
                <w:tcPr>
                  <w:tcW w:w="782" w:type="pct"/>
                  <w:vAlign w:val="center"/>
                </w:tcPr>
                <w:p w14:paraId="66417726">
                  <w:pPr>
                    <w:jc w:val="center"/>
                    <w:rPr>
                      <w:color w:val="auto"/>
                      <w:sz w:val="18"/>
                      <w:szCs w:val="18"/>
                    </w:rPr>
                  </w:pPr>
                  <w:r>
                    <w:rPr>
                      <w:color w:val="auto"/>
                      <w:sz w:val="18"/>
                      <w:szCs w:val="18"/>
                    </w:rPr>
                    <w:t>1200</w:t>
                  </w:r>
                </w:p>
              </w:tc>
              <w:tc>
                <w:tcPr>
                  <w:tcW w:w="701" w:type="pct"/>
                  <w:vMerge w:val="continue"/>
                  <w:vAlign w:val="center"/>
                </w:tcPr>
                <w:p w14:paraId="6A8AF521">
                  <w:pPr>
                    <w:jc w:val="center"/>
                    <w:rPr>
                      <w:color w:val="auto"/>
                      <w:sz w:val="18"/>
                      <w:szCs w:val="18"/>
                    </w:rPr>
                  </w:pPr>
                </w:p>
              </w:tc>
              <w:tc>
                <w:tcPr>
                  <w:tcW w:w="1258" w:type="pct"/>
                  <w:vMerge w:val="continue"/>
                  <w:vAlign w:val="center"/>
                </w:tcPr>
                <w:p w14:paraId="6F9BD562">
                  <w:pPr>
                    <w:jc w:val="center"/>
                    <w:rPr>
                      <w:color w:val="auto"/>
                      <w:sz w:val="18"/>
                      <w:szCs w:val="18"/>
                    </w:rPr>
                  </w:pPr>
                </w:p>
              </w:tc>
            </w:tr>
            <w:tr w14:paraId="2495DE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108" w:type="dxa"/>
                  <w:bottom w:w="28" w:type="dxa"/>
                  <w:right w:w="108" w:type="dxa"/>
                </w:tblCellMar>
              </w:tblPrEx>
              <w:trPr>
                <w:jc w:val="center"/>
              </w:trPr>
              <w:tc>
                <w:tcPr>
                  <w:tcW w:w="693" w:type="pct"/>
                  <w:vAlign w:val="center"/>
                </w:tcPr>
                <w:p w14:paraId="5BA7502F">
                  <w:pPr>
                    <w:jc w:val="center"/>
                    <w:rPr>
                      <w:color w:val="auto"/>
                      <w:sz w:val="18"/>
                      <w:szCs w:val="18"/>
                    </w:rPr>
                  </w:pPr>
                  <w:r>
                    <w:rPr>
                      <w:color w:val="auto"/>
                      <w:sz w:val="18"/>
                      <w:szCs w:val="18"/>
                    </w:rPr>
                    <w:t>声环境</w:t>
                  </w:r>
                </w:p>
              </w:tc>
              <w:tc>
                <w:tcPr>
                  <w:tcW w:w="3047" w:type="pct"/>
                  <w:gridSpan w:val="4"/>
                  <w:vAlign w:val="center"/>
                </w:tcPr>
                <w:p w14:paraId="6D97909B">
                  <w:pPr>
                    <w:jc w:val="center"/>
                    <w:rPr>
                      <w:color w:val="auto"/>
                      <w:sz w:val="18"/>
                      <w:szCs w:val="18"/>
                    </w:rPr>
                  </w:pPr>
                  <w:r>
                    <w:rPr>
                      <w:color w:val="auto"/>
                      <w:sz w:val="18"/>
                      <w:szCs w:val="18"/>
                    </w:rPr>
                    <w:t>厂界</w:t>
                  </w:r>
                  <w:r>
                    <w:rPr>
                      <w:rFonts w:hint="eastAsia"/>
                      <w:color w:val="auto"/>
                      <w:sz w:val="18"/>
                      <w:szCs w:val="18"/>
                    </w:rPr>
                    <w:t>5</w:t>
                  </w:r>
                  <w:r>
                    <w:rPr>
                      <w:color w:val="auto"/>
                      <w:sz w:val="18"/>
                      <w:szCs w:val="18"/>
                    </w:rPr>
                    <w:t>0</w:t>
                  </w:r>
                  <w:r>
                    <w:rPr>
                      <w:rFonts w:hint="eastAsia"/>
                      <w:color w:val="auto"/>
                      <w:sz w:val="18"/>
                      <w:szCs w:val="18"/>
                    </w:rPr>
                    <w:t>m范围内无环境保护目标</w:t>
                  </w:r>
                </w:p>
              </w:tc>
              <w:tc>
                <w:tcPr>
                  <w:tcW w:w="1258" w:type="pct"/>
                  <w:vAlign w:val="center"/>
                </w:tcPr>
                <w:p w14:paraId="2C2DF1EC">
                  <w:pPr>
                    <w:jc w:val="center"/>
                    <w:rPr>
                      <w:color w:val="auto"/>
                      <w:sz w:val="18"/>
                      <w:szCs w:val="18"/>
                    </w:rPr>
                  </w:pPr>
                  <w:r>
                    <w:rPr>
                      <w:color w:val="auto"/>
                      <w:sz w:val="18"/>
                      <w:szCs w:val="18"/>
                    </w:rPr>
                    <w:t>《声环境质量标准》（GB3096-2008）3类标准</w:t>
                  </w:r>
                </w:p>
              </w:tc>
            </w:tr>
            <w:tr w14:paraId="3CB2AD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108" w:type="dxa"/>
                  <w:bottom w:w="28" w:type="dxa"/>
                  <w:right w:w="108" w:type="dxa"/>
                </w:tblCellMar>
              </w:tblPrEx>
              <w:trPr>
                <w:jc w:val="center"/>
              </w:trPr>
              <w:tc>
                <w:tcPr>
                  <w:tcW w:w="693" w:type="pct"/>
                  <w:vAlign w:val="center"/>
                </w:tcPr>
                <w:p w14:paraId="615BCD92">
                  <w:pPr>
                    <w:jc w:val="center"/>
                    <w:rPr>
                      <w:color w:val="auto"/>
                      <w:sz w:val="18"/>
                      <w:szCs w:val="18"/>
                    </w:rPr>
                  </w:pPr>
                  <w:r>
                    <w:rPr>
                      <w:color w:val="auto"/>
                      <w:sz w:val="18"/>
                      <w:szCs w:val="18"/>
                    </w:rPr>
                    <w:t>地下水</w:t>
                  </w:r>
                </w:p>
              </w:tc>
              <w:tc>
                <w:tcPr>
                  <w:tcW w:w="1208" w:type="pct"/>
                  <w:vAlign w:val="center"/>
                </w:tcPr>
                <w:p w14:paraId="0A1F2FA7">
                  <w:pPr>
                    <w:jc w:val="center"/>
                    <w:rPr>
                      <w:color w:val="auto"/>
                      <w:sz w:val="18"/>
                      <w:szCs w:val="18"/>
                    </w:rPr>
                  </w:pPr>
                  <w:r>
                    <w:rPr>
                      <w:rFonts w:hint="eastAsia"/>
                      <w:color w:val="auto"/>
                      <w:sz w:val="18"/>
                      <w:szCs w:val="18"/>
                    </w:rPr>
                    <w:t>厂界外500米范围内</w:t>
                  </w:r>
                  <w:r>
                    <w:rPr>
                      <w:color w:val="auto"/>
                      <w:sz w:val="18"/>
                      <w:szCs w:val="18"/>
                    </w:rPr>
                    <w:t>地下水潜水含水层</w:t>
                  </w:r>
                </w:p>
              </w:tc>
              <w:tc>
                <w:tcPr>
                  <w:tcW w:w="355" w:type="pct"/>
                  <w:vAlign w:val="center"/>
                </w:tcPr>
                <w:p w14:paraId="24B4CB7C">
                  <w:pPr>
                    <w:jc w:val="center"/>
                    <w:rPr>
                      <w:color w:val="auto"/>
                      <w:sz w:val="18"/>
                      <w:szCs w:val="18"/>
                    </w:rPr>
                  </w:pPr>
                  <w:r>
                    <w:rPr>
                      <w:color w:val="auto"/>
                      <w:sz w:val="18"/>
                      <w:szCs w:val="18"/>
                    </w:rPr>
                    <w:t>/</w:t>
                  </w:r>
                </w:p>
              </w:tc>
              <w:tc>
                <w:tcPr>
                  <w:tcW w:w="782" w:type="pct"/>
                  <w:vAlign w:val="center"/>
                </w:tcPr>
                <w:p w14:paraId="485D943C">
                  <w:pPr>
                    <w:jc w:val="center"/>
                    <w:rPr>
                      <w:color w:val="auto"/>
                      <w:sz w:val="18"/>
                      <w:szCs w:val="18"/>
                    </w:rPr>
                  </w:pPr>
                  <w:r>
                    <w:rPr>
                      <w:color w:val="auto"/>
                      <w:sz w:val="18"/>
                      <w:szCs w:val="18"/>
                    </w:rPr>
                    <w:t>/</w:t>
                  </w:r>
                </w:p>
              </w:tc>
              <w:tc>
                <w:tcPr>
                  <w:tcW w:w="701" w:type="pct"/>
                  <w:vAlign w:val="center"/>
                </w:tcPr>
                <w:p w14:paraId="385F3650">
                  <w:pPr>
                    <w:jc w:val="center"/>
                    <w:rPr>
                      <w:color w:val="auto"/>
                      <w:sz w:val="18"/>
                      <w:szCs w:val="18"/>
                    </w:rPr>
                  </w:pPr>
                  <w:r>
                    <w:rPr>
                      <w:color w:val="auto"/>
                      <w:sz w:val="18"/>
                      <w:szCs w:val="18"/>
                    </w:rPr>
                    <w:t>/</w:t>
                  </w:r>
                </w:p>
              </w:tc>
              <w:tc>
                <w:tcPr>
                  <w:tcW w:w="1258" w:type="pct"/>
                  <w:vAlign w:val="center"/>
                </w:tcPr>
                <w:p w14:paraId="17D830FF">
                  <w:pPr>
                    <w:jc w:val="center"/>
                    <w:rPr>
                      <w:color w:val="auto"/>
                      <w:sz w:val="18"/>
                      <w:szCs w:val="18"/>
                    </w:rPr>
                  </w:pPr>
                  <w:r>
                    <w:rPr>
                      <w:color w:val="auto"/>
                      <w:sz w:val="18"/>
                      <w:szCs w:val="18"/>
                    </w:rPr>
                    <w:t>《地下水质量标准》（GB/T14848-2017）</w:t>
                  </w:r>
                </w:p>
              </w:tc>
            </w:tr>
            <w:tr w14:paraId="5ACACF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108" w:type="dxa"/>
                  <w:bottom w:w="28" w:type="dxa"/>
                  <w:right w:w="108" w:type="dxa"/>
                </w:tblCellMar>
              </w:tblPrEx>
              <w:trPr>
                <w:jc w:val="center"/>
              </w:trPr>
              <w:tc>
                <w:tcPr>
                  <w:tcW w:w="693" w:type="pct"/>
                  <w:vMerge w:val="restart"/>
                  <w:vAlign w:val="center"/>
                </w:tcPr>
                <w:p w14:paraId="18EFDEDD">
                  <w:pPr>
                    <w:jc w:val="center"/>
                    <w:rPr>
                      <w:color w:val="auto"/>
                      <w:sz w:val="18"/>
                      <w:szCs w:val="18"/>
                    </w:rPr>
                  </w:pPr>
                  <w:r>
                    <w:rPr>
                      <w:color w:val="auto"/>
                      <w:sz w:val="18"/>
                      <w:szCs w:val="18"/>
                    </w:rPr>
                    <w:t>生态</w:t>
                  </w:r>
                </w:p>
              </w:tc>
              <w:tc>
                <w:tcPr>
                  <w:tcW w:w="1208" w:type="pct"/>
                  <w:vAlign w:val="center"/>
                </w:tcPr>
                <w:p w14:paraId="75F08E60">
                  <w:pPr>
                    <w:jc w:val="center"/>
                    <w:rPr>
                      <w:color w:val="auto"/>
                      <w:sz w:val="18"/>
                      <w:szCs w:val="18"/>
                    </w:rPr>
                  </w:pPr>
                  <w:r>
                    <w:rPr>
                      <w:color w:val="auto"/>
                      <w:sz w:val="18"/>
                      <w:szCs w:val="18"/>
                    </w:rPr>
                    <w:t>古泊善后河（连云港市区）清水通道维护区</w:t>
                  </w:r>
                </w:p>
              </w:tc>
              <w:tc>
                <w:tcPr>
                  <w:tcW w:w="355" w:type="pct"/>
                  <w:vAlign w:val="center"/>
                </w:tcPr>
                <w:p w14:paraId="29CD6D81">
                  <w:pPr>
                    <w:jc w:val="center"/>
                    <w:rPr>
                      <w:color w:val="auto"/>
                      <w:sz w:val="18"/>
                      <w:szCs w:val="18"/>
                    </w:rPr>
                  </w:pPr>
                  <w:r>
                    <w:rPr>
                      <w:color w:val="auto"/>
                      <w:sz w:val="18"/>
                      <w:szCs w:val="18"/>
                    </w:rPr>
                    <w:t>SW</w:t>
                  </w:r>
                </w:p>
              </w:tc>
              <w:tc>
                <w:tcPr>
                  <w:tcW w:w="782" w:type="pct"/>
                  <w:vAlign w:val="center"/>
                </w:tcPr>
                <w:p w14:paraId="55592D32">
                  <w:pPr>
                    <w:jc w:val="center"/>
                    <w:rPr>
                      <w:color w:val="auto"/>
                      <w:sz w:val="18"/>
                      <w:szCs w:val="18"/>
                    </w:rPr>
                  </w:pPr>
                  <w:r>
                    <w:rPr>
                      <w:color w:val="auto"/>
                      <w:sz w:val="18"/>
                      <w:szCs w:val="18"/>
                    </w:rPr>
                    <w:t>9.25</w:t>
                  </w:r>
                  <w:r>
                    <w:rPr>
                      <w:rFonts w:hint="eastAsia"/>
                      <w:color w:val="auto"/>
                      <w:sz w:val="18"/>
                      <w:szCs w:val="18"/>
                    </w:rPr>
                    <w:t>km</w:t>
                  </w:r>
                </w:p>
              </w:tc>
              <w:tc>
                <w:tcPr>
                  <w:tcW w:w="701" w:type="pct"/>
                  <w:vAlign w:val="center"/>
                </w:tcPr>
                <w:p w14:paraId="6BFED5AD">
                  <w:pPr>
                    <w:jc w:val="center"/>
                    <w:rPr>
                      <w:color w:val="auto"/>
                      <w:sz w:val="18"/>
                      <w:szCs w:val="18"/>
                    </w:rPr>
                  </w:pPr>
                  <w:r>
                    <w:rPr>
                      <w:color w:val="auto"/>
                      <w:sz w:val="18"/>
                      <w:szCs w:val="18"/>
                    </w:rPr>
                    <w:t>11.7km</w:t>
                  </w:r>
                  <w:r>
                    <w:rPr>
                      <w:color w:val="auto"/>
                      <w:sz w:val="18"/>
                      <w:szCs w:val="18"/>
                      <w:vertAlign w:val="superscript"/>
                    </w:rPr>
                    <w:t>2</w:t>
                  </w:r>
                </w:p>
              </w:tc>
              <w:tc>
                <w:tcPr>
                  <w:tcW w:w="1258" w:type="pct"/>
                  <w:vAlign w:val="center"/>
                </w:tcPr>
                <w:p w14:paraId="373DACAD">
                  <w:pPr>
                    <w:jc w:val="center"/>
                    <w:rPr>
                      <w:color w:val="auto"/>
                      <w:sz w:val="18"/>
                      <w:szCs w:val="18"/>
                    </w:rPr>
                  </w:pPr>
                  <w:r>
                    <w:rPr>
                      <w:color w:val="auto"/>
                      <w:sz w:val="18"/>
                      <w:szCs w:val="18"/>
                    </w:rPr>
                    <w:t>水源水质保护</w:t>
                  </w:r>
                </w:p>
              </w:tc>
            </w:tr>
            <w:tr w14:paraId="091331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108" w:type="dxa"/>
                  <w:bottom w:w="28" w:type="dxa"/>
                  <w:right w:w="108" w:type="dxa"/>
                </w:tblCellMar>
              </w:tblPrEx>
              <w:trPr>
                <w:jc w:val="center"/>
              </w:trPr>
              <w:tc>
                <w:tcPr>
                  <w:tcW w:w="693" w:type="pct"/>
                  <w:vMerge w:val="continue"/>
                  <w:vAlign w:val="center"/>
                </w:tcPr>
                <w:p w14:paraId="3CEA8EF0">
                  <w:pPr>
                    <w:jc w:val="center"/>
                    <w:rPr>
                      <w:color w:val="auto"/>
                      <w:sz w:val="18"/>
                      <w:szCs w:val="18"/>
                    </w:rPr>
                  </w:pPr>
                </w:p>
              </w:tc>
              <w:tc>
                <w:tcPr>
                  <w:tcW w:w="1208" w:type="pct"/>
                  <w:vAlign w:val="center"/>
                </w:tcPr>
                <w:p w14:paraId="172708A1">
                  <w:pPr>
                    <w:jc w:val="center"/>
                    <w:rPr>
                      <w:color w:val="auto"/>
                      <w:sz w:val="18"/>
                      <w:szCs w:val="18"/>
                    </w:rPr>
                  </w:pPr>
                  <w:r>
                    <w:rPr>
                      <w:color w:val="auto"/>
                      <w:sz w:val="18"/>
                      <w:szCs w:val="18"/>
                    </w:rPr>
                    <w:t>古泊善后河（灌云县）清水通道维护区</w:t>
                  </w:r>
                </w:p>
              </w:tc>
              <w:tc>
                <w:tcPr>
                  <w:tcW w:w="355" w:type="pct"/>
                  <w:vAlign w:val="center"/>
                </w:tcPr>
                <w:p w14:paraId="58E2DB38">
                  <w:pPr>
                    <w:jc w:val="center"/>
                    <w:rPr>
                      <w:color w:val="auto"/>
                      <w:sz w:val="18"/>
                      <w:szCs w:val="18"/>
                    </w:rPr>
                  </w:pPr>
                  <w:r>
                    <w:rPr>
                      <w:color w:val="auto"/>
                      <w:sz w:val="18"/>
                      <w:szCs w:val="18"/>
                    </w:rPr>
                    <w:t>SW</w:t>
                  </w:r>
                </w:p>
              </w:tc>
              <w:tc>
                <w:tcPr>
                  <w:tcW w:w="782" w:type="pct"/>
                  <w:vAlign w:val="center"/>
                </w:tcPr>
                <w:p w14:paraId="4D88027D">
                  <w:pPr>
                    <w:jc w:val="center"/>
                    <w:rPr>
                      <w:color w:val="auto"/>
                      <w:sz w:val="18"/>
                      <w:szCs w:val="18"/>
                    </w:rPr>
                  </w:pPr>
                  <w:r>
                    <w:rPr>
                      <w:color w:val="auto"/>
                      <w:sz w:val="18"/>
                      <w:szCs w:val="18"/>
                    </w:rPr>
                    <w:t>9.64</w:t>
                  </w:r>
                  <w:r>
                    <w:rPr>
                      <w:rFonts w:hint="eastAsia"/>
                      <w:color w:val="auto"/>
                      <w:sz w:val="18"/>
                      <w:szCs w:val="18"/>
                    </w:rPr>
                    <w:t>km</w:t>
                  </w:r>
                </w:p>
              </w:tc>
              <w:tc>
                <w:tcPr>
                  <w:tcW w:w="701" w:type="pct"/>
                  <w:vAlign w:val="center"/>
                </w:tcPr>
                <w:p w14:paraId="3981356B">
                  <w:pPr>
                    <w:jc w:val="center"/>
                    <w:rPr>
                      <w:color w:val="auto"/>
                      <w:sz w:val="18"/>
                      <w:szCs w:val="18"/>
                    </w:rPr>
                  </w:pPr>
                  <w:r>
                    <w:rPr>
                      <w:color w:val="auto"/>
                      <w:sz w:val="18"/>
                      <w:szCs w:val="18"/>
                    </w:rPr>
                    <w:t>16.28km</w:t>
                  </w:r>
                  <w:r>
                    <w:rPr>
                      <w:color w:val="auto"/>
                      <w:sz w:val="18"/>
                      <w:szCs w:val="18"/>
                      <w:vertAlign w:val="superscript"/>
                    </w:rPr>
                    <w:t>2</w:t>
                  </w:r>
                </w:p>
              </w:tc>
              <w:tc>
                <w:tcPr>
                  <w:tcW w:w="1258" w:type="pct"/>
                  <w:vAlign w:val="center"/>
                </w:tcPr>
                <w:p w14:paraId="513DADF2">
                  <w:pPr>
                    <w:jc w:val="center"/>
                    <w:rPr>
                      <w:color w:val="auto"/>
                      <w:sz w:val="18"/>
                      <w:szCs w:val="18"/>
                    </w:rPr>
                  </w:pPr>
                  <w:r>
                    <w:rPr>
                      <w:color w:val="auto"/>
                      <w:sz w:val="18"/>
                      <w:szCs w:val="18"/>
                    </w:rPr>
                    <w:t>水源水质保护</w:t>
                  </w:r>
                </w:p>
              </w:tc>
            </w:tr>
            <w:tr w14:paraId="431E75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108" w:type="dxa"/>
                  <w:bottom w:w="28" w:type="dxa"/>
                  <w:right w:w="108" w:type="dxa"/>
                </w:tblCellMar>
              </w:tblPrEx>
              <w:trPr>
                <w:jc w:val="center"/>
              </w:trPr>
              <w:tc>
                <w:tcPr>
                  <w:tcW w:w="693" w:type="pct"/>
                  <w:vMerge w:val="continue"/>
                  <w:vAlign w:val="center"/>
                </w:tcPr>
                <w:p w14:paraId="73C6F13C">
                  <w:pPr>
                    <w:jc w:val="center"/>
                    <w:rPr>
                      <w:color w:val="auto"/>
                      <w:sz w:val="18"/>
                      <w:szCs w:val="18"/>
                    </w:rPr>
                  </w:pPr>
                </w:p>
              </w:tc>
              <w:tc>
                <w:tcPr>
                  <w:tcW w:w="1208" w:type="pct"/>
                  <w:vAlign w:val="center"/>
                </w:tcPr>
                <w:p w14:paraId="093FC9C6">
                  <w:pPr>
                    <w:jc w:val="center"/>
                    <w:rPr>
                      <w:color w:val="auto"/>
                      <w:sz w:val="18"/>
                      <w:szCs w:val="18"/>
                    </w:rPr>
                  </w:pPr>
                  <w:r>
                    <w:rPr>
                      <w:color w:val="auto"/>
                      <w:sz w:val="18"/>
                      <w:szCs w:val="18"/>
                    </w:rPr>
                    <w:t>徐圩新区集中式饮用水水源保护区</w:t>
                  </w:r>
                </w:p>
              </w:tc>
              <w:tc>
                <w:tcPr>
                  <w:tcW w:w="355" w:type="pct"/>
                  <w:vAlign w:val="center"/>
                </w:tcPr>
                <w:p w14:paraId="6996AD67">
                  <w:pPr>
                    <w:jc w:val="center"/>
                    <w:rPr>
                      <w:color w:val="auto"/>
                      <w:sz w:val="18"/>
                      <w:szCs w:val="18"/>
                    </w:rPr>
                  </w:pPr>
                  <w:r>
                    <w:rPr>
                      <w:color w:val="auto"/>
                      <w:sz w:val="18"/>
                      <w:szCs w:val="18"/>
                    </w:rPr>
                    <w:t>SW</w:t>
                  </w:r>
                </w:p>
              </w:tc>
              <w:tc>
                <w:tcPr>
                  <w:tcW w:w="782" w:type="pct"/>
                  <w:vAlign w:val="center"/>
                </w:tcPr>
                <w:p w14:paraId="5E9A3184">
                  <w:pPr>
                    <w:jc w:val="center"/>
                    <w:rPr>
                      <w:color w:val="auto"/>
                      <w:sz w:val="18"/>
                      <w:szCs w:val="18"/>
                    </w:rPr>
                  </w:pPr>
                  <w:r>
                    <w:rPr>
                      <w:color w:val="auto"/>
                      <w:sz w:val="18"/>
                      <w:szCs w:val="18"/>
                    </w:rPr>
                    <w:t>9.54</w:t>
                  </w:r>
                  <w:r>
                    <w:rPr>
                      <w:rFonts w:hint="eastAsia"/>
                      <w:color w:val="auto"/>
                      <w:sz w:val="18"/>
                      <w:szCs w:val="18"/>
                    </w:rPr>
                    <w:t>km</w:t>
                  </w:r>
                </w:p>
              </w:tc>
              <w:tc>
                <w:tcPr>
                  <w:tcW w:w="701" w:type="pct"/>
                  <w:vAlign w:val="center"/>
                </w:tcPr>
                <w:p w14:paraId="23790A04">
                  <w:pPr>
                    <w:jc w:val="center"/>
                    <w:rPr>
                      <w:color w:val="auto"/>
                      <w:sz w:val="18"/>
                      <w:szCs w:val="18"/>
                    </w:rPr>
                  </w:pPr>
                  <w:r>
                    <w:rPr>
                      <w:color w:val="auto"/>
                      <w:sz w:val="18"/>
                      <w:szCs w:val="18"/>
                    </w:rPr>
                    <w:t>3.28 km</w:t>
                  </w:r>
                  <w:r>
                    <w:rPr>
                      <w:color w:val="auto"/>
                      <w:sz w:val="18"/>
                      <w:szCs w:val="18"/>
                      <w:vertAlign w:val="superscript"/>
                    </w:rPr>
                    <w:t>2</w:t>
                  </w:r>
                </w:p>
              </w:tc>
              <w:tc>
                <w:tcPr>
                  <w:tcW w:w="1258" w:type="pct"/>
                  <w:vAlign w:val="center"/>
                </w:tcPr>
                <w:p w14:paraId="2FA835F4">
                  <w:pPr>
                    <w:jc w:val="center"/>
                    <w:rPr>
                      <w:color w:val="auto"/>
                      <w:sz w:val="18"/>
                      <w:szCs w:val="18"/>
                    </w:rPr>
                  </w:pPr>
                  <w:r>
                    <w:rPr>
                      <w:color w:val="auto"/>
                      <w:sz w:val="18"/>
                      <w:szCs w:val="18"/>
                    </w:rPr>
                    <w:t>水源水质保护</w:t>
                  </w:r>
                </w:p>
              </w:tc>
            </w:tr>
          </w:tbl>
          <w:p w14:paraId="04F8C33D">
            <w:pPr>
              <w:snapToGrid w:val="0"/>
              <w:spacing w:line="500" w:lineRule="exact"/>
              <w:ind w:firstLine="420" w:firstLineChars="200"/>
              <w:rPr>
                <w:color w:val="auto"/>
                <w:szCs w:val="21"/>
              </w:rPr>
            </w:pPr>
          </w:p>
        </w:tc>
      </w:tr>
      <w:tr w14:paraId="12DBE8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94" w:hRule="atLeast"/>
          <w:jc w:val="center"/>
        </w:trPr>
        <w:tc>
          <w:tcPr>
            <w:tcW w:w="605" w:type="dxa"/>
            <w:tcMar>
              <w:left w:w="28" w:type="dxa"/>
              <w:right w:w="28" w:type="dxa"/>
            </w:tcMar>
            <w:vAlign w:val="center"/>
          </w:tcPr>
          <w:p w14:paraId="2C5B2383">
            <w:pPr>
              <w:adjustRightInd w:val="0"/>
              <w:snapToGrid w:val="0"/>
              <w:jc w:val="center"/>
              <w:rPr>
                <w:color w:val="auto"/>
                <w:kern w:val="0"/>
                <w:szCs w:val="21"/>
              </w:rPr>
            </w:pPr>
            <w:r>
              <w:rPr>
                <w:color w:val="auto"/>
                <w:kern w:val="0"/>
                <w:szCs w:val="21"/>
              </w:rPr>
              <w:t>污染物排放控制标准</w:t>
            </w:r>
          </w:p>
        </w:tc>
        <w:tc>
          <w:tcPr>
            <w:tcW w:w="8220" w:type="dxa"/>
            <w:vAlign w:val="center"/>
          </w:tcPr>
          <w:p w14:paraId="3F6E1847">
            <w:pPr>
              <w:adjustRightInd w:val="0"/>
              <w:snapToGrid w:val="0"/>
              <w:spacing w:line="500" w:lineRule="exact"/>
              <w:ind w:firstLine="422" w:firstLineChars="200"/>
              <w:rPr>
                <w:b/>
                <w:color w:val="auto"/>
                <w:szCs w:val="21"/>
              </w:rPr>
            </w:pPr>
            <w:bookmarkStart w:id="14" w:name="_Hlk83372083"/>
            <w:r>
              <w:rPr>
                <w:b/>
                <w:color w:val="auto"/>
                <w:szCs w:val="21"/>
              </w:rPr>
              <w:t>1.</w:t>
            </w:r>
            <w:r>
              <w:rPr>
                <w:rFonts w:hint="eastAsia"/>
                <w:b/>
                <w:color w:val="auto"/>
                <w:szCs w:val="21"/>
              </w:rPr>
              <w:t>废气排放标准</w:t>
            </w:r>
          </w:p>
          <w:p w14:paraId="59B4627B">
            <w:pPr>
              <w:adjustRightInd w:val="0"/>
              <w:snapToGrid w:val="0"/>
              <w:spacing w:line="500" w:lineRule="exact"/>
              <w:ind w:firstLine="420" w:firstLineChars="200"/>
              <w:rPr>
                <w:rFonts w:hint="eastAsia"/>
                <w:color w:val="auto"/>
                <w:szCs w:val="21"/>
              </w:rPr>
            </w:pPr>
            <w:r>
              <w:rPr>
                <w:rFonts w:hint="eastAsia"/>
                <w:color w:val="auto"/>
                <w:szCs w:val="21"/>
              </w:rPr>
              <w:t>本项目废气执行《大气污染物综合排放标准》（DB 32/4041-2021）表1有组织排放限值标准、表2厂区内 VOCs 无组织排放限值、表3单位边界大气污染物排放监控浓度限值、《化学工业挥发性有机物排放标准》（DB32/3151-2016）表1和表2标准限值</w:t>
            </w:r>
            <w:r>
              <w:rPr>
                <w:rFonts w:hint="eastAsia"/>
                <w:color w:val="auto"/>
                <w:szCs w:val="21"/>
                <w:lang w:eastAsia="zh-CN"/>
              </w:rPr>
              <w:t>、《石油化学工业污染物排放标准》（GB 31571-2015）</w:t>
            </w:r>
            <w:r>
              <w:rPr>
                <w:rFonts w:hint="eastAsia"/>
                <w:color w:val="auto"/>
                <w:szCs w:val="21"/>
              </w:rPr>
              <w:t>表</w:t>
            </w:r>
            <w:r>
              <w:rPr>
                <w:rFonts w:hint="eastAsia"/>
                <w:color w:val="auto"/>
                <w:szCs w:val="21"/>
                <w:lang w:val="en-US" w:eastAsia="zh-CN"/>
              </w:rPr>
              <w:t>6</w:t>
            </w:r>
            <w:r>
              <w:rPr>
                <w:rFonts w:hint="eastAsia"/>
                <w:color w:val="auto"/>
                <w:szCs w:val="21"/>
              </w:rPr>
              <w:t>标准限值以及《恶臭污染物排放标准》（GB 14554-93）表1厂界标准值、表2污染物排放标准值，具体标准值见表</w:t>
            </w:r>
            <w:r>
              <w:rPr>
                <w:color w:val="auto"/>
                <w:szCs w:val="21"/>
              </w:rPr>
              <w:t>3</w:t>
            </w:r>
            <w:r>
              <w:rPr>
                <w:rFonts w:hint="eastAsia"/>
                <w:color w:val="auto"/>
                <w:szCs w:val="21"/>
              </w:rPr>
              <w:t>-2。</w:t>
            </w:r>
          </w:p>
          <w:p w14:paraId="6EA8FF66">
            <w:pPr>
              <w:adjustRightInd w:val="0"/>
              <w:snapToGrid w:val="0"/>
              <w:spacing w:line="500" w:lineRule="exact"/>
              <w:jc w:val="center"/>
              <w:rPr>
                <w:b/>
                <w:color w:val="auto"/>
                <w:szCs w:val="21"/>
              </w:rPr>
            </w:pPr>
            <w:r>
              <w:rPr>
                <w:rFonts w:hint="eastAsia"/>
                <w:b/>
                <w:color w:val="auto"/>
                <w:szCs w:val="21"/>
              </w:rPr>
              <w:t>表</w:t>
            </w:r>
            <w:r>
              <w:rPr>
                <w:b/>
                <w:color w:val="auto"/>
                <w:szCs w:val="21"/>
              </w:rPr>
              <w:t>3-</w:t>
            </w:r>
            <w:r>
              <w:rPr>
                <w:rFonts w:hint="eastAsia"/>
                <w:b/>
                <w:color w:val="auto"/>
                <w:szCs w:val="21"/>
              </w:rPr>
              <w:t>2</w:t>
            </w:r>
            <w:r>
              <w:rPr>
                <w:b/>
                <w:color w:val="auto"/>
                <w:szCs w:val="21"/>
              </w:rPr>
              <w:t xml:space="preserve"> </w:t>
            </w:r>
            <w:r>
              <w:rPr>
                <w:rFonts w:hint="eastAsia"/>
                <w:b/>
                <w:color w:val="auto"/>
                <w:szCs w:val="21"/>
              </w:rPr>
              <w:t>废气污染物排放标准</w:t>
            </w:r>
          </w:p>
          <w:tbl>
            <w:tblPr>
              <w:tblStyle w:val="21"/>
              <w:tblW w:w="5000"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1129"/>
              <w:gridCol w:w="908"/>
              <w:gridCol w:w="1129"/>
              <w:gridCol w:w="599"/>
              <w:gridCol w:w="1270"/>
              <w:gridCol w:w="1131"/>
              <w:gridCol w:w="1838"/>
            </w:tblGrid>
            <w:tr w14:paraId="1377D47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20" w:hRule="atLeast"/>
              </w:trPr>
              <w:tc>
                <w:tcPr>
                  <w:tcW w:w="705" w:type="pct"/>
                  <w:vMerge w:val="restart"/>
                  <w:vAlign w:val="center"/>
                </w:tcPr>
                <w:p w14:paraId="645AD0FB">
                  <w:pPr>
                    <w:jc w:val="center"/>
                    <w:rPr>
                      <w:b/>
                      <w:color w:val="auto"/>
                      <w:kern w:val="0"/>
                      <w:sz w:val="18"/>
                      <w:szCs w:val="18"/>
                    </w:rPr>
                  </w:pPr>
                  <w:r>
                    <w:rPr>
                      <w:rFonts w:hint="eastAsia"/>
                      <w:b/>
                      <w:color w:val="auto"/>
                      <w:kern w:val="0"/>
                      <w:sz w:val="18"/>
                      <w:szCs w:val="18"/>
                    </w:rPr>
                    <w:t>污染物</w:t>
                  </w:r>
                </w:p>
              </w:tc>
              <w:tc>
                <w:tcPr>
                  <w:tcW w:w="1646" w:type="pct"/>
                  <w:gridSpan w:val="3"/>
                  <w:vAlign w:val="center"/>
                </w:tcPr>
                <w:p w14:paraId="0B1020CD">
                  <w:pPr>
                    <w:jc w:val="center"/>
                    <w:rPr>
                      <w:b/>
                      <w:color w:val="auto"/>
                      <w:kern w:val="0"/>
                      <w:sz w:val="18"/>
                      <w:szCs w:val="18"/>
                    </w:rPr>
                  </w:pPr>
                  <w:r>
                    <w:rPr>
                      <w:rFonts w:hint="eastAsia"/>
                      <w:b/>
                      <w:color w:val="auto"/>
                      <w:kern w:val="0"/>
                      <w:sz w:val="18"/>
                      <w:szCs w:val="18"/>
                    </w:rPr>
                    <w:t>有组织</w:t>
                  </w:r>
                </w:p>
              </w:tc>
              <w:tc>
                <w:tcPr>
                  <w:tcW w:w="1499" w:type="pct"/>
                  <w:gridSpan w:val="2"/>
                  <w:vAlign w:val="center"/>
                </w:tcPr>
                <w:p w14:paraId="04C7165E">
                  <w:pPr>
                    <w:jc w:val="center"/>
                    <w:rPr>
                      <w:b/>
                      <w:color w:val="auto"/>
                      <w:kern w:val="0"/>
                      <w:sz w:val="18"/>
                      <w:szCs w:val="18"/>
                    </w:rPr>
                  </w:pPr>
                  <w:r>
                    <w:rPr>
                      <w:rFonts w:hint="eastAsia"/>
                      <w:b/>
                      <w:color w:val="auto"/>
                      <w:kern w:val="0"/>
                      <w:sz w:val="18"/>
                      <w:szCs w:val="18"/>
                    </w:rPr>
                    <w:t>无组织</w:t>
                  </w:r>
                </w:p>
              </w:tc>
              <w:tc>
                <w:tcPr>
                  <w:tcW w:w="1147" w:type="pct"/>
                  <w:vMerge w:val="restart"/>
                  <w:vAlign w:val="center"/>
                </w:tcPr>
                <w:p w14:paraId="64B1C8F9">
                  <w:pPr>
                    <w:jc w:val="center"/>
                    <w:rPr>
                      <w:b/>
                      <w:color w:val="auto"/>
                      <w:kern w:val="0"/>
                      <w:sz w:val="18"/>
                      <w:szCs w:val="18"/>
                    </w:rPr>
                  </w:pPr>
                  <w:r>
                    <w:rPr>
                      <w:rFonts w:hint="eastAsia"/>
                      <w:b/>
                      <w:color w:val="auto"/>
                      <w:kern w:val="0"/>
                      <w:sz w:val="18"/>
                      <w:szCs w:val="18"/>
                    </w:rPr>
                    <w:t>标准来源</w:t>
                  </w:r>
                </w:p>
              </w:tc>
            </w:tr>
            <w:tr w14:paraId="70358B8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705" w:type="pct"/>
                  <w:vMerge w:val="continue"/>
                  <w:vAlign w:val="center"/>
                </w:tcPr>
                <w:p w14:paraId="771EDB87">
                  <w:pPr>
                    <w:jc w:val="center"/>
                    <w:rPr>
                      <w:color w:val="auto"/>
                      <w:kern w:val="0"/>
                      <w:sz w:val="18"/>
                      <w:szCs w:val="18"/>
                    </w:rPr>
                  </w:pPr>
                </w:p>
              </w:tc>
              <w:tc>
                <w:tcPr>
                  <w:tcW w:w="567" w:type="pct"/>
                  <w:vAlign w:val="center"/>
                </w:tcPr>
                <w:p w14:paraId="75D8C55F">
                  <w:pPr>
                    <w:jc w:val="center"/>
                    <w:rPr>
                      <w:b/>
                      <w:color w:val="auto"/>
                      <w:kern w:val="0"/>
                      <w:sz w:val="18"/>
                      <w:szCs w:val="18"/>
                    </w:rPr>
                  </w:pPr>
                  <w:r>
                    <w:rPr>
                      <w:rFonts w:hint="eastAsia"/>
                      <w:b/>
                      <w:color w:val="auto"/>
                      <w:kern w:val="0"/>
                      <w:sz w:val="18"/>
                      <w:szCs w:val="18"/>
                    </w:rPr>
                    <w:t>最高允许排放浓度</w:t>
                  </w:r>
                  <w:r>
                    <w:rPr>
                      <w:b/>
                      <w:color w:val="auto"/>
                      <w:kern w:val="0"/>
                      <w:sz w:val="18"/>
                      <w:szCs w:val="18"/>
                    </w:rPr>
                    <w:t xml:space="preserve"> mg/m</w:t>
                  </w:r>
                  <w:r>
                    <w:rPr>
                      <w:b/>
                      <w:color w:val="auto"/>
                      <w:kern w:val="0"/>
                      <w:sz w:val="18"/>
                      <w:szCs w:val="18"/>
                      <w:vertAlign w:val="superscript"/>
                    </w:rPr>
                    <w:t>3</w:t>
                  </w:r>
                </w:p>
              </w:tc>
              <w:tc>
                <w:tcPr>
                  <w:tcW w:w="705" w:type="pct"/>
                  <w:vAlign w:val="center"/>
                </w:tcPr>
                <w:p w14:paraId="1818CD1E">
                  <w:pPr>
                    <w:jc w:val="center"/>
                    <w:rPr>
                      <w:b/>
                      <w:color w:val="auto"/>
                      <w:kern w:val="0"/>
                      <w:sz w:val="18"/>
                      <w:szCs w:val="18"/>
                    </w:rPr>
                  </w:pPr>
                  <w:r>
                    <w:rPr>
                      <w:rFonts w:hint="eastAsia"/>
                      <w:b/>
                      <w:color w:val="auto"/>
                      <w:kern w:val="0"/>
                      <w:sz w:val="18"/>
                      <w:szCs w:val="18"/>
                    </w:rPr>
                    <w:t>最高允许排放速率</w:t>
                  </w:r>
                  <w:r>
                    <w:rPr>
                      <w:b/>
                      <w:color w:val="auto"/>
                      <w:kern w:val="0"/>
                      <w:sz w:val="18"/>
                      <w:szCs w:val="18"/>
                    </w:rPr>
                    <w:t xml:space="preserve"> kg/h</w:t>
                  </w:r>
                </w:p>
              </w:tc>
              <w:tc>
                <w:tcPr>
                  <w:tcW w:w="374" w:type="pct"/>
                  <w:vAlign w:val="center"/>
                </w:tcPr>
                <w:p w14:paraId="0A81B844">
                  <w:pPr>
                    <w:jc w:val="center"/>
                    <w:rPr>
                      <w:b/>
                      <w:color w:val="auto"/>
                      <w:kern w:val="0"/>
                      <w:sz w:val="18"/>
                      <w:szCs w:val="18"/>
                    </w:rPr>
                  </w:pPr>
                  <w:r>
                    <w:rPr>
                      <w:rFonts w:hint="eastAsia"/>
                      <w:b/>
                      <w:color w:val="auto"/>
                      <w:kern w:val="0"/>
                      <w:sz w:val="18"/>
                      <w:szCs w:val="18"/>
                    </w:rPr>
                    <w:t>排放高度m</w:t>
                  </w:r>
                </w:p>
              </w:tc>
              <w:tc>
                <w:tcPr>
                  <w:tcW w:w="793" w:type="pct"/>
                  <w:vAlign w:val="center"/>
                </w:tcPr>
                <w:p w14:paraId="2D86BD4E">
                  <w:pPr>
                    <w:jc w:val="center"/>
                    <w:rPr>
                      <w:b/>
                      <w:color w:val="auto"/>
                      <w:kern w:val="0"/>
                      <w:sz w:val="18"/>
                      <w:szCs w:val="18"/>
                    </w:rPr>
                  </w:pPr>
                  <w:r>
                    <w:rPr>
                      <w:rFonts w:hint="eastAsia"/>
                      <w:b/>
                      <w:color w:val="auto"/>
                      <w:kern w:val="0"/>
                      <w:sz w:val="18"/>
                      <w:szCs w:val="18"/>
                    </w:rPr>
                    <w:t>排放监控浓度限值</w:t>
                  </w:r>
                  <w:r>
                    <w:rPr>
                      <w:b/>
                      <w:color w:val="auto"/>
                      <w:kern w:val="0"/>
                      <w:sz w:val="18"/>
                      <w:szCs w:val="18"/>
                    </w:rPr>
                    <w:t xml:space="preserve"> mg/m</w:t>
                  </w:r>
                  <w:r>
                    <w:rPr>
                      <w:b/>
                      <w:color w:val="auto"/>
                      <w:kern w:val="0"/>
                      <w:sz w:val="18"/>
                      <w:szCs w:val="18"/>
                      <w:vertAlign w:val="superscript"/>
                    </w:rPr>
                    <w:t>3</w:t>
                  </w:r>
                </w:p>
              </w:tc>
              <w:tc>
                <w:tcPr>
                  <w:tcW w:w="706" w:type="pct"/>
                  <w:vAlign w:val="center"/>
                </w:tcPr>
                <w:p w14:paraId="25192072">
                  <w:pPr>
                    <w:jc w:val="center"/>
                    <w:rPr>
                      <w:b/>
                      <w:color w:val="auto"/>
                      <w:kern w:val="0"/>
                      <w:sz w:val="18"/>
                      <w:szCs w:val="18"/>
                    </w:rPr>
                  </w:pPr>
                  <w:r>
                    <w:rPr>
                      <w:rFonts w:hint="eastAsia"/>
                      <w:b/>
                      <w:color w:val="auto"/>
                      <w:kern w:val="0"/>
                      <w:sz w:val="18"/>
                      <w:szCs w:val="18"/>
                    </w:rPr>
                    <w:t>监控点</w:t>
                  </w:r>
                </w:p>
              </w:tc>
              <w:tc>
                <w:tcPr>
                  <w:tcW w:w="1147" w:type="pct"/>
                  <w:vMerge w:val="continue"/>
                  <w:vAlign w:val="center"/>
                </w:tcPr>
                <w:p w14:paraId="4FFE775A">
                  <w:pPr>
                    <w:jc w:val="center"/>
                    <w:rPr>
                      <w:color w:val="auto"/>
                      <w:kern w:val="0"/>
                      <w:sz w:val="18"/>
                      <w:szCs w:val="18"/>
                    </w:rPr>
                  </w:pPr>
                </w:p>
              </w:tc>
            </w:tr>
            <w:tr w14:paraId="3B49941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705" w:type="pct"/>
                  <w:vAlign w:val="center"/>
                </w:tcPr>
                <w:p w14:paraId="513710C9">
                  <w:pPr>
                    <w:jc w:val="center"/>
                    <w:rPr>
                      <w:color w:val="auto"/>
                      <w:kern w:val="0"/>
                      <w:sz w:val="18"/>
                      <w:szCs w:val="18"/>
                    </w:rPr>
                  </w:pPr>
                  <w:r>
                    <w:rPr>
                      <w:rFonts w:hint="eastAsia"/>
                      <w:color w:val="auto"/>
                      <w:kern w:val="0"/>
                      <w:sz w:val="18"/>
                      <w:szCs w:val="18"/>
                    </w:rPr>
                    <w:t>硫酸雾</w:t>
                  </w:r>
                </w:p>
              </w:tc>
              <w:tc>
                <w:tcPr>
                  <w:tcW w:w="567" w:type="pct"/>
                  <w:vAlign w:val="center"/>
                </w:tcPr>
                <w:p w14:paraId="488BDF56">
                  <w:pPr>
                    <w:jc w:val="center"/>
                    <w:rPr>
                      <w:color w:val="auto"/>
                      <w:kern w:val="0"/>
                      <w:sz w:val="18"/>
                      <w:szCs w:val="18"/>
                    </w:rPr>
                  </w:pPr>
                  <w:r>
                    <w:rPr>
                      <w:rFonts w:hint="eastAsia"/>
                      <w:color w:val="auto"/>
                      <w:kern w:val="0"/>
                      <w:sz w:val="18"/>
                      <w:szCs w:val="18"/>
                    </w:rPr>
                    <w:t>5</w:t>
                  </w:r>
                </w:p>
              </w:tc>
              <w:tc>
                <w:tcPr>
                  <w:tcW w:w="705" w:type="pct"/>
                  <w:vAlign w:val="center"/>
                </w:tcPr>
                <w:p w14:paraId="3903CACC">
                  <w:pPr>
                    <w:jc w:val="center"/>
                    <w:rPr>
                      <w:color w:val="auto"/>
                      <w:kern w:val="0"/>
                      <w:sz w:val="18"/>
                      <w:szCs w:val="18"/>
                    </w:rPr>
                  </w:pPr>
                  <w:r>
                    <w:rPr>
                      <w:rFonts w:hint="eastAsia"/>
                      <w:color w:val="auto"/>
                      <w:kern w:val="0"/>
                      <w:sz w:val="18"/>
                      <w:szCs w:val="18"/>
                    </w:rPr>
                    <w:t>1</w:t>
                  </w:r>
                  <w:r>
                    <w:rPr>
                      <w:color w:val="auto"/>
                      <w:kern w:val="0"/>
                      <w:sz w:val="18"/>
                      <w:szCs w:val="18"/>
                    </w:rPr>
                    <w:t>.1</w:t>
                  </w:r>
                </w:p>
              </w:tc>
              <w:tc>
                <w:tcPr>
                  <w:tcW w:w="374" w:type="pct"/>
                  <w:vMerge w:val="restart"/>
                  <w:vAlign w:val="center"/>
                </w:tcPr>
                <w:p w14:paraId="6187C4CE">
                  <w:pPr>
                    <w:jc w:val="center"/>
                    <w:rPr>
                      <w:color w:val="auto"/>
                      <w:kern w:val="0"/>
                      <w:sz w:val="18"/>
                      <w:szCs w:val="18"/>
                    </w:rPr>
                  </w:pPr>
                  <w:r>
                    <w:rPr>
                      <w:rFonts w:hint="eastAsia"/>
                      <w:color w:val="auto"/>
                      <w:kern w:val="0"/>
                      <w:sz w:val="18"/>
                      <w:szCs w:val="18"/>
                    </w:rPr>
                    <w:t>1</w:t>
                  </w:r>
                  <w:r>
                    <w:rPr>
                      <w:color w:val="auto"/>
                      <w:kern w:val="0"/>
                      <w:sz w:val="18"/>
                      <w:szCs w:val="18"/>
                    </w:rPr>
                    <w:t>5</w:t>
                  </w:r>
                </w:p>
              </w:tc>
              <w:tc>
                <w:tcPr>
                  <w:tcW w:w="793" w:type="pct"/>
                  <w:vAlign w:val="center"/>
                </w:tcPr>
                <w:p w14:paraId="309604BA">
                  <w:pPr>
                    <w:jc w:val="center"/>
                    <w:rPr>
                      <w:color w:val="auto"/>
                      <w:kern w:val="0"/>
                      <w:sz w:val="18"/>
                      <w:szCs w:val="18"/>
                    </w:rPr>
                  </w:pPr>
                  <w:r>
                    <w:rPr>
                      <w:rFonts w:hint="eastAsia"/>
                      <w:color w:val="auto"/>
                      <w:kern w:val="0"/>
                      <w:sz w:val="18"/>
                      <w:szCs w:val="18"/>
                    </w:rPr>
                    <w:t>0</w:t>
                  </w:r>
                  <w:r>
                    <w:rPr>
                      <w:color w:val="auto"/>
                      <w:kern w:val="0"/>
                      <w:sz w:val="18"/>
                      <w:szCs w:val="18"/>
                    </w:rPr>
                    <w:t>.3</w:t>
                  </w:r>
                </w:p>
              </w:tc>
              <w:tc>
                <w:tcPr>
                  <w:tcW w:w="706" w:type="pct"/>
                  <w:vMerge w:val="restart"/>
                  <w:vAlign w:val="center"/>
                </w:tcPr>
                <w:p w14:paraId="06403102">
                  <w:pPr>
                    <w:jc w:val="center"/>
                    <w:rPr>
                      <w:color w:val="auto"/>
                      <w:kern w:val="0"/>
                      <w:sz w:val="18"/>
                      <w:szCs w:val="18"/>
                    </w:rPr>
                  </w:pPr>
                  <w:r>
                    <w:rPr>
                      <w:rFonts w:hint="eastAsia"/>
                      <w:color w:val="auto"/>
                      <w:kern w:val="0"/>
                      <w:sz w:val="18"/>
                      <w:szCs w:val="18"/>
                    </w:rPr>
                    <w:t>边界外浓度最高点</w:t>
                  </w:r>
                </w:p>
              </w:tc>
              <w:tc>
                <w:tcPr>
                  <w:tcW w:w="1147" w:type="pct"/>
                  <w:vMerge w:val="restart"/>
                  <w:vAlign w:val="center"/>
                </w:tcPr>
                <w:p w14:paraId="67A4E09B">
                  <w:pPr>
                    <w:jc w:val="center"/>
                    <w:rPr>
                      <w:color w:val="auto"/>
                      <w:kern w:val="0"/>
                      <w:sz w:val="18"/>
                      <w:szCs w:val="18"/>
                    </w:rPr>
                  </w:pPr>
                  <w:r>
                    <w:rPr>
                      <w:rFonts w:hint="eastAsia"/>
                      <w:color w:val="auto"/>
                      <w:kern w:val="0"/>
                      <w:sz w:val="18"/>
                      <w:szCs w:val="18"/>
                    </w:rPr>
                    <w:t>《大气污染物综合排放标准》（DB 32/4041-2021）</w:t>
                  </w:r>
                </w:p>
              </w:tc>
            </w:tr>
            <w:tr w14:paraId="12F6150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705" w:type="pct"/>
                  <w:vAlign w:val="center"/>
                </w:tcPr>
                <w:p w14:paraId="617172B6">
                  <w:pPr>
                    <w:jc w:val="center"/>
                    <w:rPr>
                      <w:color w:val="auto"/>
                      <w:kern w:val="0"/>
                      <w:sz w:val="18"/>
                      <w:szCs w:val="18"/>
                    </w:rPr>
                  </w:pPr>
                  <w:r>
                    <w:rPr>
                      <w:rFonts w:hint="eastAsia"/>
                      <w:color w:val="auto"/>
                      <w:kern w:val="0"/>
                      <w:sz w:val="18"/>
                      <w:szCs w:val="18"/>
                    </w:rPr>
                    <w:t>氮氧化物</w:t>
                  </w:r>
                </w:p>
              </w:tc>
              <w:tc>
                <w:tcPr>
                  <w:tcW w:w="567" w:type="pct"/>
                  <w:vAlign w:val="center"/>
                </w:tcPr>
                <w:p w14:paraId="08874363">
                  <w:pPr>
                    <w:jc w:val="center"/>
                    <w:rPr>
                      <w:color w:val="auto"/>
                      <w:kern w:val="0"/>
                      <w:sz w:val="18"/>
                      <w:szCs w:val="18"/>
                    </w:rPr>
                  </w:pPr>
                  <w:r>
                    <w:rPr>
                      <w:rFonts w:hint="eastAsia"/>
                      <w:color w:val="auto"/>
                      <w:kern w:val="0"/>
                      <w:sz w:val="18"/>
                      <w:szCs w:val="18"/>
                    </w:rPr>
                    <w:t>100</w:t>
                  </w:r>
                </w:p>
              </w:tc>
              <w:tc>
                <w:tcPr>
                  <w:tcW w:w="705" w:type="pct"/>
                  <w:vAlign w:val="center"/>
                </w:tcPr>
                <w:p w14:paraId="2A91534B">
                  <w:pPr>
                    <w:jc w:val="center"/>
                    <w:rPr>
                      <w:color w:val="auto"/>
                      <w:kern w:val="0"/>
                      <w:sz w:val="18"/>
                      <w:szCs w:val="18"/>
                    </w:rPr>
                  </w:pPr>
                  <w:r>
                    <w:rPr>
                      <w:rFonts w:hint="eastAsia"/>
                      <w:color w:val="auto"/>
                      <w:kern w:val="0"/>
                      <w:sz w:val="18"/>
                      <w:szCs w:val="18"/>
                    </w:rPr>
                    <w:t>0.47</w:t>
                  </w:r>
                </w:p>
              </w:tc>
              <w:tc>
                <w:tcPr>
                  <w:tcW w:w="374" w:type="pct"/>
                  <w:vMerge w:val="continue"/>
                  <w:vAlign w:val="center"/>
                </w:tcPr>
                <w:p w14:paraId="5E5EFE11">
                  <w:pPr>
                    <w:jc w:val="center"/>
                    <w:rPr>
                      <w:color w:val="auto"/>
                      <w:kern w:val="0"/>
                      <w:sz w:val="18"/>
                      <w:szCs w:val="18"/>
                    </w:rPr>
                  </w:pPr>
                </w:p>
              </w:tc>
              <w:tc>
                <w:tcPr>
                  <w:tcW w:w="793" w:type="pct"/>
                  <w:vAlign w:val="center"/>
                </w:tcPr>
                <w:p w14:paraId="4FCB326F">
                  <w:pPr>
                    <w:jc w:val="center"/>
                    <w:rPr>
                      <w:color w:val="auto"/>
                      <w:kern w:val="0"/>
                      <w:sz w:val="18"/>
                      <w:szCs w:val="18"/>
                    </w:rPr>
                  </w:pPr>
                  <w:r>
                    <w:rPr>
                      <w:rFonts w:hint="eastAsia"/>
                      <w:color w:val="auto"/>
                      <w:kern w:val="0"/>
                      <w:sz w:val="18"/>
                      <w:szCs w:val="18"/>
                    </w:rPr>
                    <w:t>0.12</w:t>
                  </w:r>
                </w:p>
              </w:tc>
              <w:tc>
                <w:tcPr>
                  <w:tcW w:w="706" w:type="pct"/>
                  <w:vMerge w:val="continue"/>
                  <w:vAlign w:val="center"/>
                </w:tcPr>
                <w:p w14:paraId="6B287F29">
                  <w:pPr>
                    <w:jc w:val="center"/>
                    <w:rPr>
                      <w:color w:val="auto"/>
                      <w:kern w:val="0"/>
                      <w:sz w:val="18"/>
                      <w:szCs w:val="18"/>
                    </w:rPr>
                  </w:pPr>
                </w:p>
              </w:tc>
              <w:tc>
                <w:tcPr>
                  <w:tcW w:w="1147" w:type="pct"/>
                  <w:vMerge w:val="continue"/>
                  <w:vAlign w:val="center"/>
                </w:tcPr>
                <w:p w14:paraId="294DC70A">
                  <w:pPr>
                    <w:jc w:val="center"/>
                    <w:rPr>
                      <w:color w:val="auto"/>
                      <w:kern w:val="0"/>
                      <w:sz w:val="18"/>
                      <w:szCs w:val="18"/>
                    </w:rPr>
                  </w:pPr>
                </w:p>
              </w:tc>
            </w:tr>
            <w:tr w14:paraId="3709463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705" w:type="pct"/>
                  <w:vAlign w:val="center"/>
                </w:tcPr>
                <w:p w14:paraId="10C23063">
                  <w:pPr>
                    <w:jc w:val="center"/>
                    <w:rPr>
                      <w:color w:val="auto"/>
                      <w:kern w:val="0"/>
                      <w:sz w:val="18"/>
                      <w:szCs w:val="18"/>
                    </w:rPr>
                  </w:pPr>
                  <w:bookmarkStart w:id="24" w:name="_GoBack"/>
                  <w:bookmarkEnd w:id="24"/>
                  <w:r>
                    <w:rPr>
                      <w:rFonts w:hint="eastAsia"/>
                      <w:color w:val="auto"/>
                      <w:kern w:val="0"/>
                      <w:sz w:val="18"/>
                      <w:szCs w:val="18"/>
                    </w:rPr>
                    <w:t>甲醇</w:t>
                  </w:r>
                </w:p>
              </w:tc>
              <w:tc>
                <w:tcPr>
                  <w:tcW w:w="567" w:type="pct"/>
                  <w:vAlign w:val="center"/>
                </w:tcPr>
                <w:p w14:paraId="04C70223">
                  <w:pPr>
                    <w:jc w:val="center"/>
                    <w:rPr>
                      <w:color w:val="auto"/>
                      <w:kern w:val="0"/>
                      <w:sz w:val="18"/>
                      <w:szCs w:val="18"/>
                    </w:rPr>
                  </w:pPr>
                  <w:r>
                    <w:rPr>
                      <w:rFonts w:hint="eastAsia"/>
                      <w:color w:val="auto"/>
                      <w:kern w:val="0"/>
                      <w:sz w:val="18"/>
                      <w:szCs w:val="18"/>
                    </w:rPr>
                    <w:t>5</w:t>
                  </w:r>
                  <w:r>
                    <w:rPr>
                      <w:color w:val="auto"/>
                      <w:kern w:val="0"/>
                      <w:sz w:val="18"/>
                      <w:szCs w:val="18"/>
                    </w:rPr>
                    <w:t>0</w:t>
                  </w:r>
                </w:p>
              </w:tc>
              <w:tc>
                <w:tcPr>
                  <w:tcW w:w="705" w:type="pct"/>
                  <w:vAlign w:val="center"/>
                </w:tcPr>
                <w:p w14:paraId="61A9A6B8">
                  <w:pPr>
                    <w:jc w:val="center"/>
                    <w:rPr>
                      <w:color w:val="auto"/>
                      <w:kern w:val="0"/>
                      <w:sz w:val="18"/>
                      <w:szCs w:val="18"/>
                    </w:rPr>
                  </w:pPr>
                  <w:r>
                    <w:rPr>
                      <w:rFonts w:hint="eastAsia"/>
                      <w:color w:val="auto"/>
                      <w:kern w:val="0"/>
                      <w:sz w:val="18"/>
                      <w:szCs w:val="18"/>
                    </w:rPr>
                    <w:t>1</w:t>
                  </w:r>
                  <w:r>
                    <w:rPr>
                      <w:color w:val="auto"/>
                      <w:kern w:val="0"/>
                      <w:sz w:val="18"/>
                      <w:szCs w:val="18"/>
                    </w:rPr>
                    <w:t>.8</w:t>
                  </w:r>
                </w:p>
              </w:tc>
              <w:tc>
                <w:tcPr>
                  <w:tcW w:w="374" w:type="pct"/>
                  <w:vMerge w:val="continue"/>
                  <w:vAlign w:val="center"/>
                </w:tcPr>
                <w:p w14:paraId="446DCEEA">
                  <w:pPr>
                    <w:jc w:val="center"/>
                    <w:rPr>
                      <w:color w:val="auto"/>
                      <w:kern w:val="0"/>
                      <w:sz w:val="18"/>
                      <w:szCs w:val="18"/>
                    </w:rPr>
                  </w:pPr>
                </w:p>
              </w:tc>
              <w:tc>
                <w:tcPr>
                  <w:tcW w:w="793" w:type="pct"/>
                  <w:vAlign w:val="center"/>
                </w:tcPr>
                <w:p w14:paraId="43A7BA54">
                  <w:pPr>
                    <w:jc w:val="center"/>
                    <w:rPr>
                      <w:color w:val="auto"/>
                      <w:kern w:val="0"/>
                      <w:sz w:val="18"/>
                      <w:szCs w:val="18"/>
                    </w:rPr>
                  </w:pPr>
                  <w:r>
                    <w:rPr>
                      <w:rFonts w:hint="eastAsia"/>
                      <w:color w:val="auto"/>
                      <w:kern w:val="0"/>
                      <w:sz w:val="18"/>
                      <w:szCs w:val="18"/>
                    </w:rPr>
                    <w:t>1</w:t>
                  </w:r>
                </w:p>
              </w:tc>
              <w:tc>
                <w:tcPr>
                  <w:tcW w:w="706" w:type="pct"/>
                  <w:vMerge w:val="continue"/>
                  <w:vAlign w:val="center"/>
                </w:tcPr>
                <w:p w14:paraId="14A401C2">
                  <w:pPr>
                    <w:jc w:val="center"/>
                    <w:rPr>
                      <w:color w:val="auto"/>
                      <w:kern w:val="0"/>
                      <w:sz w:val="18"/>
                      <w:szCs w:val="18"/>
                    </w:rPr>
                  </w:pPr>
                </w:p>
              </w:tc>
              <w:tc>
                <w:tcPr>
                  <w:tcW w:w="1147" w:type="pct"/>
                  <w:vMerge w:val="continue"/>
                  <w:vAlign w:val="center"/>
                </w:tcPr>
                <w:p w14:paraId="72E42FC3">
                  <w:pPr>
                    <w:jc w:val="center"/>
                    <w:rPr>
                      <w:color w:val="auto"/>
                      <w:kern w:val="0"/>
                      <w:sz w:val="18"/>
                      <w:szCs w:val="18"/>
                    </w:rPr>
                  </w:pPr>
                </w:p>
              </w:tc>
            </w:tr>
            <w:tr w14:paraId="179A090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705" w:type="pct"/>
                  <w:vMerge w:val="restart"/>
                  <w:vAlign w:val="center"/>
                </w:tcPr>
                <w:p w14:paraId="56CE23AA">
                  <w:pPr>
                    <w:jc w:val="center"/>
                    <w:rPr>
                      <w:color w:val="auto"/>
                      <w:kern w:val="0"/>
                      <w:sz w:val="18"/>
                      <w:szCs w:val="18"/>
                    </w:rPr>
                  </w:pPr>
                  <w:r>
                    <w:rPr>
                      <w:rFonts w:hint="eastAsia"/>
                      <w:color w:val="auto"/>
                      <w:kern w:val="0"/>
                      <w:sz w:val="18"/>
                      <w:szCs w:val="18"/>
                    </w:rPr>
                    <w:t>VOCs（以N</w:t>
                  </w:r>
                  <w:r>
                    <w:rPr>
                      <w:color w:val="auto"/>
                      <w:kern w:val="0"/>
                      <w:sz w:val="18"/>
                      <w:szCs w:val="18"/>
                    </w:rPr>
                    <w:t>MHC</w:t>
                  </w:r>
                  <w:r>
                    <w:rPr>
                      <w:rFonts w:hint="eastAsia"/>
                      <w:color w:val="auto"/>
                      <w:kern w:val="0"/>
                      <w:sz w:val="18"/>
                      <w:szCs w:val="18"/>
                    </w:rPr>
                    <w:t>计）</w:t>
                  </w:r>
                </w:p>
              </w:tc>
              <w:tc>
                <w:tcPr>
                  <w:tcW w:w="567" w:type="pct"/>
                  <w:vMerge w:val="restart"/>
                  <w:vAlign w:val="center"/>
                </w:tcPr>
                <w:p w14:paraId="3D3B1DEE">
                  <w:pPr>
                    <w:jc w:val="center"/>
                    <w:rPr>
                      <w:color w:val="auto"/>
                      <w:kern w:val="0"/>
                      <w:sz w:val="18"/>
                      <w:szCs w:val="18"/>
                    </w:rPr>
                  </w:pPr>
                  <w:r>
                    <w:rPr>
                      <w:rFonts w:hint="eastAsia"/>
                      <w:color w:val="auto"/>
                      <w:kern w:val="0"/>
                      <w:sz w:val="18"/>
                      <w:szCs w:val="18"/>
                    </w:rPr>
                    <w:t>6</w:t>
                  </w:r>
                  <w:r>
                    <w:rPr>
                      <w:color w:val="auto"/>
                      <w:kern w:val="0"/>
                      <w:sz w:val="18"/>
                      <w:szCs w:val="18"/>
                    </w:rPr>
                    <w:t>0</w:t>
                  </w:r>
                </w:p>
              </w:tc>
              <w:tc>
                <w:tcPr>
                  <w:tcW w:w="705" w:type="pct"/>
                  <w:vMerge w:val="restart"/>
                  <w:vAlign w:val="center"/>
                </w:tcPr>
                <w:p w14:paraId="1FF7FFE4">
                  <w:pPr>
                    <w:jc w:val="center"/>
                    <w:rPr>
                      <w:color w:val="auto"/>
                      <w:kern w:val="0"/>
                      <w:sz w:val="18"/>
                      <w:szCs w:val="18"/>
                    </w:rPr>
                  </w:pPr>
                  <w:r>
                    <w:rPr>
                      <w:rFonts w:hint="eastAsia"/>
                      <w:color w:val="auto"/>
                      <w:kern w:val="0"/>
                      <w:sz w:val="18"/>
                      <w:szCs w:val="18"/>
                    </w:rPr>
                    <w:t>3</w:t>
                  </w:r>
                </w:p>
              </w:tc>
              <w:tc>
                <w:tcPr>
                  <w:tcW w:w="374" w:type="pct"/>
                  <w:vMerge w:val="continue"/>
                  <w:vAlign w:val="center"/>
                </w:tcPr>
                <w:p w14:paraId="08208BCC">
                  <w:pPr>
                    <w:jc w:val="center"/>
                    <w:rPr>
                      <w:color w:val="auto"/>
                      <w:kern w:val="0"/>
                      <w:sz w:val="18"/>
                      <w:szCs w:val="18"/>
                    </w:rPr>
                  </w:pPr>
                </w:p>
              </w:tc>
              <w:tc>
                <w:tcPr>
                  <w:tcW w:w="793" w:type="pct"/>
                  <w:vAlign w:val="center"/>
                </w:tcPr>
                <w:p w14:paraId="639FCCE6">
                  <w:pPr>
                    <w:jc w:val="center"/>
                    <w:rPr>
                      <w:color w:val="auto"/>
                      <w:kern w:val="0"/>
                      <w:sz w:val="18"/>
                      <w:szCs w:val="18"/>
                    </w:rPr>
                  </w:pPr>
                  <w:r>
                    <w:rPr>
                      <w:rFonts w:hint="eastAsia"/>
                      <w:color w:val="auto"/>
                      <w:kern w:val="0"/>
                      <w:sz w:val="18"/>
                      <w:szCs w:val="18"/>
                    </w:rPr>
                    <w:t>4</w:t>
                  </w:r>
                </w:p>
              </w:tc>
              <w:tc>
                <w:tcPr>
                  <w:tcW w:w="706" w:type="pct"/>
                  <w:vMerge w:val="continue"/>
                  <w:vAlign w:val="center"/>
                </w:tcPr>
                <w:p w14:paraId="048491D0">
                  <w:pPr>
                    <w:jc w:val="center"/>
                    <w:rPr>
                      <w:color w:val="auto"/>
                      <w:kern w:val="0"/>
                      <w:sz w:val="18"/>
                      <w:szCs w:val="18"/>
                    </w:rPr>
                  </w:pPr>
                </w:p>
              </w:tc>
              <w:tc>
                <w:tcPr>
                  <w:tcW w:w="1147" w:type="pct"/>
                  <w:vMerge w:val="continue"/>
                  <w:vAlign w:val="center"/>
                </w:tcPr>
                <w:p w14:paraId="6CDA8E82">
                  <w:pPr>
                    <w:jc w:val="center"/>
                    <w:rPr>
                      <w:color w:val="auto"/>
                      <w:kern w:val="0"/>
                      <w:sz w:val="18"/>
                      <w:szCs w:val="18"/>
                    </w:rPr>
                  </w:pPr>
                </w:p>
              </w:tc>
            </w:tr>
            <w:tr w14:paraId="48536DE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705" w:type="pct"/>
                  <w:vMerge w:val="continue"/>
                  <w:vAlign w:val="center"/>
                </w:tcPr>
                <w:p w14:paraId="0B598932">
                  <w:pPr>
                    <w:jc w:val="center"/>
                    <w:rPr>
                      <w:color w:val="auto"/>
                      <w:kern w:val="0"/>
                      <w:sz w:val="18"/>
                      <w:szCs w:val="18"/>
                    </w:rPr>
                  </w:pPr>
                </w:p>
              </w:tc>
              <w:tc>
                <w:tcPr>
                  <w:tcW w:w="567" w:type="pct"/>
                  <w:vMerge w:val="continue"/>
                  <w:vAlign w:val="center"/>
                </w:tcPr>
                <w:p w14:paraId="04F0FE5D">
                  <w:pPr>
                    <w:jc w:val="center"/>
                    <w:rPr>
                      <w:color w:val="auto"/>
                      <w:kern w:val="0"/>
                      <w:sz w:val="18"/>
                      <w:szCs w:val="18"/>
                    </w:rPr>
                  </w:pPr>
                </w:p>
              </w:tc>
              <w:tc>
                <w:tcPr>
                  <w:tcW w:w="705" w:type="pct"/>
                  <w:vMerge w:val="continue"/>
                  <w:vAlign w:val="center"/>
                </w:tcPr>
                <w:p w14:paraId="2C5AD5EE">
                  <w:pPr>
                    <w:jc w:val="center"/>
                    <w:rPr>
                      <w:color w:val="auto"/>
                      <w:kern w:val="0"/>
                      <w:sz w:val="18"/>
                      <w:szCs w:val="18"/>
                    </w:rPr>
                  </w:pPr>
                </w:p>
              </w:tc>
              <w:tc>
                <w:tcPr>
                  <w:tcW w:w="374" w:type="pct"/>
                  <w:vMerge w:val="continue"/>
                  <w:vAlign w:val="center"/>
                </w:tcPr>
                <w:p w14:paraId="33CDE261">
                  <w:pPr>
                    <w:jc w:val="center"/>
                    <w:rPr>
                      <w:color w:val="auto"/>
                      <w:kern w:val="0"/>
                      <w:sz w:val="18"/>
                      <w:szCs w:val="18"/>
                    </w:rPr>
                  </w:pPr>
                </w:p>
              </w:tc>
              <w:tc>
                <w:tcPr>
                  <w:tcW w:w="793" w:type="pct"/>
                  <w:vAlign w:val="center"/>
                </w:tcPr>
                <w:p w14:paraId="7C7271AF">
                  <w:pPr>
                    <w:jc w:val="center"/>
                    <w:rPr>
                      <w:color w:val="auto"/>
                      <w:kern w:val="0"/>
                      <w:sz w:val="18"/>
                      <w:szCs w:val="18"/>
                    </w:rPr>
                  </w:pPr>
                  <w:r>
                    <w:rPr>
                      <w:rFonts w:hint="eastAsia"/>
                      <w:color w:val="auto"/>
                      <w:kern w:val="0"/>
                      <w:sz w:val="18"/>
                      <w:szCs w:val="18"/>
                    </w:rPr>
                    <w:t>6</w:t>
                  </w:r>
                </w:p>
              </w:tc>
              <w:tc>
                <w:tcPr>
                  <w:tcW w:w="706" w:type="pct"/>
                  <w:vAlign w:val="center"/>
                </w:tcPr>
                <w:p w14:paraId="4D804D98">
                  <w:pPr>
                    <w:jc w:val="center"/>
                    <w:rPr>
                      <w:color w:val="auto"/>
                      <w:kern w:val="0"/>
                      <w:sz w:val="18"/>
                      <w:szCs w:val="18"/>
                    </w:rPr>
                  </w:pPr>
                  <w:r>
                    <w:rPr>
                      <w:rFonts w:hint="eastAsia"/>
                      <w:color w:val="auto"/>
                      <w:kern w:val="0"/>
                      <w:sz w:val="18"/>
                      <w:szCs w:val="18"/>
                    </w:rPr>
                    <w:t>监控点处1h平均浓度值</w:t>
                  </w:r>
                </w:p>
              </w:tc>
              <w:tc>
                <w:tcPr>
                  <w:tcW w:w="1147" w:type="pct"/>
                  <w:vMerge w:val="continue"/>
                  <w:vAlign w:val="center"/>
                </w:tcPr>
                <w:p w14:paraId="4E2DA658">
                  <w:pPr>
                    <w:jc w:val="center"/>
                    <w:rPr>
                      <w:color w:val="auto"/>
                      <w:kern w:val="0"/>
                      <w:sz w:val="18"/>
                      <w:szCs w:val="18"/>
                    </w:rPr>
                  </w:pPr>
                </w:p>
              </w:tc>
            </w:tr>
            <w:tr w14:paraId="678F73F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677" w:hRule="atLeast"/>
              </w:trPr>
              <w:tc>
                <w:tcPr>
                  <w:tcW w:w="705" w:type="pct"/>
                  <w:vMerge w:val="continue"/>
                  <w:vAlign w:val="center"/>
                </w:tcPr>
                <w:p w14:paraId="43AC6BB8">
                  <w:pPr>
                    <w:jc w:val="center"/>
                    <w:rPr>
                      <w:color w:val="auto"/>
                      <w:kern w:val="0"/>
                      <w:sz w:val="18"/>
                      <w:szCs w:val="18"/>
                    </w:rPr>
                  </w:pPr>
                </w:p>
              </w:tc>
              <w:tc>
                <w:tcPr>
                  <w:tcW w:w="567" w:type="pct"/>
                  <w:vMerge w:val="continue"/>
                  <w:vAlign w:val="center"/>
                </w:tcPr>
                <w:p w14:paraId="48AD5726">
                  <w:pPr>
                    <w:jc w:val="center"/>
                    <w:rPr>
                      <w:color w:val="auto"/>
                      <w:kern w:val="0"/>
                      <w:sz w:val="18"/>
                      <w:szCs w:val="18"/>
                    </w:rPr>
                  </w:pPr>
                </w:p>
              </w:tc>
              <w:tc>
                <w:tcPr>
                  <w:tcW w:w="705" w:type="pct"/>
                  <w:vMerge w:val="continue"/>
                  <w:vAlign w:val="center"/>
                </w:tcPr>
                <w:p w14:paraId="3CF51676">
                  <w:pPr>
                    <w:jc w:val="center"/>
                    <w:rPr>
                      <w:color w:val="auto"/>
                      <w:kern w:val="0"/>
                      <w:sz w:val="18"/>
                      <w:szCs w:val="18"/>
                    </w:rPr>
                  </w:pPr>
                </w:p>
              </w:tc>
              <w:tc>
                <w:tcPr>
                  <w:tcW w:w="374" w:type="pct"/>
                  <w:vMerge w:val="continue"/>
                  <w:vAlign w:val="center"/>
                </w:tcPr>
                <w:p w14:paraId="216B758D">
                  <w:pPr>
                    <w:jc w:val="center"/>
                    <w:rPr>
                      <w:color w:val="auto"/>
                      <w:kern w:val="0"/>
                      <w:sz w:val="18"/>
                      <w:szCs w:val="18"/>
                    </w:rPr>
                  </w:pPr>
                </w:p>
              </w:tc>
              <w:tc>
                <w:tcPr>
                  <w:tcW w:w="793" w:type="pct"/>
                  <w:vAlign w:val="center"/>
                </w:tcPr>
                <w:p w14:paraId="32895D0B">
                  <w:pPr>
                    <w:jc w:val="center"/>
                    <w:rPr>
                      <w:color w:val="auto"/>
                      <w:kern w:val="0"/>
                      <w:sz w:val="18"/>
                      <w:szCs w:val="18"/>
                    </w:rPr>
                  </w:pPr>
                  <w:r>
                    <w:rPr>
                      <w:rFonts w:hint="eastAsia"/>
                      <w:color w:val="auto"/>
                      <w:kern w:val="0"/>
                      <w:sz w:val="18"/>
                      <w:szCs w:val="18"/>
                    </w:rPr>
                    <w:t>2</w:t>
                  </w:r>
                  <w:r>
                    <w:rPr>
                      <w:color w:val="auto"/>
                      <w:kern w:val="0"/>
                      <w:sz w:val="18"/>
                      <w:szCs w:val="18"/>
                    </w:rPr>
                    <w:t>0</w:t>
                  </w:r>
                </w:p>
              </w:tc>
              <w:tc>
                <w:tcPr>
                  <w:tcW w:w="706" w:type="pct"/>
                  <w:vAlign w:val="center"/>
                </w:tcPr>
                <w:p w14:paraId="5AC33906">
                  <w:pPr>
                    <w:jc w:val="center"/>
                    <w:rPr>
                      <w:color w:val="auto"/>
                      <w:kern w:val="0"/>
                      <w:sz w:val="18"/>
                      <w:szCs w:val="18"/>
                    </w:rPr>
                  </w:pPr>
                  <w:r>
                    <w:rPr>
                      <w:rFonts w:hint="eastAsia"/>
                      <w:color w:val="auto"/>
                      <w:kern w:val="0"/>
                      <w:sz w:val="18"/>
                      <w:szCs w:val="18"/>
                    </w:rPr>
                    <w:t>监控点处任意一次浓度值</w:t>
                  </w:r>
                </w:p>
              </w:tc>
              <w:tc>
                <w:tcPr>
                  <w:tcW w:w="1147" w:type="pct"/>
                  <w:vMerge w:val="continue"/>
                  <w:vAlign w:val="center"/>
                </w:tcPr>
                <w:p w14:paraId="0E6F86B5">
                  <w:pPr>
                    <w:jc w:val="center"/>
                    <w:rPr>
                      <w:color w:val="auto"/>
                      <w:kern w:val="0"/>
                      <w:sz w:val="18"/>
                      <w:szCs w:val="18"/>
                    </w:rPr>
                  </w:pPr>
                </w:p>
              </w:tc>
            </w:tr>
            <w:tr w14:paraId="07C300F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705" w:type="pct"/>
                  <w:vAlign w:val="center"/>
                </w:tcPr>
                <w:p w14:paraId="3DF642D4">
                  <w:pPr>
                    <w:jc w:val="center"/>
                    <w:rPr>
                      <w:rFonts w:hint="default" w:eastAsia="宋体"/>
                      <w:color w:val="auto"/>
                      <w:kern w:val="0"/>
                      <w:sz w:val="18"/>
                      <w:szCs w:val="18"/>
                      <w:lang w:val="en-US" w:eastAsia="zh-CN"/>
                    </w:rPr>
                  </w:pPr>
                  <w:r>
                    <w:rPr>
                      <w:rFonts w:hint="eastAsia"/>
                      <w:color w:val="auto"/>
                      <w:kern w:val="0"/>
                      <w:sz w:val="18"/>
                      <w:szCs w:val="18"/>
                      <w:lang w:val="en-US" w:eastAsia="zh-CN"/>
                    </w:rPr>
                    <w:t>四氯化碳*</w:t>
                  </w:r>
                </w:p>
              </w:tc>
              <w:tc>
                <w:tcPr>
                  <w:tcW w:w="567" w:type="pct"/>
                  <w:vAlign w:val="center"/>
                </w:tcPr>
                <w:p w14:paraId="0BEBA292">
                  <w:pPr>
                    <w:jc w:val="center"/>
                    <w:rPr>
                      <w:rFonts w:hint="default" w:eastAsia="宋体"/>
                      <w:color w:val="auto"/>
                      <w:kern w:val="0"/>
                      <w:sz w:val="18"/>
                      <w:szCs w:val="18"/>
                      <w:lang w:val="en-US" w:eastAsia="zh-CN"/>
                    </w:rPr>
                  </w:pPr>
                  <w:r>
                    <w:rPr>
                      <w:rFonts w:hint="eastAsia"/>
                      <w:color w:val="auto"/>
                      <w:kern w:val="0"/>
                      <w:sz w:val="18"/>
                      <w:szCs w:val="18"/>
                      <w:lang w:val="en-US" w:eastAsia="zh-CN"/>
                    </w:rPr>
                    <w:t>20</w:t>
                  </w:r>
                </w:p>
              </w:tc>
              <w:tc>
                <w:tcPr>
                  <w:tcW w:w="705" w:type="pct"/>
                  <w:vAlign w:val="center"/>
                </w:tcPr>
                <w:p w14:paraId="608F5B78">
                  <w:pPr>
                    <w:jc w:val="center"/>
                    <w:rPr>
                      <w:rFonts w:hint="eastAsia" w:eastAsia="宋体"/>
                      <w:color w:val="auto"/>
                      <w:kern w:val="0"/>
                      <w:sz w:val="18"/>
                      <w:szCs w:val="18"/>
                      <w:lang w:val="en-US" w:eastAsia="zh-CN"/>
                    </w:rPr>
                  </w:pPr>
                  <w:r>
                    <w:rPr>
                      <w:rFonts w:hint="eastAsia"/>
                      <w:color w:val="auto"/>
                      <w:kern w:val="0"/>
                      <w:sz w:val="18"/>
                      <w:szCs w:val="18"/>
                      <w:lang w:val="en-US" w:eastAsia="zh-CN"/>
                    </w:rPr>
                    <w:t>/</w:t>
                  </w:r>
                </w:p>
              </w:tc>
              <w:tc>
                <w:tcPr>
                  <w:tcW w:w="374" w:type="pct"/>
                  <w:vMerge w:val="continue"/>
                  <w:vAlign w:val="center"/>
                </w:tcPr>
                <w:p w14:paraId="616D9DAB">
                  <w:pPr>
                    <w:jc w:val="center"/>
                    <w:rPr>
                      <w:color w:val="auto"/>
                      <w:kern w:val="0"/>
                      <w:sz w:val="18"/>
                      <w:szCs w:val="18"/>
                    </w:rPr>
                  </w:pPr>
                </w:p>
              </w:tc>
              <w:tc>
                <w:tcPr>
                  <w:tcW w:w="793" w:type="pct"/>
                  <w:vAlign w:val="center"/>
                </w:tcPr>
                <w:p w14:paraId="5A45A2E4">
                  <w:pPr>
                    <w:jc w:val="center"/>
                    <w:rPr>
                      <w:rFonts w:hint="eastAsia" w:eastAsia="宋体"/>
                      <w:color w:val="auto"/>
                      <w:kern w:val="0"/>
                      <w:sz w:val="18"/>
                      <w:szCs w:val="18"/>
                      <w:lang w:val="en-US" w:eastAsia="zh-CN"/>
                    </w:rPr>
                  </w:pPr>
                  <w:r>
                    <w:rPr>
                      <w:rFonts w:hint="eastAsia"/>
                      <w:color w:val="auto"/>
                      <w:kern w:val="0"/>
                      <w:sz w:val="18"/>
                      <w:szCs w:val="18"/>
                      <w:lang w:val="en-US" w:eastAsia="zh-CN"/>
                    </w:rPr>
                    <w:t>/</w:t>
                  </w:r>
                </w:p>
              </w:tc>
              <w:tc>
                <w:tcPr>
                  <w:tcW w:w="706" w:type="pct"/>
                  <w:vAlign w:val="center"/>
                </w:tcPr>
                <w:p w14:paraId="005B81AB">
                  <w:pPr>
                    <w:jc w:val="center"/>
                    <w:rPr>
                      <w:color w:val="auto"/>
                      <w:kern w:val="0"/>
                      <w:sz w:val="18"/>
                      <w:szCs w:val="18"/>
                    </w:rPr>
                  </w:pPr>
                  <w:r>
                    <w:rPr>
                      <w:rFonts w:hint="eastAsia"/>
                      <w:color w:val="auto"/>
                      <w:kern w:val="0"/>
                      <w:sz w:val="18"/>
                      <w:szCs w:val="18"/>
                    </w:rPr>
                    <w:t>边界外浓度最高点</w:t>
                  </w:r>
                </w:p>
              </w:tc>
              <w:tc>
                <w:tcPr>
                  <w:tcW w:w="1147" w:type="pct"/>
                  <w:vMerge w:val="restart"/>
                  <w:vAlign w:val="center"/>
                </w:tcPr>
                <w:p w14:paraId="114330D9">
                  <w:pPr>
                    <w:jc w:val="center"/>
                    <w:rPr>
                      <w:rFonts w:hint="eastAsia" w:eastAsia="宋体"/>
                      <w:color w:val="auto"/>
                      <w:kern w:val="0"/>
                      <w:sz w:val="18"/>
                      <w:szCs w:val="18"/>
                      <w:lang w:eastAsia="zh-CN"/>
                    </w:rPr>
                  </w:pPr>
                  <w:r>
                    <w:rPr>
                      <w:rFonts w:hint="eastAsia"/>
                      <w:color w:val="auto"/>
                      <w:kern w:val="0"/>
                      <w:sz w:val="18"/>
                      <w:szCs w:val="18"/>
                    </w:rPr>
                    <w:t>《石油化学工业污染物排放标准》</w:t>
                  </w:r>
                  <w:r>
                    <w:rPr>
                      <w:rFonts w:hint="eastAsia"/>
                      <w:color w:val="auto"/>
                      <w:kern w:val="0"/>
                      <w:sz w:val="18"/>
                      <w:szCs w:val="18"/>
                      <w:lang w:eastAsia="zh-CN"/>
                    </w:rPr>
                    <w:t>（</w:t>
                  </w:r>
                  <w:r>
                    <w:rPr>
                      <w:rFonts w:hint="eastAsia"/>
                      <w:color w:val="auto"/>
                      <w:kern w:val="0"/>
                      <w:sz w:val="18"/>
                      <w:szCs w:val="18"/>
                    </w:rPr>
                    <w:t>GB 31571-2015</w:t>
                  </w:r>
                  <w:r>
                    <w:rPr>
                      <w:rFonts w:hint="eastAsia"/>
                      <w:color w:val="auto"/>
                      <w:kern w:val="0"/>
                      <w:sz w:val="18"/>
                      <w:szCs w:val="18"/>
                      <w:lang w:eastAsia="zh-CN"/>
                    </w:rPr>
                    <w:t>）</w:t>
                  </w:r>
                </w:p>
              </w:tc>
            </w:tr>
            <w:tr w14:paraId="6F89DB9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705" w:type="pct"/>
                  <w:vAlign w:val="center"/>
                </w:tcPr>
                <w:p w14:paraId="705D5B18">
                  <w:pPr>
                    <w:jc w:val="center"/>
                    <w:rPr>
                      <w:rFonts w:hint="default" w:eastAsia="宋体"/>
                      <w:color w:val="auto"/>
                      <w:kern w:val="0"/>
                      <w:sz w:val="18"/>
                      <w:szCs w:val="18"/>
                      <w:lang w:val="en-US" w:eastAsia="zh-CN"/>
                    </w:rPr>
                  </w:pPr>
                  <w:r>
                    <w:rPr>
                      <w:rFonts w:hint="eastAsia"/>
                      <w:color w:val="auto"/>
                      <w:kern w:val="0"/>
                      <w:sz w:val="18"/>
                      <w:szCs w:val="18"/>
                      <w:lang w:val="en-US" w:eastAsia="zh-CN"/>
                    </w:rPr>
                    <w:t>乙二醇*</w:t>
                  </w:r>
                </w:p>
              </w:tc>
              <w:tc>
                <w:tcPr>
                  <w:tcW w:w="567" w:type="pct"/>
                  <w:vAlign w:val="center"/>
                </w:tcPr>
                <w:p w14:paraId="2B6A9C37">
                  <w:pPr>
                    <w:jc w:val="center"/>
                    <w:rPr>
                      <w:rFonts w:hint="default" w:eastAsia="宋体"/>
                      <w:color w:val="auto"/>
                      <w:kern w:val="0"/>
                      <w:sz w:val="18"/>
                      <w:szCs w:val="18"/>
                      <w:lang w:val="en-US" w:eastAsia="zh-CN"/>
                    </w:rPr>
                  </w:pPr>
                  <w:r>
                    <w:rPr>
                      <w:rFonts w:hint="eastAsia"/>
                      <w:color w:val="auto"/>
                      <w:kern w:val="0"/>
                      <w:sz w:val="18"/>
                      <w:szCs w:val="18"/>
                      <w:lang w:val="en-US" w:eastAsia="zh-CN"/>
                    </w:rPr>
                    <w:t>50</w:t>
                  </w:r>
                </w:p>
              </w:tc>
              <w:tc>
                <w:tcPr>
                  <w:tcW w:w="705" w:type="pct"/>
                  <w:vAlign w:val="center"/>
                </w:tcPr>
                <w:p w14:paraId="16915BEC">
                  <w:pPr>
                    <w:jc w:val="center"/>
                    <w:rPr>
                      <w:rFonts w:hint="eastAsia" w:eastAsia="宋体"/>
                      <w:color w:val="auto"/>
                      <w:kern w:val="0"/>
                      <w:sz w:val="18"/>
                      <w:szCs w:val="18"/>
                      <w:lang w:val="en-US" w:eastAsia="zh-CN"/>
                    </w:rPr>
                  </w:pPr>
                  <w:r>
                    <w:rPr>
                      <w:rFonts w:hint="eastAsia"/>
                      <w:color w:val="auto"/>
                      <w:kern w:val="0"/>
                      <w:sz w:val="18"/>
                      <w:szCs w:val="18"/>
                      <w:lang w:val="en-US" w:eastAsia="zh-CN"/>
                    </w:rPr>
                    <w:t>/</w:t>
                  </w:r>
                </w:p>
              </w:tc>
              <w:tc>
                <w:tcPr>
                  <w:tcW w:w="374" w:type="pct"/>
                  <w:vMerge w:val="continue"/>
                  <w:vAlign w:val="center"/>
                </w:tcPr>
                <w:p w14:paraId="3A8E6551">
                  <w:pPr>
                    <w:jc w:val="center"/>
                    <w:rPr>
                      <w:color w:val="auto"/>
                      <w:kern w:val="0"/>
                      <w:sz w:val="18"/>
                      <w:szCs w:val="18"/>
                    </w:rPr>
                  </w:pPr>
                </w:p>
              </w:tc>
              <w:tc>
                <w:tcPr>
                  <w:tcW w:w="793" w:type="pct"/>
                  <w:vAlign w:val="center"/>
                </w:tcPr>
                <w:p w14:paraId="15EBB4AB">
                  <w:pPr>
                    <w:jc w:val="center"/>
                    <w:rPr>
                      <w:rFonts w:hint="eastAsia" w:eastAsia="宋体"/>
                      <w:color w:val="auto"/>
                      <w:kern w:val="0"/>
                      <w:sz w:val="18"/>
                      <w:szCs w:val="18"/>
                      <w:lang w:val="en-US" w:eastAsia="zh-CN"/>
                    </w:rPr>
                  </w:pPr>
                  <w:r>
                    <w:rPr>
                      <w:rFonts w:hint="eastAsia"/>
                      <w:color w:val="auto"/>
                      <w:kern w:val="0"/>
                      <w:sz w:val="18"/>
                      <w:szCs w:val="18"/>
                      <w:lang w:val="en-US" w:eastAsia="zh-CN"/>
                    </w:rPr>
                    <w:t>/</w:t>
                  </w:r>
                </w:p>
              </w:tc>
              <w:tc>
                <w:tcPr>
                  <w:tcW w:w="706" w:type="pct"/>
                  <w:vAlign w:val="center"/>
                </w:tcPr>
                <w:p w14:paraId="250C76CB">
                  <w:pPr>
                    <w:jc w:val="center"/>
                    <w:rPr>
                      <w:color w:val="auto"/>
                      <w:kern w:val="0"/>
                      <w:sz w:val="18"/>
                      <w:szCs w:val="18"/>
                    </w:rPr>
                  </w:pPr>
                  <w:r>
                    <w:rPr>
                      <w:rFonts w:hint="eastAsia"/>
                      <w:color w:val="auto"/>
                      <w:kern w:val="0"/>
                      <w:sz w:val="18"/>
                      <w:szCs w:val="18"/>
                    </w:rPr>
                    <w:t>边界外浓度最高点</w:t>
                  </w:r>
                </w:p>
              </w:tc>
              <w:tc>
                <w:tcPr>
                  <w:tcW w:w="1147" w:type="pct"/>
                  <w:vMerge w:val="continue"/>
                  <w:vAlign w:val="center"/>
                </w:tcPr>
                <w:p w14:paraId="1A8D8204">
                  <w:pPr>
                    <w:jc w:val="center"/>
                    <w:rPr>
                      <w:color w:val="auto"/>
                      <w:kern w:val="0"/>
                      <w:sz w:val="18"/>
                      <w:szCs w:val="18"/>
                    </w:rPr>
                  </w:pPr>
                </w:p>
              </w:tc>
            </w:tr>
            <w:tr w14:paraId="52F2E5E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705" w:type="pct"/>
                  <w:vAlign w:val="center"/>
                </w:tcPr>
                <w:p w14:paraId="0A3D075D">
                  <w:pPr>
                    <w:jc w:val="center"/>
                    <w:rPr>
                      <w:color w:val="auto"/>
                      <w:kern w:val="0"/>
                      <w:sz w:val="18"/>
                      <w:szCs w:val="18"/>
                    </w:rPr>
                  </w:pPr>
                  <w:r>
                    <w:rPr>
                      <w:rFonts w:hint="eastAsia"/>
                      <w:color w:val="auto"/>
                      <w:kern w:val="0"/>
                      <w:sz w:val="18"/>
                      <w:szCs w:val="18"/>
                    </w:rPr>
                    <w:t>氨</w:t>
                  </w:r>
                </w:p>
              </w:tc>
              <w:tc>
                <w:tcPr>
                  <w:tcW w:w="567" w:type="pct"/>
                  <w:vAlign w:val="center"/>
                </w:tcPr>
                <w:p w14:paraId="6DE1F5BF">
                  <w:pPr>
                    <w:jc w:val="center"/>
                    <w:rPr>
                      <w:color w:val="auto"/>
                      <w:kern w:val="0"/>
                      <w:sz w:val="18"/>
                      <w:szCs w:val="18"/>
                    </w:rPr>
                  </w:pPr>
                  <w:r>
                    <w:rPr>
                      <w:rFonts w:hint="eastAsia"/>
                      <w:color w:val="auto"/>
                      <w:kern w:val="0"/>
                      <w:sz w:val="18"/>
                      <w:szCs w:val="18"/>
                    </w:rPr>
                    <w:t>/</w:t>
                  </w:r>
                </w:p>
              </w:tc>
              <w:tc>
                <w:tcPr>
                  <w:tcW w:w="705" w:type="pct"/>
                  <w:vAlign w:val="center"/>
                </w:tcPr>
                <w:p w14:paraId="2DA14D65">
                  <w:pPr>
                    <w:jc w:val="center"/>
                    <w:rPr>
                      <w:color w:val="auto"/>
                      <w:kern w:val="0"/>
                      <w:sz w:val="18"/>
                      <w:szCs w:val="18"/>
                    </w:rPr>
                  </w:pPr>
                  <w:r>
                    <w:rPr>
                      <w:rFonts w:hint="eastAsia"/>
                      <w:color w:val="auto"/>
                      <w:kern w:val="0"/>
                      <w:sz w:val="18"/>
                      <w:szCs w:val="18"/>
                    </w:rPr>
                    <w:t>4.9</w:t>
                  </w:r>
                  <w:r>
                    <w:rPr>
                      <w:rFonts w:hint="eastAsia"/>
                      <w:color w:val="auto"/>
                      <w:sz w:val="18"/>
                      <w:szCs w:val="18"/>
                    </w:rPr>
                    <w:t>（15m）</w:t>
                  </w:r>
                </w:p>
              </w:tc>
              <w:tc>
                <w:tcPr>
                  <w:tcW w:w="374" w:type="pct"/>
                  <w:vMerge w:val="continue"/>
                  <w:vAlign w:val="center"/>
                </w:tcPr>
                <w:p w14:paraId="2657AFC8">
                  <w:pPr>
                    <w:jc w:val="center"/>
                    <w:rPr>
                      <w:color w:val="auto"/>
                      <w:kern w:val="0"/>
                      <w:sz w:val="18"/>
                      <w:szCs w:val="18"/>
                    </w:rPr>
                  </w:pPr>
                </w:p>
              </w:tc>
              <w:tc>
                <w:tcPr>
                  <w:tcW w:w="793" w:type="pct"/>
                  <w:vAlign w:val="center"/>
                </w:tcPr>
                <w:p w14:paraId="3DE0D9BB">
                  <w:pPr>
                    <w:jc w:val="center"/>
                    <w:rPr>
                      <w:color w:val="auto"/>
                      <w:kern w:val="0"/>
                      <w:sz w:val="18"/>
                      <w:szCs w:val="18"/>
                    </w:rPr>
                  </w:pPr>
                  <w:r>
                    <w:rPr>
                      <w:rFonts w:hint="eastAsia"/>
                      <w:color w:val="auto"/>
                      <w:kern w:val="0"/>
                      <w:sz w:val="18"/>
                      <w:szCs w:val="18"/>
                    </w:rPr>
                    <w:t>1.5</w:t>
                  </w:r>
                </w:p>
              </w:tc>
              <w:tc>
                <w:tcPr>
                  <w:tcW w:w="706" w:type="pct"/>
                  <w:vAlign w:val="center"/>
                </w:tcPr>
                <w:p w14:paraId="09F568B3">
                  <w:pPr>
                    <w:jc w:val="center"/>
                    <w:rPr>
                      <w:color w:val="auto"/>
                      <w:kern w:val="0"/>
                      <w:sz w:val="18"/>
                      <w:szCs w:val="18"/>
                    </w:rPr>
                  </w:pPr>
                  <w:r>
                    <w:rPr>
                      <w:rFonts w:hint="eastAsia"/>
                      <w:color w:val="auto"/>
                      <w:kern w:val="0"/>
                      <w:sz w:val="18"/>
                      <w:szCs w:val="18"/>
                    </w:rPr>
                    <w:t>边界外浓度最高点</w:t>
                  </w:r>
                </w:p>
              </w:tc>
              <w:tc>
                <w:tcPr>
                  <w:tcW w:w="1147" w:type="pct"/>
                  <w:vAlign w:val="center"/>
                </w:tcPr>
                <w:p w14:paraId="3404DC42">
                  <w:pPr>
                    <w:jc w:val="center"/>
                    <w:rPr>
                      <w:color w:val="auto"/>
                      <w:kern w:val="0"/>
                      <w:sz w:val="18"/>
                      <w:szCs w:val="18"/>
                    </w:rPr>
                  </w:pPr>
                  <w:r>
                    <w:rPr>
                      <w:rFonts w:hint="eastAsia"/>
                      <w:color w:val="auto"/>
                      <w:kern w:val="0"/>
                      <w:sz w:val="18"/>
                      <w:szCs w:val="18"/>
                    </w:rPr>
                    <w:t>《恶臭污染物排放标准》（GB 14554-93）</w:t>
                  </w:r>
                </w:p>
              </w:tc>
            </w:tr>
            <w:bookmarkEnd w:id="14"/>
          </w:tbl>
          <w:p w14:paraId="0BB2D79B">
            <w:pPr>
              <w:adjustRightInd w:val="0"/>
              <w:snapToGrid w:val="0"/>
              <w:rPr>
                <w:color w:val="auto"/>
                <w:sz w:val="18"/>
                <w:szCs w:val="18"/>
              </w:rPr>
            </w:pPr>
            <w:r>
              <w:rPr>
                <w:rFonts w:hint="eastAsia"/>
                <w:color w:val="auto"/>
                <w:sz w:val="18"/>
                <w:szCs w:val="18"/>
              </w:rPr>
              <w:t>*待国家污染物监测方法标准发布后实施</w:t>
            </w:r>
          </w:p>
          <w:p w14:paraId="0560BD00">
            <w:pPr>
              <w:adjustRightInd w:val="0"/>
              <w:snapToGrid w:val="0"/>
              <w:spacing w:line="500" w:lineRule="exact"/>
              <w:ind w:firstLine="422" w:firstLineChars="200"/>
              <w:rPr>
                <w:b/>
                <w:color w:val="auto"/>
                <w:szCs w:val="21"/>
              </w:rPr>
            </w:pPr>
            <w:r>
              <w:rPr>
                <w:b/>
                <w:color w:val="auto"/>
                <w:szCs w:val="21"/>
              </w:rPr>
              <w:t>2.</w:t>
            </w:r>
            <w:r>
              <w:rPr>
                <w:rFonts w:hint="eastAsia"/>
                <w:b/>
                <w:color w:val="auto"/>
                <w:szCs w:val="21"/>
              </w:rPr>
              <w:t>废水</w:t>
            </w:r>
            <w:r>
              <w:rPr>
                <w:b/>
                <w:color w:val="auto"/>
                <w:szCs w:val="21"/>
              </w:rPr>
              <w:t>排放标准</w:t>
            </w:r>
          </w:p>
          <w:p w14:paraId="41E1714F">
            <w:pPr>
              <w:adjustRightInd w:val="0"/>
              <w:snapToGrid w:val="0"/>
              <w:spacing w:line="500" w:lineRule="exact"/>
              <w:ind w:firstLine="420" w:firstLineChars="200"/>
              <w:rPr>
                <w:color w:val="auto"/>
                <w:szCs w:val="21"/>
              </w:rPr>
            </w:pPr>
            <w:r>
              <w:rPr>
                <w:rFonts w:hint="eastAsia"/>
                <w:color w:val="auto"/>
                <w:szCs w:val="21"/>
              </w:rPr>
              <w:t>本项目废水</w:t>
            </w:r>
            <w:r>
              <w:rPr>
                <w:rFonts w:hint="eastAsia"/>
                <w:color w:val="auto"/>
              </w:rPr>
              <w:t>经厂内污水处理站处理后，通过生产污水排口D</w:t>
            </w:r>
            <w:r>
              <w:rPr>
                <w:color w:val="auto"/>
              </w:rPr>
              <w:t>W001</w:t>
            </w:r>
            <w:r>
              <w:rPr>
                <w:rFonts w:hint="eastAsia"/>
                <w:color w:val="auto"/>
              </w:rPr>
              <w:t>接管至连云港石化基地工业废水综合治理中心（责任主体为江苏方洋水务有限公司）常规线污水处理区，处理后送至连云港石化基地工业废水综合治理中心再生水处理区（一期）污水再生水处理线处理后</w:t>
            </w:r>
            <w:r>
              <w:rPr>
                <w:color w:val="auto"/>
              </w:rPr>
              <w:t>70%回用，剩余30%浓水进入连云港石化基地工业废水综合治理中心RO浓水处理区（一期）污水RO浓水处理线处理满足要求后，通过徐</w:t>
            </w:r>
            <w:r>
              <w:rPr>
                <w:rFonts w:hint="eastAsia"/>
                <w:color w:val="auto"/>
              </w:rPr>
              <w:t>圩新区达标尾水排海工程深海排放</w:t>
            </w:r>
            <w:r>
              <w:rPr>
                <w:rFonts w:hint="eastAsia"/>
                <w:color w:val="auto"/>
                <w:szCs w:val="21"/>
              </w:rPr>
              <w:t>，具体标准值如下。</w:t>
            </w:r>
          </w:p>
          <w:p w14:paraId="46CC3099">
            <w:pPr>
              <w:snapToGrid w:val="0"/>
              <w:spacing w:line="500" w:lineRule="exact"/>
              <w:jc w:val="center"/>
              <w:rPr>
                <w:b/>
                <w:color w:val="auto"/>
                <w:szCs w:val="21"/>
              </w:rPr>
            </w:pPr>
            <w:r>
              <w:rPr>
                <w:b/>
                <w:color w:val="auto"/>
                <w:szCs w:val="21"/>
              </w:rPr>
              <w:t>表3-</w:t>
            </w:r>
            <w:r>
              <w:rPr>
                <w:rFonts w:hint="eastAsia"/>
                <w:b/>
                <w:color w:val="auto"/>
                <w:szCs w:val="21"/>
              </w:rPr>
              <w:t>3</w:t>
            </w:r>
            <w:r>
              <w:rPr>
                <w:b/>
                <w:color w:val="auto"/>
                <w:szCs w:val="21"/>
              </w:rPr>
              <w:t xml:space="preserve">  </w:t>
            </w:r>
            <w:r>
              <w:rPr>
                <w:rFonts w:hint="eastAsia"/>
                <w:b/>
                <w:color w:val="auto"/>
                <w:szCs w:val="21"/>
              </w:rPr>
              <w:t>本项目废水污染物排放标准限值（mg/L）</w:t>
            </w:r>
          </w:p>
          <w:tbl>
            <w:tblPr>
              <w:tblStyle w:val="21"/>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108" w:type="dxa"/>
                <w:bottom w:w="57" w:type="dxa"/>
                <w:right w:w="108" w:type="dxa"/>
              </w:tblCellMar>
            </w:tblPr>
            <w:tblGrid>
              <w:gridCol w:w="2667"/>
              <w:gridCol w:w="2669"/>
              <w:gridCol w:w="2668"/>
            </w:tblGrid>
            <w:tr w14:paraId="705085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cantSplit/>
                <w:trHeight w:val="20" w:hRule="atLeast"/>
                <w:jc w:val="center"/>
              </w:trPr>
              <w:tc>
                <w:tcPr>
                  <w:tcW w:w="1666" w:type="pct"/>
                  <w:vAlign w:val="center"/>
                </w:tcPr>
                <w:p w14:paraId="568F7A76">
                  <w:pPr>
                    <w:adjustRightInd w:val="0"/>
                    <w:snapToGrid w:val="0"/>
                    <w:jc w:val="center"/>
                    <w:rPr>
                      <w:b/>
                      <w:bCs/>
                      <w:color w:val="auto"/>
                      <w:sz w:val="18"/>
                      <w:szCs w:val="18"/>
                    </w:rPr>
                  </w:pPr>
                  <w:r>
                    <w:rPr>
                      <w:rFonts w:hint="eastAsia"/>
                      <w:b/>
                      <w:bCs/>
                      <w:color w:val="auto"/>
                      <w:sz w:val="18"/>
                      <w:szCs w:val="18"/>
                    </w:rPr>
                    <w:t>污染物名称</w:t>
                  </w:r>
                </w:p>
              </w:tc>
              <w:tc>
                <w:tcPr>
                  <w:tcW w:w="1667" w:type="pct"/>
                  <w:vAlign w:val="center"/>
                </w:tcPr>
                <w:p w14:paraId="52D84712">
                  <w:pPr>
                    <w:adjustRightInd w:val="0"/>
                    <w:snapToGrid w:val="0"/>
                    <w:jc w:val="center"/>
                    <w:rPr>
                      <w:b/>
                      <w:bCs/>
                      <w:color w:val="auto"/>
                      <w:sz w:val="18"/>
                      <w:szCs w:val="18"/>
                    </w:rPr>
                  </w:pPr>
                  <w:r>
                    <w:rPr>
                      <w:rFonts w:hint="eastAsia"/>
                      <w:b/>
                      <w:bCs/>
                      <w:color w:val="auto"/>
                      <w:sz w:val="18"/>
                      <w:szCs w:val="18"/>
                    </w:rPr>
                    <w:t>接管标准</w:t>
                  </w:r>
                </w:p>
              </w:tc>
              <w:tc>
                <w:tcPr>
                  <w:tcW w:w="1666" w:type="pct"/>
                  <w:vAlign w:val="center"/>
                </w:tcPr>
                <w:p w14:paraId="5959D9BB">
                  <w:pPr>
                    <w:adjustRightInd w:val="0"/>
                    <w:snapToGrid w:val="0"/>
                    <w:jc w:val="center"/>
                    <w:rPr>
                      <w:b/>
                      <w:bCs/>
                      <w:color w:val="auto"/>
                      <w:sz w:val="18"/>
                      <w:szCs w:val="18"/>
                    </w:rPr>
                  </w:pPr>
                  <w:r>
                    <w:rPr>
                      <w:rFonts w:hint="eastAsia"/>
                      <w:b/>
                      <w:bCs/>
                      <w:color w:val="auto"/>
                      <w:sz w:val="18"/>
                      <w:szCs w:val="18"/>
                    </w:rPr>
                    <w:t>标准来源</w:t>
                  </w:r>
                </w:p>
              </w:tc>
            </w:tr>
            <w:tr w14:paraId="718E1B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cantSplit/>
                <w:trHeight w:val="20" w:hRule="atLeast"/>
                <w:jc w:val="center"/>
              </w:trPr>
              <w:tc>
                <w:tcPr>
                  <w:tcW w:w="1666" w:type="pct"/>
                  <w:vAlign w:val="center"/>
                </w:tcPr>
                <w:p w14:paraId="5C1AD67F">
                  <w:pPr>
                    <w:adjustRightInd w:val="0"/>
                    <w:snapToGrid w:val="0"/>
                    <w:jc w:val="center"/>
                    <w:rPr>
                      <w:color w:val="auto"/>
                      <w:sz w:val="18"/>
                      <w:szCs w:val="18"/>
                    </w:rPr>
                  </w:pPr>
                  <w:r>
                    <w:rPr>
                      <w:rFonts w:hint="eastAsia"/>
                      <w:color w:val="auto"/>
                      <w:sz w:val="18"/>
                      <w:szCs w:val="18"/>
                    </w:rPr>
                    <w:t>pH</w:t>
                  </w:r>
                </w:p>
              </w:tc>
              <w:tc>
                <w:tcPr>
                  <w:tcW w:w="1667" w:type="pct"/>
                  <w:vAlign w:val="center"/>
                </w:tcPr>
                <w:p w14:paraId="7008F2CE">
                  <w:pPr>
                    <w:adjustRightInd w:val="0"/>
                    <w:snapToGrid w:val="0"/>
                    <w:jc w:val="center"/>
                    <w:rPr>
                      <w:color w:val="auto"/>
                      <w:sz w:val="18"/>
                      <w:szCs w:val="18"/>
                    </w:rPr>
                  </w:pPr>
                  <w:r>
                    <w:rPr>
                      <w:rFonts w:hint="eastAsia"/>
                      <w:color w:val="auto"/>
                      <w:sz w:val="18"/>
                      <w:szCs w:val="18"/>
                    </w:rPr>
                    <w:t>6</w:t>
                  </w:r>
                  <w:r>
                    <w:rPr>
                      <w:color w:val="auto"/>
                      <w:sz w:val="18"/>
                      <w:szCs w:val="18"/>
                    </w:rPr>
                    <w:t>~9</w:t>
                  </w:r>
                </w:p>
              </w:tc>
              <w:tc>
                <w:tcPr>
                  <w:tcW w:w="1666" w:type="pct"/>
                  <w:vMerge w:val="restart"/>
                  <w:vAlign w:val="center"/>
                </w:tcPr>
                <w:p w14:paraId="0CA3BFC0">
                  <w:pPr>
                    <w:adjustRightInd w:val="0"/>
                    <w:snapToGrid w:val="0"/>
                    <w:jc w:val="center"/>
                    <w:rPr>
                      <w:color w:val="auto"/>
                      <w:sz w:val="18"/>
                      <w:szCs w:val="18"/>
                    </w:rPr>
                  </w:pPr>
                  <w:r>
                    <w:rPr>
                      <w:rFonts w:hint="eastAsia"/>
                      <w:color w:val="auto"/>
                      <w:sz w:val="18"/>
                      <w:szCs w:val="18"/>
                    </w:rPr>
                    <w:t>瑞兆科公司与连云港石化基地工业废水综合治理中心商定的接管协议</w:t>
                  </w:r>
                </w:p>
              </w:tc>
            </w:tr>
            <w:tr w14:paraId="59DB5E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cantSplit/>
                <w:trHeight w:val="20" w:hRule="atLeast"/>
                <w:jc w:val="center"/>
              </w:trPr>
              <w:tc>
                <w:tcPr>
                  <w:tcW w:w="1666" w:type="pct"/>
                  <w:vAlign w:val="center"/>
                </w:tcPr>
                <w:p w14:paraId="4C71C573">
                  <w:pPr>
                    <w:adjustRightInd w:val="0"/>
                    <w:snapToGrid w:val="0"/>
                    <w:jc w:val="center"/>
                    <w:rPr>
                      <w:color w:val="auto"/>
                      <w:sz w:val="18"/>
                      <w:szCs w:val="18"/>
                    </w:rPr>
                  </w:pPr>
                  <w:r>
                    <w:rPr>
                      <w:rFonts w:hint="eastAsia"/>
                      <w:color w:val="auto"/>
                      <w:sz w:val="18"/>
                      <w:szCs w:val="18"/>
                    </w:rPr>
                    <w:t>COD</w:t>
                  </w:r>
                </w:p>
              </w:tc>
              <w:tc>
                <w:tcPr>
                  <w:tcW w:w="1667" w:type="pct"/>
                  <w:vAlign w:val="center"/>
                </w:tcPr>
                <w:p w14:paraId="43B0B4A1">
                  <w:pPr>
                    <w:adjustRightInd w:val="0"/>
                    <w:snapToGrid w:val="0"/>
                    <w:jc w:val="center"/>
                    <w:rPr>
                      <w:color w:val="auto"/>
                      <w:sz w:val="18"/>
                      <w:szCs w:val="18"/>
                    </w:rPr>
                  </w:pPr>
                  <w:r>
                    <w:rPr>
                      <w:rFonts w:hint="eastAsia"/>
                      <w:color w:val="auto"/>
                      <w:sz w:val="18"/>
                      <w:szCs w:val="18"/>
                    </w:rPr>
                    <w:t>5</w:t>
                  </w:r>
                  <w:r>
                    <w:rPr>
                      <w:color w:val="auto"/>
                      <w:sz w:val="18"/>
                      <w:szCs w:val="18"/>
                    </w:rPr>
                    <w:t>00</w:t>
                  </w:r>
                </w:p>
              </w:tc>
              <w:tc>
                <w:tcPr>
                  <w:tcW w:w="1666" w:type="pct"/>
                  <w:vMerge w:val="continue"/>
                  <w:vAlign w:val="center"/>
                </w:tcPr>
                <w:p w14:paraId="6D0E54E2">
                  <w:pPr>
                    <w:adjustRightInd w:val="0"/>
                    <w:snapToGrid w:val="0"/>
                    <w:jc w:val="center"/>
                    <w:rPr>
                      <w:color w:val="auto"/>
                      <w:sz w:val="18"/>
                      <w:szCs w:val="18"/>
                    </w:rPr>
                  </w:pPr>
                </w:p>
              </w:tc>
            </w:tr>
            <w:tr w14:paraId="2FB20A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cantSplit/>
                <w:trHeight w:val="20" w:hRule="atLeast"/>
                <w:jc w:val="center"/>
              </w:trPr>
              <w:tc>
                <w:tcPr>
                  <w:tcW w:w="1666" w:type="pct"/>
                  <w:vAlign w:val="center"/>
                </w:tcPr>
                <w:p w14:paraId="4FC4829A">
                  <w:pPr>
                    <w:adjustRightInd w:val="0"/>
                    <w:snapToGrid w:val="0"/>
                    <w:jc w:val="center"/>
                    <w:rPr>
                      <w:color w:val="auto"/>
                      <w:sz w:val="18"/>
                      <w:szCs w:val="18"/>
                    </w:rPr>
                  </w:pPr>
                  <w:r>
                    <w:rPr>
                      <w:rFonts w:hint="eastAsia"/>
                      <w:color w:val="auto"/>
                      <w:sz w:val="18"/>
                      <w:szCs w:val="18"/>
                    </w:rPr>
                    <w:t>SS</w:t>
                  </w:r>
                </w:p>
              </w:tc>
              <w:tc>
                <w:tcPr>
                  <w:tcW w:w="1667" w:type="pct"/>
                  <w:vAlign w:val="center"/>
                </w:tcPr>
                <w:p w14:paraId="40D339B1">
                  <w:pPr>
                    <w:adjustRightInd w:val="0"/>
                    <w:snapToGrid w:val="0"/>
                    <w:jc w:val="center"/>
                    <w:rPr>
                      <w:color w:val="auto"/>
                      <w:sz w:val="18"/>
                      <w:szCs w:val="18"/>
                    </w:rPr>
                  </w:pPr>
                  <w:r>
                    <w:rPr>
                      <w:rFonts w:hint="eastAsia"/>
                      <w:color w:val="auto"/>
                      <w:sz w:val="18"/>
                      <w:szCs w:val="18"/>
                    </w:rPr>
                    <w:t>3</w:t>
                  </w:r>
                  <w:r>
                    <w:rPr>
                      <w:color w:val="auto"/>
                      <w:sz w:val="18"/>
                      <w:szCs w:val="18"/>
                    </w:rPr>
                    <w:t>00</w:t>
                  </w:r>
                </w:p>
              </w:tc>
              <w:tc>
                <w:tcPr>
                  <w:tcW w:w="1666" w:type="pct"/>
                  <w:vMerge w:val="continue"/>
                  <w:vAlign w:val="center"/>
                </w:tcPr>
                <w:p w14:paraId="02591CC9">
                  <w:pPr>
                    <w:adjustRightInd w:val="0"/>
                    <w:snapToGrid w:val="0"/>
                    <w:jc w:val="center"/>
                    <w:rPr>
                      <w:color w:val="auto"/>
                      <w:sz w:val="18"/>
                      <w:szCs w:val="18"/>
                    </w:rPr>
                  </w:pPr>
                </w:p>
              </w:tc>
            </w:tr>
            <w:tr w14:paraId="4F113B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cantSplit/>
                <w:trHeight w:val="20" w:hRule="atLeast"/>
                <w:jc w:val="center"/>
              </w:trPr>
              <w:tc>
                <w:tcPr>
                  <w:tcW w:w="1666" w:type="pct"/>
                  <w:vAlign w:val="center"/>
                </w:tcPr>
                <w:p w14:paraId="0F029C3A">
                  <w:pPr>
                    <w:adjustRightInd w:val="0"/>
                    <w:snapToGrid w:val="0"/>
                    <w:jc w:val="center"/>
                    <w:rPr>
                      <w:color w:val="auto"/>
                      <w:sz w:val="18"/>
                      <w:szCs w:val="18"/>
                    </w:rPr>
                  </w:pPr>
                  <w:r>
                    <w:rPr>
                      <w:rFonts w:hint="eastAsia"/>
                      <w:color w:val="auto"/>
                      <w:sz w:val="18"/>
                      <w:szCs w:val="18"/>
                    </w:rPr>
                    <w:t>氨氮</w:t>
                  </w:r>
                </w:p>
              </w:tc>
              <w:tc>
                <w:tcPr>
                  <w:tcW w:w="1667" w:type="pct"/>
                  <w:vAlign w:val="center"/>
                </w:tcPr>
                <w:p w14:paraId="723016C3">
                  <w:pPr>
                    <w:adjustRightInd w:val="0"/>
                    <w:snapToGrid w:val="0"/>
                    <w:jc w:val="center"/>
                    <w:rPr>
                      <w:color w:val="auto"/>
                      <w:sz w:val="18"/>
                      <w:szCs w:val="18"/>
                    </w:rPr>
                  </w:pPr>
                  <w:r>
                    <w:rPr>
                      <w:rFonts w:hint="eastAsia"/>
                      <w:color w:val="auto"/>
                      <w:sz w:val="18"/>
                      <w:szCs w:val="18"/>
                    </w:rPr>
                    <w:t>35</w:t>
                  </w:r>
                </w:p>
              </w:tc>
              <w:tc>
                <w:tcPr>
                  <w:tcW w:w="1666" w:type="pct"/>
                  <w:vMerge w:val="continue"/>
                  <w:vAlign w:val="center"/>
                </w:tcPr>
                <w:p w14:paraId="39E631CC">
                  <w:pPr>
                    <w:adjustRightInd w:val="0"/>
                    <w:snapToGrid w:val="0"/>
                    <w:jc w:val="center"/>
                    <w:rPr>
                      <w:color w:val="auto"/>
                      <w:sz w:val="18"/>
                      <w:szCs w:val="18"/>
                    </w:rPr>
                  </w:pPr>
                </w:p>
              </w:tc>
            </w:tr>
            <w:tr w14:paraId="770D8A1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cantSplit/>
                <w:trHeight w:val="20" w:hRule="atLeast"/>
                <w:jc w:val="center"/>
              </w:trPr>
              <w:tc>
                <w:tcPr>
                  <w:tcW w:w="1666" w:type="pct"/>
                  <w:vAlign w:val="center"/>
                </w:tcPr>
                <w:p w14:paraId="632FCF08">
                  <w:pPr>
                    <w:adjustRightInd w:val="0"/>
                    <w:snapToGrid w:val="0"/>
                    <w:jc w:val="center"/>
                    <w:rPr>
                      <w:color w:val="auto"/>
                      <w:sz w:val="18"/>
                      <w:szCs w:val="18"/>
                    </w:rPr>
                  </w:pPr>
                  <w:r>
                    <w:rPr>
                      <w:rFonts w:hint="eastAsia"/>
                      <w:color w:val="auto"/>
                      <w:sz w:val="18"/>
                      <w:szCs w:val="18"/>
                    </w:rPr>
                    <w:t>总氮</w:t>
                  </w:r>
                </w:p>
              </w:tc>
              <w:tc>
                <w:tcPr>
                  <w:tcW w:w="1667" w:type="pct"/>
                  <w:vAlign w:val="center"/>
                </w:tcPr>
                <w:p w14:paraId="3C266283">
                  <w:pPr>
                    <w:adjustRightInd w:val="0"/>
                    <w:snapToGrid w:val="0"/>
                    <w:jc w:val="center"/>
                    <w:rPr>
                      <w:color w:val="auto"/>
                      <w:sz w:val="18"/>
                      <w:szCs w:val="18"/>
                    </w:rPr>
                  </w:pPr>
                  <w:r>
                    <w:rPr>
                      <w:rFonts w:hint="eastAsia"/>
                      <w:color w:val="auto"/>
                      <w:sz w:val="18"/>
                      <w:szCs w:val="18"/>
                    </w:rPr>
                    <w:t>45</w:t>
                  </w:r>
                </w:p>
              </w:tc>
              <w:tc>
                <w:tcPr>
                  <w:tcW w:w="1666" w:type="pct"/>
                  <w:vMerge w:val="continue"/>
                  <w:vAlign w:val="center"/>
                </w:tcPr>
                <w:p w14:paraId="279E180E">
                  <w:pPr>
                    <w:adjustRightInd w:val="0"/>
                    <w:snapToGrid w:val="0"/>
                    <w:jc w:val="center"/>
                    <w:rPr>
                      <w:color w:val="auto"/>
                      <w:sz w:val="18"/>
                      <w:szCs w:val="18"/>
                    </w:rPr>
                  </w:pPr>
                </w:p>
              </w:tc>
            </w:tr>
            <w:tr w14:paraId="225AB2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cantSplit/>
                <w:trHeight w:val="20" w:hRule="atLeast"/>
                <w:jc w:val="center"/>
              </w:trPr>
              <w:tc>
                <w:tcPr>
                  <w:tcW w:w="1666" w:type="pct"/>
                  <w:vAlign w:val="center"/>
                </w:tcPr>
                <w:p w14:paraId="66CAEF46">
                  <w:pPr>
                    <w:adjustRightInd w:val="0"/>
                    <w:snapToGrid w:val="0"/>
                    <w:jc w:val="center"/>
                    <w:rPr>
                      <w:color w:val="auto"/>
                      <w:sz w:val="18"/>
                      <w:szCs w:val="18"/>
                    </w:rPr>
                  </w:pPr>
                  <w:r>
                    <w:rPr>
                      <w:rFonts w:hint="eastAsia"/>
                      <w:color w:val="auto"/>
                      <w:sz w:val="18"/>
                      <w:szCs w:val="18"/>
                    </w:rPr>
                    <w:t>总磷</w:t>
                  </w:r>
                </w:p>
              </w:tc>
              <w:tc>
                <w:tcPr>
                  <w:tcW w:w="1667" w:type="pct"/>
                  <w:vAlign w:val="center"/>
                </w:tcPr>
                <w:p w14:paraId="124A3210">
                  <w:pPr>
                    <w:adjustRightInd w:val="0"/>
                    <w:snapToGrid w:val="0"/>
                    <w:jc w:val="center"/>
                    <w:rPr>
                      <w:color w:val="auto"/>
                      <w:sz w:val="18"/>
                      <w:szCs w:val="18"/>
                    </w:rPr>
                  </w:pPr>
                  <w:r>
                    <w:rPr>
                      <w:rFonts w:hint="eastAsia"/>
                      <w:color w:val="auto"/>
                      <w:sz w:val="18"/>
                      <w:szCs w:val="18"/>
                    </w:rPr>
                    <w:t>5</w:t>
                  </w:r>
                </w:p>
              </w:tc>
              <w:tc>
                <w:tcPr>
                  <w:tcW w:w="1666" w:type="pct"/>
                  <w:vMerge w:val="continue"/>
                  <w:vAlign w:val="center"/>
                </w:tcPr>
                <w:p w14:paraId="436F5D4A">
                  <w:pPr>
                    <w:adjustRightInd w:val="0"/>
                    <w:snapToGrid w:val="0"/>
                    <w:jc w:val="center"/>
                    <w:rPr>
                      <w:color w:val="auto"/>
                      <w:sz w:val="18"/>
                      <w:szCs w:val="18"/>
                    </w:rPr>
                  </w:pPr>
                </w:p>
              </w:tc>
            </w:tr>
          </w:tbl>
          <w:p w14:paraId="2944449C">
            <w:pPr>
              <w:adjustRightInd w:val="0"/>
              <w:snapToGrid w:val="0"/>
              <w:spacing w:line="500" w:lineRule="exact"/>
              <w:ind w:firstLine="420" w:firstLineChars="200"/>
              <w:rPr>
                <w:rFonts w:hint="eastAsia" w:eastAsia="宋体"/>
                <w:color w:val="auto"/>
                <w:lang w:eastAsia="zh-CN"/>
              </w:rPr>
            </w:pPr>
            <w:r>
              <w:rPr>
                <w:rFonts w:hint="eastAsia"/>
                <w:color w:val="auto"/>
              </w:rPr>
              <w:t>工业废水综合治理中心排放标准</w:t>
            </w:r>
            <w:r>
              <w:rPr>
                <w:rFonts w:hint="eastAsia"/>
                <w:color w:val="auto"/>
                <w:lang w:eastAsia="zh-CN"/>
              </w:rPr>
              <w:t>：</w:t>
            </w:r>
          </w:p>
          <w:p w14:paraId="44924F07">
            <w:pPr>
              <w:adjustRightInd w:val="0"/>
              <w:snapToGrid w:val="0"/>
              <w:spacing w:line="500" w:lineRule="exact"/>
              <w:ind w:firstLine="420" w:firstLineChars="200"/>
              <w:rPr>
                <w:color w:val="auto"/>
              </w:rPr>
            </w:pPr>
            <w:r>
              <w:rPr>
                <w:rFonts w:hint="eastAsia"/>
                <w:color w:val="auto"/>
              </w:rPr>
              <w:t>根据《连云港石化基地工业废水综合治理中心优化提升项目环境影响评价报告》及批复要求，优化提升项目各污废水处理线污废水处理达标后最终经排海管道排入黄海。深海排放尾水执行《石油炼制工业污染物排放标准》（GB 31570-2015）水污染物特别排放限值（直接排放）、《石油化学工业污染物排放标准》（GB 31571-2015，含2024年修改单）水污染物特别排放限值（直接排放</w:t>
            </w:r>
            <w:r>
              <w:rPr>
                <w:rFonts w:hint="eastAsia"/>
                <w:color w:val="auto"/>
                <w:lang w:eastAsia="zh-CN"/>
              </w:rPr>
              <w:t>）</w:t>
            </w:r>
            <w:r>
              <w:rPr>
                <w:rFonts w:hint="eastAsia"/>
                <w:color w:val="auto"/>
              </w:rPr>
              <w:t>、《化学工业水污染物排放标准》（DB32/939-2020）及《城镇污水处理厂污染物排放标准》（GB18918-2002）一级A标准较严值。</w:t>
            </w:r>
          </w:p>
          <w:p w14:paraId="465CD45D">
            <w:pPr>
              <w:adjustRightInd w:val="0"/>
              <w:snapToGrid w:val="0"/>
              <w:spacing w:line="500" w:lineRule="exact"/>
              <w:ind w:firstLine="420" w:firstLineChars="200"/>
              <w:rPr>
                <w:color w:val="auto"/>
              </w:rPr>
            </w:pPr>
            <w:r>
              <w:rPr>
                <w:rFonts w:hint="eastAsia"/>
                <w:color w:val="auto"/>
              </w:rPr>
              <w:t>根据《关于连云港徐圩新区达标尾水排海工程水量、污染控制因子、浓度限值及最大允许排放量的确认函》及《连云港石化产业基地总体发展规划修编环境影响报告书》，循环冷却水（生产废水）RO浓水的处理出水浓度控制COD≤30mg/L。</w:t>
            </w:r>
          </w:p>
          <w:p w14:paraId="5B91AD21">
            <w:pPr>
              <w:adjustRightInd w:val="0"/>
              <w:snapToGrid w:val="0"/>
              <w:spacing w:line="500" w:lineRule="exact"/>
              <w:ind w:firstLine="420" w:firstLineChars="200"/>
              <w:rPr>
                <w:color w:val="auto"/>
              </w:rPr>
            </w:pPr>
            <w:r>
              <w:rPr>
                <w:rFonts w:hint="eastAsia"/>
                <w:color w:val="auto"/>
              </w:rPr>
              <w:t>具体标准值详见下表。</w:t>
            </w:r>
          </w:p>
          <w:p w14:paraId="07D39B3E">
            <w:pPr>
              <w:snapToGrid w:val="0"/>
              <w:spacing w:line="500" w:lineRule="exact"/>
              <w:jc w:val="center"/>
              <w:rPr>
                <w:b/>
                <w:color w:val="auto"/>
                <w:szCs w:val="21"/>
              </w:rPr>
            </w:pPr>
            <w:r>
              <w:rPr>
                <w:rFonts w:hint="eastAsia"/>
                <w:b/>
                <w:color w:val="auto"/>
                <w:szCs w:val="21"/>
              </w:rPr>
              <w:t>表3-</w:t>
            </w:r>
            <w:r>
              <w:rPr>
                <w:rFonts w:hint="eastAsia"/>
                <w:b/>
                <w:color w:val="auto"/>
                <w:szCs w:val="21"/>
                <w:lang w:val="en-US" w:eastAsia="zh-CN"/>
              </w:rPr>
              <w:t>4</w:t>
            </w:r>
            <w:r>
              <w:rPr>
                <w:rFonts w:hint="eastAsia"/>
                <w:b/>
                <w:color w:val="auto"/>
                <w:szCs w:val="21"/>
              </w:rPr>
              <w:t xml:space="preserve"> 工业废水综合治理中心生产污水污染物排放标准（单位：mg/L）</w:t>
            </w:r>
          </w:p>
          <w:tbl>
            <w:tblPr>
              <w:tblStyle w:val="21"/>
              <w:tblW w:w="499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108" w:type="dxa"/>
                <w:bottom w:w="57" w:type="dxa"/>
                <w:right w:w="108" w:type="dxa"/>
              </w:tblCellMar>
            </w:tblPr>
            <w:tblGrid>
              <w:gridCol w:w="4069"/>
              <w:gridCol w:w="3933"/>
            </w:tblGrid>
            <w:tr w14:paraId="218C1A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3" w:hRule="atLeast"/>
                <w:tblHeader/>
                <w:jc w:val="center"/>
              </w:trPr>
              <w:tc>
                <w:tcPr>
                  <w:tcW w:w="2542" w:type="pct"/>
                  <w:vAlign w:val="center"/>
                </w:tcPr>
                <w:p w14:paraId="3AFA418F">
                  <w:pPr>
                    <w:adjustRightInd w:val="0"/>
                    <w:snapToGrid w:val="0"/>
                    <w:jc w:val="center"/>
                    <w:rPr>
                      <w:color w:val="auto"/>
                      <w:sz w:val="18"/>
                      <w:szCs w:val="18"/>
                    </w:rPr>
                  </w:pPr>
                  <w:r>
                    <w:rPr>
                      <w:color w:val="auto"/>
                      <w:sz w:val="18"/>
                      <w:szCs w:val="18"/>
                    </w:rPr>
                    <w:t>污染物</w:t>
                  </w:r>
                </w:p>
              </w:tc>
              <w:tc>
                <w:tcPr>
                  <w:tcW w:w="2457" w:type="pct"/>
                  <w:vAlign w:val="center"/>
                </w:tcPr>
                <w:p w14:paraId="0C35B81A">
                  <w:pPr>
                    <w:adjustRightInd w:val="0"/>
                    <w:snapToGrid w:val="0"/>
                    <w:jc w:val="center"/>
                    <w:rPr>
                      <w:color w:val="auto"/>
                      <w:sz w:val="18"/>
                      <w:szCs w:val="18"/>
                    </w:rPr>
                  </w:pPr>
                  <w:r>
                    <w:rPr>
                      <w:color w:val="auto"/>
                      <w:sz w:val="18"/>
                      <w:szCs w:val="18"/>
                    </w:rPr>
                    <w:t>达标尾水排海工程排海标准</w:t>
                  </w:r>
                </w:p>
                <w:p w14:paraId="2CAAB04B">
                  <w:pPr>
                    <w:adjustRightInd w:val="0"/>
                    <w:snapToGrid w:val="0"/>
                    <w:jc w:val="center"/>
                    <w:rPr>
                      <w:color w:val="auto"/>
                      <w:sz w:val="18"/>
                      <w:szCs w:val="18"/>
                    </w:rPr>
                  </w:pPr>
                  <w:r>
                    <w:rPr>
                      <w:b/>
                      <w:color w:val="auto"/>
                      <w:sz w:val="18"/>
                      <w:szCs w:val="18"/>
                    </w:rPr>
                    <w:t>（生产污水处理线）</w:t>
                  </w:r>
                </w:p>
              </w:tc>
            </w:tr>
            <w:tr w14:paraId="43ADDAC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3" w:hRule="atLeast"/>
                <w:jc w:val="center"/>
              </w:trPr>
              <w:tc>
                <w:tcPr>
                  <w:tcW w:w="2542" w:type="pct"/>
                  <w:vAlign w:val="center"/>
                </w:tcPr>
                <w:p w14:paraId="1A45D1EA">
                  <w:pPr>
                    <w:adjustRightInd w:val="0"/>
                    <w:snapToGrid w:val="0"/>
                    <w:jc w:val="center"/>
                    <w:rPr>
                      <w:color w:val="auto"/>
                      <w:sz w:val="18"/>
                      <w:szCs w:val="18"/>
                    </w:rPr>
                  </w:pPr>
                  <w:r>
                    <w:rPr>
                      <w:color w:val="auto"/>
                      <w:sz w:val="18"/>
                      <w:szCs w:val="18"/>
                    </w:rPr>
                    <w:t>pH</w:t>
                  </w:r>
                </w:p>
              </w:tc>
              <w:tc>
                <w:tcPr>
                  <w:tcW w:w="2457" w:type="pct"/>
                  <w:vAlign w:val="center"/>
                </w:tcPr>
                <w:p w14:paraId="57964765">
                  <w:pPr>
                    <w:adjustRightInd w:val="0"/>
                    <w:snapToGrid w:val="0"/>
                    <w:jc w:val="center"/>
                    <w:rPr>
                      <w:color w:val="auto"/>
                      <w:sz w:val="18"/>
                      <w:szCs w:val="18"/>
                    </w:rPr>
                  </w:pPr>
                  <w:r>
                    <w:rPr>
                      <w:color w:val="auto"/>
                      <w:sz w:val="18"/>
                      <w:szCs w:val="18"/>
                    </w:rPr>
                    <w:t>6~9</w:t>
                  </w:r>
                </w:p>
              </w:tc>
            </w:tr>
            <w:tr w14:paraId="7C1580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3" w:hRule="atLeast"/>
                <w:jc w:val="center"/>
              </w:trPr>
              <w:tc>
                <w:tcPr>
                  <w:tcW w:w="2542" w:type="pct"/>
                  <w:vAlign w:val="center"/>
                </w:tcPr>
                <w:p w14:paraId="3B4870D2">
                  <w:pPr>
                    <w:adjustRightInd w:val="0"/>
                    <w:snapToGrid w:val="0"/>
                    <w:jc w:val="center"/>
                    <w:rPr>
                      <w:color w:val="auto"/>
                      <w:sz w:val="18"/>
                      <w:szCs w:val="18"/>
                    </w:rPr>
                  </w:pPr>
                  <w:r>
                    <w:rPr>
                      <w:color w:val="auto"/>
                      <w:sz w:val="18"/>
                      <w:szCs w:val="18"/>
                    </w:rPr>
                    <w:t>SS</w:t>
                  </w:r>
                </w:p>
              </w:tc>
              <w:tc>
                <w:tcPr>
                  <w:tcW w:w="2457" w:type="pct"/>
                  <w:vAlign w:val="center"/>
                </w:tcPr>
                <w:p w14:paraId="652ACE5D">
                  <w:pPr>
                    <w:adjustRightInd w:val="0"/>
                    <w:snapToGrid w:val="0"/>
                    <w:jc w:val="center"/>
                    <w:rPr>
                      <w:color w:val="auto"/>
                      <w:sz w:val="18"/>
                      <w:szCs w:val="18"/>
                    </w:rPr>
                  </w:pPr>
                  <w:r>
                    <w:rPr>
                      <w:color w:val="auto"/>
                      <w:sz w:val="18"/>
                      <w:szCs w:val="18"/>
                    </w:rPr>
                    <w:t>10</w:t>
                  </w:r>
                </w:p>
              </w:tc>
            </w:tr>
            <w:tr w14:paraId="233421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3" w:hRule="atLeast"/>
                <w:jc w:val="center"/>
              </w:trPr>
              <w:tc>
                <w:tcPr>
                  <w:tcW w:w="2542" w:type="pct"/>
                  <w:vAlign w:val="center"/>
                </w:tcPr>
                <w:p w14:paraId="4193A0E7">
                  <w:pPr>
                    <w:adjustRightInd w:val="0"/>
                    <w:snapToGrid w:val="0"/>
                    <w:jc w:val="center"/>
                    <w:rPr>
                      <w:color w:val="auto"/>
                      <w:sz w:val="18"/>
                      <w:szCs w:val="18"/>
                    </w:rPr>
                  </w:pPr>
                  <w:r>
                    <w:rPr>
                      <w:color w:val="auto"/>
                      <w:sz w:val="18"/>
                      <w:szCs w:val="18"/>
                    </w:rPr>
                    <w:t>COD</w:t>
                  </w:r>
                </w:p>
              </w:tc>
              <w:tc>
                <w:tcPr>
                  <w:tcW w:w="2457" w:type="pct"/>
                  <w:vAlign w:val="center"/>
                </w:tcPr>
                <w:p w14:paraId="29D592ED">
                  <w:pPr>
                    <w:adjustRightInd w:val="0"/>
                    <w:snapToGrid w:val="0"/>
                    <w:jc w:val="center"/>
                    <w:rPr>
                      <w:color w:val="auto"/>
                      <w:sz w:val="18"/>
                      <w:szCs w:val="18"/>
                      <w:vertAlign w:val="superscript"/>
                    </w:rPr>
                  </w:pPr>
                  <w:r>
                    <w:rPr>
                      <w:color w:val="auto"/>
                      <w:sz w:val="18"/>
                      <w:szCs w:val="18"/>
                    </w:rPr>
                    <w:t>50（年均浓度40）</w:t>
                  </w:r>
                </w:p>
              </w:tc>
            </w:tr>
            <w:tr w14:paraId="551CB8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3" w:hRule="atLeast"/>
                <w:jc w:val="center"/>
              </w:trPr>
              <w:tc>
                <w:tcPr>
                  <w:tcW w:w="2542" w:type="pct"/>
                  <w:vAlign w:val="center"/>
                </w:tcPr>
                <w:p w14:paraId="23F01FF1">
                  <w:pPr>
                    <w:adjustRightInd w:val="0"/>
                    <w:snapToGrid w:val="0"/>
                    <w:jc w:val="center"/>
                    <w:rPr>
                      <w:color w:val="auto"/>
                      <w:sz w:val="18"/>
                      <w:szCs w:val="18"/>
                    </w:rPr>
                  </w:pPr>
                  <w:r>
                    <w:rPr>
                      <w:color w:val="auto"/>
                      <w:sz w:val="18"/>
                      <w:szCs w:val="18"/>
                    </w:rPr>
                    <w:t>氨氮</w:t>
                  </w:r>
                </w:p>
              </w:tc>
              <w:tc>
                <w:tcPr>
                  <w:tcW w:w="2457" w:type="pct"/>
                  <w:vAlign w:val="center"/>
                </w:tcPr>
                <w:p w14:paraId="20AEACC2">
                  <w:pPr>
                    <w:adjustRightInd w:val="0"/>
                    <w:snapToGrid w:val="0"/>
                    <w:jc w:val="center"/>
                    <w:rPr>
                      <w:color w:val="auto"/>
                      <w:sz w:val="18"/>
                      <w:szCs w:val="18"/>
                      <w:vertAlign w:val="superscript"/>
                    </w:rPr>
                  </w:pPr>
                  <w:r>
                    <w:rPr>
                      <w:color w:val="auto"/>
                      <w:sz w:val="18"/>
                      <w:szCs w:val="18"/>
                    </w:rPr>
                    <w:t>5.0</w:t>
                  </w:r>
                </w:p>
              </w:tc>
            </w:tr>
            <w:tr w14:paraId="027609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3" w:hRule="atLeast"/>
                <w:jc w:val="center"/>
              </w:trPr>
              <w:tc>
                <w:tcPr>
                  <w:tcW w:w="2542" w:type="pct"/>
                  <w:vAlign w:val="center"/>
                </w:tcPr>
                <w:p w14:paraId="554433DD">
                  <w:pPr>
                    <w:adjustRightInd w:val="0"/>
                    <w:snapToGrid w:val="0"/>
                    <w:jc w:val="center"/>
                    <w:rPr>
                      <w:color w:val="auto"/>
                      <w:sz w:val="18"/>
                      <w:szCs w:val="18"/>
                    </w:rPr>
                  </w:pPr>
                  <w:r>
                    <w:rPr>
                      <w:color w:val="auto"/>
                      <w:sz w:val="18"/>
                      <w:szCs w:val="18"/>
                    </w:rPr>
                    <w:t>总磷（以P计）</w:t>
                  </w:r>
                </w:p>
              </w:tc>
              <w:tc>
                <w:tcPr>
                  <w:tcW w:w="2457" w:type="pct"/>
                  <w:vAlign w:val="center"/>
                </w:tcPr>
                <w:p w14:paraId="133E11BC">
                  <w:pPr>
                    <w:adjustRightInd w:val="0"/>
                    <w:snapToGrid w:val="0"/>
                    <w:jc w:val="center"/>
                    <w:rPr>
                      <w:color w:val="auto"/>
                      <w:sz w:val="18"/>
                      <w:szCs w:val="18"/>
                    </w:rPr>
                  </w:pPr>
                  <w:r>
                    <w:rPr>
                      <w:color w:val="auto"/>
                      <w:sz w:val="18"/>
                      <w:szCs w:val="18"/>
                    </w:rPr>
                    <w:t>0.5</w:t>
                  </w:r>
                </w:p>
              </w:tc>
            </w:tr>
            <w:tr w14:paraId="77DACD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3" w:hRule="atLeast"/>
                <w:jc w:val="center"/>
              </w:trPr>
              <w:tc>
                <w:tcPr>
                  <w:tcW w:w="2542" w:type="pct"/>
                  <w:vAlign w:val="center"/>
                </w:tcPr>
                <w:p w14:paraId="0BC5028F">
                  <w:pPr>
                    <w:adjustRightInd w:val="0"/>
                    <w:snapToGrid w:val="0"/>
                    <w:jc w:val="center"/>
                    <w:rPr>
                      <w:color w:val="auto"/>
                      <w:sz w:val="18"/>
                      <w:szCs w:val="18"/>
                    </w:rPr>
                  </w:pPr>
                  <w:r>
                    <w:rPr>
                      <w:color w:val="auto"/>
                      <w:sz w:val="18"/>
                      <w:szCs w:val="18"/>
                    </w:rPr>
                    <w:t>总氮</w:t>
                  </w:r>
                </w:p>
              </w:tc>
              <w:tc>
                <w:tcPr>
                  <w:tcW w:w="2457" w:type="pct"/>
                  <w:vAlign w:val="center"/>
                </w:tcPr>
                <w:p w14:paraId="08F755D6">
                  <w:pPr>
                    <w:adjustRightInd w:val="0"/>
                    <w:snapToGrid w:val="0"/>
                    <w:jc w:val="center"/>
                    <w:rPr>
                      <w:color w:val="auto"/>
                      <w:sz w:val="18"/>
                      <w:szCs w:val="18"/>
                    </w:rPr>
                  </w:pPr>
                  <w:r>
                    <w:rPr>
                      <w:color w:val="auto"/>
                      <w:sz w:val="18"/>
                      <w:szCs w:val="18"/>
                    </w:rPr>
                    <w:t>15</w:t>
                  </w:r>
                </w:p>
              </w:tc>
            </w:tr>
            <w:tr w14:paraId="20BD8E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23" w:hRule="atLeast"/>
                <w:jc w:val="center"/>
              </w:trPr>
              <w:tc>
                <w:tcPr>
                  <w:tcW w:w="2542" w:type="pct"/>
                  <w:vAlign w:val="center"/>
                </w:tcPr>
                <w:p w14:paraId="710C4678">
                  <w:pPr>
                    <w:adjustRightInd w:val="0"/>
                    <w:snapToGrid w:val="0"/>
                    <w:jc w:val="center"/>
                    <w:rPr>
                      <w:color w:val="auto"/>
                      <w:sz w:val="18"/>
                      <w:szCs w:val="18"/>
                    </w:rPr>
                  </w:pPr>
                  <w:r>
                    <w:rPr>
                      <w:color w:val="auto"/>
                      <w:sz w:val="18"/>
                      <w:szCs w:val="18"/>
                    </w:rPr>
                    <w:t>石油类</w:t>
                  </w:r>
                </w:p>
              </w:tc>
              <w:tc>
                <w:tcPr>
                  <w:tcW w:w="2457" w:type="pct"/>
                  <w:vAlign w:val="center"/>
                </w:tcPr>
                <w:p w14:paraId="55CDB50D">
                  <w:pPr>
                    <w:adjustRightInd w:val="0"/>
                    <w:snapToGrid w:val="0"/>
                    <w:jc w:val="center"/>
                    <w:rPr>
                      <w:color w:val="auto"/>
                      <w:sz w:val="18"/>
                      <w:szCs w:val="18"/>
                    </w:rPr>
                  </w:pPr>
                  <w:r>
                    <w:rPr>
                      <w:color w:val="auto"/>
                      <w:sz w:val="18"/>
                      <w:szCs w:val="18"/>
                    </w:rPr>
                    <w:t>1</w:t>
                  </w:r>
                </w:p>
              </w:tc>
            </w:tr>
          </w:tbl>
          <w:p w14:paraId="78CE65DC">
            <w:pPr>
              <w:adjustRightInd w:val="0"/>
              <w:snapToGrid w:val="0"/>
              <w:spacing w:line="500" w:lineRule="exact"/>
              <w:ind w:firstLine="422" w:firstLineChars="200"/>
              <w:rPr>
                <w:b/>
                <w:color w:val="auto"/>
                <w:szCs w:val="21"/>
              </w:rPr>
            </w:pPr>
            <w:r>
              <w:rPr>
                <w:b/>
                <w:color w:val="auto"/>
                <w:szCs w:val="21"/>
              </w:rPr>
              <w:t>3.噪声排放标准</w:t>
            </w:r>
          </w:p>
          <w:p w14:paraId="2126A4A1">
            <w:pPr>
              <w:adjustRightInd w:val="0"/>
              <w:snapToGrid w:val="0"/>
              <w:spacing w:line="500" w:lineRule="exact"/>
              <w:ind w:firstLine="420" w:firstLineChars="200"/>
              <w:rPr>
                <w:color w:val="auto"/>
                <w:szCs w:val="21"/>
              </w:rPr>
            </w:pPr>
            <w:r>
              <w:rPr>
                <w:rFonts w:hint="eastAsia"/>
                <w:bCs/>
                <w:color w:val="auto"/>
                <w:szCs w:val="21"/>
              </w:rPr>
              <w:t>施工期施工场地边界噪声执行《建筑施工噪声排放标准》（GB 12523-2025），</w:t>
            </w:r>
            <w:r>
              <w:rPr>
                <w:rFonts w:hint="eastAsia"/>
                <w:color w:val="auto"/>
                <w:szCs w:val="21"/>
              </w:rPr>
              <w:t>营运期</w:t>
            </w:r>
            <w:r>
              <w:rPr>
                <w:color w:val="auto"/>
                <w:szCs w:val="21"/>
              </w:rPr>
              <w:t>执行《工业企业厂界环境噪声排放标准》（GB12348-2008）中3类标准</w:t>
            </w:r>
            <w:r>
              <w:rPr>
                <w:bCs/>
                <w:color w:val="auto"/>
                <w:szCs w:val="21"/>
              </w:rPr>
              <w:t>，</w:t>
            </w:r>
            <w:r>
              <w:rPr>
                <w:color w:val="auto"/>
                <w:szCs w:val="21"/>
              </w:rPr>
              <w:t>具体见表3-</w:t>
            </w:r>
            <w:r>
              <w:rPr>
                <w:rFonts w:hint="eastAsia"/>
                <w:color w:val="auto"/>
                <w:szCs w:val="21"/>
                <w:lang w:val="en-US" w:eastAsia="zh-CN"/>
              </w:rPr>
              <w:t>5</w:t>
            </w:r>
            <w:r>
              <w:rPr>
                <w:color w:val="auto"/>
                <w:szCs w:val="21"/>
              </w:rPr>
              <w:t>和表3-</w:t>
            </w:r>
            <w:r>
              <w:rPr>
                <w:rFonts w:hint="eastAsia"/>
                <w:color w:val="auto"/>
                <w:szCs w:val="21"/>
                <w:lang w:val="en-US" w:eastAsia="zh-CN"/>
              </w:rPr>
              <w:t>6</w:t>
            </w:r>
            <w:r>
              <w:rPr>
                <w:color w:val="auto"/>
                <w:szCs w:val="21"/>
              </w:rPr>
              <w:t>。</w:t>
            </w:r>
          </w:p>
          <w:p w14:paraId="62868A21">
            <w:pPr>
              <w:snapToGrid w:val="0"/>
              <w:spacing w:line="500" w:lineRule="exact"/>
              <w:jc w:val="center"/>
              <w:rPr>
                <w:b/>
                <w:color w:val="auto"/>
                <w:szCs w:val="21"/>
              </w:rPr>
            </w:pPr>
            <w:r>
              <w:rPr>
                <w:b/>
                <w:color w:val="auto"/>
                <w:szCs w:val="21"/>
              </w:rPr>
              <w:t>表3-</w:t>
            </w:r>
            <w:r>
              <w:rPr>
                <w:rFonts w:hint="eastAsia"/>
                <w:b/>
                <w:color w:val="auto"/>
                <w:szCs w:val="21"/>
                <w:lang w:val="en-US" w:eastAsia="zh-CN"/>
              </w:rPr>
              <w:t>5</w:t>
            </w:r>
            <w:r>
              <w:rPr>
                <w:b/>
                <w:color w:val="auto"/>
                <w:szCs w:val="21"/>
              </w:rPr>
              <w:t xml:space="preserve">  </w:t>
            </w:r>
            <w:r>
              <w:rPr>
                <w:rFonts w:hint="eastAsia"/>
                <w:b/>
                <w:color w:val="auto"/>
                <w:szCs w:val="21"/>
              </w:rPr>
              <w:t>施工期施工场地边界噪声</w:t>
            </w:r>
            <w:r>
              <w:rPr>
                <w:b/>
                <w:color w:val="auto"/>
                <w:szCs w:val="21"/>
              </w:rPr>
              <w:t>环境噪声排放标准</w:t>
            </w:r>
            <w:r>
              <w:rPr>
                <w:rFonts w:hint="eastAsia"/>
                <w:b/>
                <w:color w:val="auto"/>
                <w:szCs w:val="21"/>
              </w:rPr>
              <w:t>（单位：dB（A））</w:t>
            </w:r>
          </w:p>
          <w:tbl>
            <w:tblPr>
              <w:tblStyle w:val="21"/>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108" w:type="dxa"/>
                <w:bottom w:w="57" w:type="dxa"/>
                <w:right w:w="108" w:type="dxa"/>
              </w:tblCellMar>
            </w:tblPr>
            <w:tblGrid>
              <w:gridCol w:w="2664"/>
              <w:gridCol w:w="2669"/>
              <w:gridCol w:w="2671"/>
            </w:tblGrid>
            <w:tr w14:paraId="688A17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cantSplit/>
                <w:trHeight w:val="267" w:hRule="atLeast"/>
                <w:jc w:val="center"/>
              </w:trPr>
              <w:tc>
                <w:tcPr>
                  <w:tcW w:w="5351" w:type="dxa"/>
                  <w:gridSpan w:val="2"/>
                  <w:tcBorders>
                    <w:top w:val="single" w:color="auto" w:sz="12" w:space="0"/>
                    <w:left w:val="nil"/>
                    <w:bottom w:val="single" w:color="auto" w:sz="4" w:space="0"/>
                    <w:right w:val="single" w:color="auto" w:sz="4" w:space="0"/>
                  </w:tcBorders>
                </w:tcPr>
                <w:p w14:paraId="5E6E056E">
                  <w:pPr>
                    <w:adjustRightInd w:val="0"/>
                    <w:snapToGrid w:val="0"/>
                    <w:jc w:val="center"/>
                    <w:rPr>
                      <w:b/>
                      <w:bCs/>
                      <w:color w:val="auto"/>
                      <w:sz w:val="18"/>
                      <w:szCs w:val="18"/>
                    </w:rPr>
                  </w:pPr>
                  <w:r>
                    <w:rPr>
                      <w:b/>
                      <w:bCs/>
                      <w:color w:val="auto"/>
                      <w:sz w:val="18"/>
                      <w:szCs w:val="18"/>
                    </w:rPr>
                    <w:t>噪声限值</w:t>
                  </w:r>
                </w:p>
              </w:tc>
              <w:tc>
                <w:tcPr>
                  <w:tcW w:w="2677" w:type="dxa"/>
                  <w:tcBorders>
                    <w:top w:val="single" w:color="auto" w:sz="12" w:space="0"/>
                    <w:left w:val="single" w:color="auto" w:sz="4" w:space="0"/>
                    <w:bottom w:val="single" w:color="auto" w:sz="4" w:space="0"/>
                    <w:right w:val="nil"/>
                  </w:tcBorders>
                </w:tcPr>
                <w:p w14:paraId="3DD326F3">
                  <w:pPr>
                    <w:adjustRightInd w:val="0"/>
                    <w:snapToGrid w:val="0"/>
                    <w:jc w:val="center"/>
                    <w:rPr>
                      <w:b/>
                      <w:bCs/>
                      <w:color w:val="auto"/>
                      <w:sz w:val="18"/>
                      <w:szCs w:val="18"/>
                    </w:rPr>
                  </w:pPr>
                  <w:r>
                    <w:rPr>
                      <w:rFonts w:hint="eastAsia"/>
                      <w:b/>
                      <w:bCs/>
                      <w:color w:val="auto"/>
                      <w:sz w:val="18"/>
                      <w:szCs w:val="18"/>
                    </w:rPr>
                    <w:t>标准来源</w:t>
                  </w:r>
                </w:p>
              </w:tc>
            </w:tr>
            <w:tr w14:paraId="2777F2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cantSplit/>
                <w:trHeight w:val="20" w:hRule="atLeast"/>
                <w:jc w:val="center"/>
              </w:trPr>
              <w:tc>
                <w:tcPr>
                  <w:tcW w:w="2673" w:type="dxa"/>
                  <w:tcBorders>
                    <w:top w:val="single" w:color="auto" w:sz="4" w:space="0"/>
                    <w:left w:val="nil"/>
                    <w:bottom w:val="single" w:color="auto" w:sz="4" w:space="0"/>
                    <w:right w:val="single" w:color="auto" w:sz="4" w:space="0"/>
                  </w:tcBorders>
                  <w:vAlign w:val="center"/>
                </w:tcPr>
                <w:p w14:paraId="14C3309D">
                  <w:pPr>
                    <w:adjustRightInd w:val="0"/>
                    <w:snapToGrid w:val="0"/>
                    <w:jc w:val="center"/>
                    <w:rPr>
                      <w:color w:val="auto"/>
                      <w:sz w:val="18"/>
                      <w:szCs w:val="18"/>
                    </w:rPr>
                  </w:pPr>
                  <w:r>
                    <w:rPr>
                      <w:color w:val="auto"/>
                      <w:sz w:val="18"/>
                      <w:szCs w:val="18"/>
                    </w:rPr>
                    <w:t>昼间</w:t>
                  </w:r>
                </w:p>
              </w:tc>
              <w:tc>
                <w:tcPr>
                  <w:tcW w:w="2678" w:type="dxa"/>
                  <w:tcBorders>
                    <w:top w:val="single" w:color="auto" w:sz="4" w:space="0"/>
                    <w:left w:val="single" w:color="auto" w:sz="4" w:space="0"/>
                    <w:bottom w:val="single" w:color="auto" w:sz="4" w:space="0"/>
                    <w:right w:val="nil"/>
                  </w:tcBorders>
                  <w:vAlign w:val="center"/>
                </w:tcPr>
                <w:p w14:paraId="1F2CC603">
                  <w:pPr>
                    <w:adjustRightInd w:val="0"/>
                    <w:snapToGrid w:val="0"/>
                    <w:jc w:val="center"/>
                    <w:rPr>
                      <w:color w:val="auto"/>
                      <w:sz w:val="18"/>
                      <w:szCs w:val="18"/>
                    </w:rPr>
                  </w:pPr>
                  <w:r>
                    <w:rPr>
                      <w:color w:val="auto"/>
                      <w:sz w:val="18"/>
                      <w:szCs w:val="18"/>
                    </w:rPr>
                    <w:t>夜间</w:t>
                  </w:r>
                </w:p>
              </w:tc>
              <w:tc>
                <w:tcPr>
                  <w:tcW w:w="2677" w:type="dxa"/>
                  <w:vMerge w:val="restart"/>
                  <w:tcBorders>
                    <w:top w:val="single" w:color="auto" w:sz="4" w:space="0"/>
                    <w:left w:val="single" w:color="auto" w:sz="4" w:space="0"/>
                    <w:right w:val="nil"/>
                  </w:tcBorders>
                  <w:vAlign w:val="center"/>
                </w:tcPr>
                <w:p w14:paraId="13B525CD">
                  <w:pPr>
                    <w:adjustRightInd w:val="0"/>
                    <w:snapToGrid w:val="0"/>
                    <w:jc w:val="center"/>
                    <w:rPr>
                      <w:color w:val="auto"/>
                      <w:sz w:val="18"/>
                      <w:szCs w:val="18"/>
                    </w:rPr>
                  </w:pPr>
                  <w:r>
                    <w:rPr>
                      <w:rFonts w:hint="eastAsia"/>
                      <w:color w:val="auto"/>
                      <w:sz w:val="18"/>
                      <w:szCs w:val="18"/>
                    </w:rPr>
                    <w:t>《建筑施工噪声排放标准》（GB 12523-2025）</w:t>
                  </w:r>
                </w:p>
              </w:tc>
            </w:tr>
            <w:tr w14:paraId="6E8897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rPr>
                <w:cantSplit/>
                <w:trHeight w:val="20" w:hRule="atLeast"/>
                <w:jc w:val="center"/>
              </w:trPr>
              <w:tc>
                <w:tcPr>
                  <w:tcW w:w="2673" w:type="dxa"/>
                  <w:tcBorders>
                    <w:top w:val="single" w:color="auto" w:sz="4" w:space="0"/>
                    <w:left w:val="nil"/>
                    <w:bottom w:val="single" w:color="auto" w:sz="12" w:space="0"/>
                    <w:right w:val="single" w:color="auto" w:sz="4" w:space="0"/>
                  </w:tcBorders>
                  <w:vAlign w:val="center"/>
                </w:tcPr>
                <w:p w14:paraId="3FA2E293">
                  <w:pPr>
                    <w:adjustRightInd w:val="0"/>
                    <w:snapToGrid w:val="0"/>
                    <w:jc w:val="center"/>
                    <w:rPr>
                      <w:color w:val="auto"/>
                      <w:sz w:val="18"/>
                      <w:szCs w:val="18"/>
                    </w:rPr>
                  </w:pPr>
                  <w:r>
                    <w:rPr>
                      <w:color w:val="auto"/>
                      <w:sz w:val="18"/>
                      <w:szCs w:val="18"/>
                    </w:rPr>
                    <w:t>70</w:t>
                  </w:r>
                </w:p>
              </w:tc>
              <w:tc>
                <w:tcPr>
                  <w:tcW w:w="2678" w:type="dxa"/>
                  <w:tcBorders>
                    <w:top w:val="single" w:color="auto" w:sz="4" w:space="0"/>
                    <w:left w:val="single" w:color="auto" w:sz="4" w:space="0"/>
                    <w:bottom w:val="single" w:color="auto" w:sz="12" w:space="0"/>
                    <w:right w:val="nil"/>
                  </w:tcBorders>
                  <w:vAlign w:val="center"/>
                </w:tcPr>
                <w:p w14:paraId="66DAF911">
                  <w:pPr>
                    <w:adjustRightInd w:val="0"/>
                    <w:snapToGrid w:val="0"/>
                    <w:jc w:val="center"/>
                    <w:rPr>
                      <w:color w:val="auto"/>
                      <w:sz w:val="18"/>
                      <w:szCs w:val="18"/>
                    </w:rPr>
                  </w:pPr>
                  <w:r>
                    <w:rPr>
                      <w:color w:val="auto"/>
                      <w:sz w:val="18"/>
                      <w:szCs w:val="18"/>
                    </w:rPr>
                    <w:t>55</w:t>
                  </w:r>
                </w:p>
              </w:tc>
              <w:tc>
                <w:tcPr>
                  <w:tcW w:w="2677" w:type="dxa"/>
                  <w:vMerge w:val="continue"/>
                  <w:tcBorders>
                    <w:left w:val="single" w:color="auto" w:sz="4" w:space="0"/>
                    <w:bottom w:val="single" w:color="auto" w:sz="12" w:space="0"/>
                    <w:right w:val="nil"/>
                  </w:tcBorders>
                </w:tcPr>
                <w:p w14:paraId="7991EEF1">
                  <w:pPr>
                    <w:adjustRightInd w:val="0"/>
                    <w:snapToGrid w:val="0"/>
                    <w:jc w:val="center"/>
                    <w:rPr>
                      <w:color w:val="auto"/>
                      <w:sz w:val="18"/>
                      <w:szCs w:val="18"/>
                    </w:rPr>
                  </w:pPr>
                </w:p>
              </w:tc>
            </w:tr>
          </w:tbl>
          <w:p w14:paraId="09317DEF">
            <w:pPr>
              <w:snapToGrid w:val="0"/>
              <w:spacing w:line="500" w:lineRule="exact"/>
              <w:jc w:val="center"/>
              <w:rPr>
                <w:b/>
                <w:color w:val="auto"/>
                <w:szCs w:val="21"/>
              </w:rPr>
            </w:pPr>
            <w:r>
              <w:rPr>
                <w:b/>
                <w:color w:val="auto"/>
                <w:szCs w:val="21"/>
              </w:rPr>
              <w:t>表3-</w:t>
            </w:r>
            <w:r>
              <w:rPr>
                <w:rFonts w:hint="eastAsia"/>
                <w:b/>
                <w:color w:val="auto"/>
                <w:szCs w:val="21"/>
                <w:lang w:val="en-US" w:eastAsia="zh-CN"/>
              </w:rPr>
              <w:t>6</w:t>
            </w:r>
            <w:r>
              <w:rPr>
                <w:b/>
                <w:color w:val="auto"/>
                <w:szCs w:val="21"/>
              </w:rPr>
              <w:t xml:space="preserve"> 营运期噪声排放标准（单位：dB（A））</w:t>
            </w:r>
          </w:p>
          <w:tbl>
            <w:tblPr>
              <w:tblStyle w:val="21"/>
              <w:tblW w:w="0" w:type="auto"/>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57" w:type="dxa"/>
                <w:left w:w="108" w:type="dxa"/>
                <w:bottom w:w="57" w:type="dxa"/>
                <w:right w:w="108" w:type="dxa"/>
              </w:tblCellMar>
            </w:tblPr>
            <w:tblGrid>
              <w:gridCol w:w="1413"/>
              <w:gridCol w:w="1667"/>
              <w:gridCol w:w="1528"/>
              <w:gridCol w:w="3396"/>
            </w:tblGrid>
            <w:tr w14:paraId="0067E5A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57" w:type="dxa"/>
                  <w:left w:w="108" w:type="dxa"/>
                  <w:bottom w:w="57" w:type="dxa"/>
                  <w:right w:w="108" w:type="dxa"/>
                </w:tblCellMar>
              </w:tblPrEx>
              <w:trPr>
                <w:jc w:val="center"/>
              </w:trPr>
              <w:tc>
                <w:tcPr>
                  <w:tcW w:w="1418" w:type="dxa"/>
                  <w:vAlign w:val="center"/>
                </w:tcPr>
                <w:p w14:paraId="4AB8F8B0">
                  <w:pPr>
                    <w:adjustRightInd w:val="0"/>
                    <w:snapToGrid w:val="0"/>
                    <w:jc w:val="center"/>
                    <w:rPr>
                      <w:b/>
                      <w:bCs/>
                      <w:color w:val="auto"/>
                      <w:sz w:val="18"/>
                      <w:szCs w:val="18"/>
                    </w:rPr>
                  </w:pPr>
                  <w:r>
                    <w:rPr>
                      <w:b/>
                      <w:bCs/>
                      <w:color w:val="auto"/>
                      <w:sz w:val="18"/>
                      <w:szCs w:val="18"/>
                    </w:rPr>
                    <w:t>类别</w:t>
                  </w:r>
                </w:p>
              </w:tc>
              <w:tc>
                <w:tcPr>
                  <w:tcW w:w="1673" w:type="dxa"/>
                  <w:vAlign w:val="center"/>
                </w:tcPr>
                <w:p w14:paraId="352960FD">
                  <w:pPr>
                    <w:adjustRightInd w:val="0"/>
                    <w:snapToGrid w:val="0"/>
                    <w:jc w:val="center"/>
                    <w:rPr>
                      <w:b/>
                      <w:bCs/>
                      <w:color w:val="auto"/>
                      <w:sz w:val="18"/>
                      <w:szCs w:val="18"/>
                    </w:rPr>
                  </w:pPr>
                  <w:r>
                    <w:rPr>
                      <w:b/>
                      <w:bCs/>
                      <w:color w:val="auto"/>
                      <w:sz w:val="18"/>
                      <w:szCs w:val="18"/>
                    </w:rPr>
                    <w:t>昼间</w:t>
                  </w:r>
                </w:p>
              </w:tc>
              <w:tc>
                <w:tcPr>
                  <w:tcW w:w="1533" w:type="dxa"/>
                  <w:vAlign w:val="center"/>
                </w:tcPr>
                <w:p w14:paraId="0F7A96B7">
                  <w:pPr>
                    <w:adjustRightInd w:val="0"/>
                    <w:snapToGrid w:val="0"/>
                    <w:jc w:val="center"/>
                    <w:rPr>
                      <w:b/>
                      <w:bCs/>
                      <w:color w:val="auto"/>
                      <w:sz w:val="18"/>
                      <w:szCs w:val="18"/>
                    </w:rPr>
                  </w:pPr>
                  <w:r>
                    <w:rPr>
                      <w:b/>
                      <w:bCs/>
                      <w:color w:val="auto"/>
                      <w:sz w:val="18"/>
                      <w:szCs w:val="18"/>
                    </w:rPr>
                    <w:t>夜间</w:t>
                  </w:r>
                </w:p>
              </w:tc>
              <w:tc>
                <w:tcPr>
                  <w:tcW w:w="3404" w:type="dxa"/>
                  <w:vAlign w:val="center"/>
                </w:tcPr>
                <w:p w14:paraId="6CF4A4EC">
                  <w:pPr>
                    <w:adjustRightInd w:val="0"/>
                    <w:snapToGrid w:val="0"/>
                    <w:jc w:val="center"/>
                    <w:rPr>
                      <w:b/>
                      <w:bCs/>
                      <w:color w:val="auto"/>
                      <w:sz w:val="18"/>
                      <w:szCs w:val="18"/>
                    </w:rPr>
                  </w:pPr>
                  <w:r>
                    <w:rPr>
                      <w:b/>
                      <w:bCs/>
                      <w:color w:val="auto"/>
                      <w:sz w:val="18"/>
                      <w:szCs w:val="18"/>
                    </w:rPr>
                    <w:t>标准来源</w:t>
                  </w:r>
                </w:p>
              </w:tc>
            </w:tr>
            <w:tr w14:paraId="4E5375C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57" w:type="dxa"/>
                  <w:left w:w="108" w:type="dxa"/>
                  <w:bottom w:w="57" w:type="dxa"/>
                  <w:right w:w="108" w:type="dxa"/>
                </w:tblCellMar>
              </w:tblPrEx>
              <w:trPr>
                <w:jc w:val="center"/>
              </w:trPr>
              <w:tc>
                <w:tcPr>
                  <w:tcW w:w="1418" w:type="dxa"/>
                  <w:vAlign w:val="center"/>
                </w:tcPr>
                <w:p w14:paraId="2CE1EB25">
                  <w:pPr>
                    <w:adjustRightInd w:val="0"/>
                    <w:snapToGrid w:val="0"/>
                    <w:jc w:val="center"/>
                    <w:rPr>
                      <w:color w:val="auto"/>
                      <w:sz w:val="18"/>
                      <w:szCs w:val="18"/>
                    </w:rPr>
                  </w:pPr>
                  <w:r>
                    <w:rPr>
                      <w:color w:val="auto"/>
                      <w:sz w:val="18"/>
                      <w:szCs w:val="18"/>
                    </w:rPr>
                    <w:t>3类</w:t>
                  </w:r>
                </w:p>
              </w:tc>
              <w:tc>
                <w:tcPr>
                  <w:tcW w:w="1673" w:type="dxa"/>
                  <w:vAlign w:val="center"/>
                </w:tcPr>
                <w:p w14:paraId="7206BC1D">
                  <w:pPr>
                    <w:adjustRightInd w:val="0"/>
                    <w:snapToGrid w:val="0"/>
                    <w:jc w:val="center"/>
                    <w:rPr>
                      <w:color w:val="auto"/>
                      <w:sz w:val="18"/>
                      <w:szCs w:val="18"/>
                    </w:rPr>
                  </w:pPr>
                  <w:r>
                    <w:rPr>
                      <w:color w:val="auto"/>
                      <w:sz w:val="18"/>
                      <w:szCs w:val="18"/>
                    </w:rPr>
                    <w:t>65</w:t>
                  </w:r>
                </w:p>
              </w:tc>
              <w:tc>
                <w:tcPr>
                  <w:tcW w:w="1533" w:type="dxa"/>
                  <w:vAlign w:val="center"/>
                </w:tcPr>
                <w:p w14:paraId="076B8C51">
                  <w:pPr>
                    <w:adjustRightInd w:val="0"/>
                    <w:snapToGrid w:val="0"/>
                    <w:jc w:val="center"/>
                    <w:rPr>
                      <w:color w:val="auto"/>
                      <w:sz w:val="18"/>
                      <w:szCs w:val="18"/>
                    </w:rPr>
                  </w:pPr>
                  <w:r>
                    <w:rPr>
                      <w:color w:val="auto"/>
                      <w:sz w:val="18"/>
                      <w:szCs w:val="18"/>
                    </w:rPr>
                    <w:t>55</w:t>
                  </w:r>
                </w:p>
              </w:tc>
              <w:tc>
                <w:tcPr>
                  <w:tcW w:w="3404" w:type="dxa"/>
                  <w:vAlign w:val="center"/>
                </w:tcPr>
                <w:p w14:paraId="43F2A291">
                  <w:pPr>
                    <w:adjustRightInd w:val="0"/>
                    <w:snapToGrid w:val="0"/>
                    <w:jc w:val="center"/>
                    <w:rPr>
                      <w:color w:val="auto"/>
                      <w:sz w:val="18"/>
                      <w:szCs w:val="18"/>
                    </w:rPr>
                  </w:pPr>
                  <w:r>
                    <w:rPr>
                      <w:rFonts w:hint="eastAsia"/>
                      <w:color w:val="auto"/>
                      <w:sz w:val="18"/>
                      <w:szCs w:val="18"/>
                    </w:rPr>
                    <w:t>《工业企业厂界环境噪声排放标准》（GB12348-2008）</w:t>
                  </w:r>
                </w:p>
              </w:tc>
            </w:tr>
          </w:tbl>
          <w:p w14:paraId="72DA6314">
            <w:pPr>
              <w:adjustRightInd w:val="0"/>
              <w:snapToGrid w:val="0"/>
              <w:spacing w:line="500" w:lineRule="exact"/>
              <w:ind w:firstLine="422" w:firstLineChars="200"/>
              <w:rPr>
                <w:b/>
                <w:color w:val="auto"/>
                <w:szCs w:val="21"/>
              </w:rPr>
            </w:pPr>
            <w:r>
              <w:rPr>
                <w:b/>
                <w:color w:val="auto"/>
                <w:szCs w:val="21"/>
              </w:rPr>
              <w:t>4.</w:t>
            </w:r>
            <w:r>
              <w:rPr>
                <w:rFonts w:hint="eastAsia"/>
                <w:b/>
                <w:color w:val="auto"/>
                <w:szCs w:val="21"/>
              </w:rPr>
              <w:t>固体废物贮存</w:t>
            </w:r>
            <w:r>
              <w:rPr>
                <w:b/>
                <w:color w:val="auto"/>
                <w:szCs w:val="21"/>
              </w:rPr>
              <w:t>标准</w:t>
            </w:r>
          </w:p>
          <w:p w14:paraId="3F46D473">
            <w:pPr>
              <w:adjustRightInd w:val="0"/>
              <w:snapToGrid w:val="0"/>
              <w:spacing w:line="500" w:lineRule="exact"/>
              <w:ind w:firstLine="420" w:firstLineChars="200"/>
              <w:rPr>
                <w:color w:val="auto"/>
                <w:kern w:val="0"/>
                <w:szCs w:val="21"/>
              </w:rPr>
            </w:pPr>
            <w:r>
              <w:rPr>
                <w:rFonts w:hint="eastAsia"/>
                <w:color w:val="auto"/>
                <w:kern w:val="0"/>
                <w:szCs w:val="21"/>
              </w:rPr>
              <w:t>厂区内一般工业固体废物贮存场所和贮存过程应满足相应防渗漏、防雨淋、防扬尘等环境保护要求以及《省生态环境厅关于进一步完善一般工业固体废物环境管理的通知》（苏环办〔2023〕327号）中相关要求。</w:t>
            </w:r>
          </w:p>
          <w:p w14:paraId="3F17E5E9">
            <w:pPr>
              <w:adjustRightInd w:val="0"/>
              <w:snapToGrid w:val="0"/>
              <w:spacing w:line="500" w:lineRule="exact"/>
              <w:ind w:firstLine="420" w:firstLineChars="200"/>
              <w:rPr>
                <w:color w:val="auto"/>
                <w:kern w:val="0"/>
                <w:szCs w:val="21"/>
              </w:rPr>
            </w:pPr>
            <w:r>
              <w:rPr>
                <w:rFonts w:hint="eastAsia"/>
                <w:color w:val="auto"/>
                <w:kern w:val="0"/>
                <w:szCs w:val="21"/>
              </w:rPr>
              <w:t>危险固废贮存执行《危险废物贮存污染控制标准》（GB18597-2023）。</w:t>
            </w:r>
          </w:p>
        </w:tc>
      </w:tr>
    </w:tbl>
    <w:p w14:paraId="195FFF00">
      <w:pPr>
        <w:pStyle w:val="18"/>
        <w:rPr>
          <w:snapToGrid w:val="0"/>
          <w:color w:val="auto"/>
        </w:rPr>
        <w:sectPr>
          <w:type w:val="nextColumn"/>
          <w:pgSz w:w="11907" w:h="16840"/>
          <w:pgMar w:top="1418" w:right="1418" w:bottom="1418" w:left="1418" w:header="851" w:footer="851" w:gutter="0"/>
          <w:cols w:space="720" w:num="1"/>
          <w:docGrid w:linePitch="312" w:charSpace="0"/>
        </w:sectPr>
      </w:pPr>
    </w:p>
    <w:tbl>
      <w:tblPr>
        <w:tblStyle w:val="21"/>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509"/>
        <w:gridCol w:w="13475"/>
      </w:tblGrid>
      <w:tr w14:paraId="6623E7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30" w:hRule="atLeast"/>
          <w:jc w:val="center"/>
        </w:trPr>
        <w:tc>
          <w:tcPr>
            <w:tcW w:w="182" w:type="pct"/>
            <w:vAlign w:val="center"/>
          </w:tcPr>
          <w:p w14:paraId="12C662EB">
            <w:pPr>
              <w:adjustRightInd w:val="0"/>
              <w:snapToGrid w:val="0"/>
              <w:jc w:val="center"/>
              <w:rPr>
                <w:color w:val="auto"/>
                <w:kern w:val="0"/>
                <w:szCs w:val="21"/>
              </w:rPr>
            </w:pPr>
            <w:r>
              <w:rPr>
                <w:color w:val="auto"/>
                <w:kern w:val="0"/>
                <w:szCs w:val="21"/>
              </w:rPr>
              <w:t>总量</w:t>
            </w:r>
          </w:p>
          <w:p w14:paraId="5FCD8286">
            <w:pPr>
              <w:adjustRightInd w:val="0"/>
              <w:snapToGrid w:val="0"/>
              <w:jc w:val="center"/>
              <w:rPr>
                <w:color w:val="auto"/>
                <w:kern w:val="0"/>
                <w:szCs w:val="21"/>
              </w:rPr>
            </w:pPr>
            <w:r>
              <w:rPr>
                <w:color w:val="auto"/>
                <w:kern w:val="0"/>
                <w:szCs w:val="21"/>
              </w:rPr>
              <w:t>控制</w:t>
            </w:r>
          </w:p>
          <w:p w14:paraId="6A152E83">
            <w:pPr>
              <w:adjustRightInd w:val="0"/>
              <w:snapToGrid w:val="0"/>
              <w:jc w:val="center"/>
              <w:rPr>
                <w:color w:val="auto"/>
                <w:kern w:val="0"/>
                <w:szCs w:val="21"/>
              </w:rPr>
            </w:pPr>
            <w:r>
              <w:rPr>
                <w:color w:val="auto"/>
                <w:kern w:val="0"/>
                <w:szCs w:val="21"/>
              </w:rPr>
              <w:t>指标</w:t>
            </w:r>
          </w:p>
        </w:tc>
        <w:tc>
          <w:tcPr>
            <w:tcW w:w="4818" w:type="pct"/>
            <w:vAlign w:val="center"/>
          </w:tcPr>
          <w:p w14:paraId="49A63DA4">
            <w:pPr>
              <w:adjustRightInd w:val="0"/>
              <w:snapToGrid w:val="0"/>
              <w:spacing w:line="500" w:lineRule="exact"/>
              <w:ind w:firstLine="420" w:firstLineChars="200"/>
              <w:rPr>
                <w:color w:val="auto"/>
                <w:kern w:val="0"/>
                <w:szCs w:val="21"/>
              </w:rPr>
            </w:pPr>
            <w:r>
              <w:rPr>
                <w:rFonts w:hint="eastAsia"/>
                <w:color w:val="auto"/>
                <w:kern w:val="0"/>
                <w:szCs w:val="21"/>
              </w:rPr>
              <w:t>本项目污染物排放总量见表</w:t>
            </w:r>
            <w:r>
              <w:rPr>
                <w:color w:val="auto"/>
                <w:kern w:val="0"/>
                <w:szCs w:val="21"/>
              </w:rPr>
              <w:t>3-</w:t>
            </w:r>
            <w:r>
              <w:rPr>
                <w:rFonts w:hint="eastAsia"/>
                <w:color w:val="auto"/>
                <w:kern w:val="0"/>
                <w:szCs w:val="21"/>
                <w:lang w:val="en-US" w:eastAsia="zh-CN"/>
              </w:rPr>
              <w:t>7</w:t>
            </w:r>
            <w:r>
              <w:rPr>
                <w:rFonts w:hint="eastAsia"/>
                <w:color w:val="auto"/>
                <w:kern w:val="0"/>
                <w:szCs w:val="21"/>
              </w:rPr>
              <w:t>，本项目建成后全厂污染物排放量汇总情况见表3</w:t>
            </w:r>
            <w:r>
              <w:rPr>
                <w:color w:val="auto"/>
                <w:kern w:val="0"/>
                <w:szCs w:val="21"/>
              </w:rPr>
              <w:t>-</w:t>
            </w:r>
            <w:r>
              <w:rPr>
                <w:rFonts w:hint="eastAsia"/>
                <w:color w:val="auto"/>
                <w:kern w:val="0"/>
                <w:szCs w:val="21"/>
                <w:lang w:val="en-US" w:eastAsia="zh-CN"/>
              </w:rPr>
              <w:t>8</w:t>
            </w:r>
            <w:r>
              <w:rPr>
                <w:rFonts w:hint="eastAsia"/>
                <w:color w:val="auto"/>
                <w:kern w:val="0"/>
                <w:szCs w:val="21"/>
              </w:rPr>
              <w:t>。</w:t>
            </w:r>
          </w:p>
          <w:p w14:paraId="58E871B8">
            <w:pPr>
              <w:adjustRightInd w:val="0"/>
              <w:snapToGrid w:val="0"/>
              <w:spacing w:line="500" w:lineRule="exact"/>
              <w:ind w:firstLine="420" w:firstLineChars="200"/>
              <w:rPr>
                <w:color w:val="auto"/>
                <w:kern w:val="0"/>
                <w:szCs w:val="21"/>
              </w:rPr>
            </w:pPr>
            <w:r>
              <w:rPr>
                <w:rFonts w:hint="eastAsia"/>
                <w:color w:val="auto"/>
                <w:szCs w:val="21"/>
              </w:rPr>
              <w:t>本项目实验室检验项目、规模、频率</w:t>
            </w:r>
            <w:r>
              <w:rPr>
                <w:rFonts w:hint="eastAsia"/>
                <w:color w:val="auto"/>
                <w:szCs w:val="21"/>
                <w:lang w:val="en-US" w:eastAsia="zh-CN"/>
              </w:rPr>
              <w:t>以及产污情况</w:t>
            </w:r>
            <w:r>
              <w:rPr>
                <w:rFonts w:hint="eastAsia"/>
                <w:color w:val="auto"/>
                <w:szCs w:val="21"/>
              </w:rPr>
              <w:t>与现有实验室保持一致。</w:t>
            </w:r>
            <w:r>
              <w:rPr>
                <w:rFonts w:hint="eastAsia"/>
                <w:color w:val="auto"/>
                <w:szCs w:val="21"/>
                <w:lang w:val="en-US" w:eastAsia="zh-CN"/>
              </w:rPr>
              <w:t>现有项目</w:t>
            </w:r>
            <w:r>
              <w:rPr>
                <w:rFonts w:hint="eastAsia"/>
                <w:color w:val="auto"/>
                <w:szCs w:val="21"/>
              </w:rPr>
              <w:t>未进行废气量的核算</w:t>
            </w:r>
            <w:r>
              <w:rPr>
                <w:rFonts w:hint="eastAsia"/>
                <w:color w:val="auto"/>
                <w:szCs w:val="21"/>
                <w:lang w:eastAsia="zh-CN"/>
              </w:rPr>
              <w:t>，</w:t>
            </w:r>
            <w:r>
              <w:rPr>
                <w:rFonts w:hint="eastAsia"/>
                <w:color w:val="auto"/>
                <w:szCs w:val="21"/>
                <w:lang w:val="en-US" w:eastAsia="zh-CN"/>
              </w:rPr>
              <w:t>直接在本项目</w:t>
            </w:r>
            <w:r>
              <w:rPr>
                <w:rFonts w:hint="eastAsia"/>
                <w:color w:val="auto"/>
                <w:szCs w:val="21"/>
              </w:rPr>
              <w:t>对实验室废气进行</w:t>
            </w:r>
            <w:r>
              <w:rPr>
                <w:rFonts w:hint="eastAsia"/>
                <w:color w:val="auto"/>
                <w:szCs w:val="21"/>
                <w:lang w:val="en-US" w:eastAsia="zh-CN"/>
              </w:rPr>
              <w:t>重新</w:t>
            </w:r>
            <w:r>
              <w:rPr>
                <w:rFonts w:hint="eastAsia"/>
                <w:color w:val="auto"/>
                <w:szCs w:val="21"/>
              </w:rPr>
              <w:t>核算</w:t>
            </w:r>
            <w:r>
              <w:rPr>
                <w:rFonts w:hint="eastAsia"/>
                <w:color w:val="auto"/>
                <w:kern w:val="0"/>
                <w:szCs w:val="21"/>
                <w:lang w:eastAsia="zh-CN"/>
              </w:rPr>
              <w:t>；</w:t>
            </w:r>
            <w:r>
              <w:rPr>
                <w:rFonts w:hint="eastAsia"/>
                <w:color w:val="auto"/>
                <w:szCs w:val="21"/>
              </w:rPr>
              <w:t>本次改建</w:t>
            </w:r>
            <w:r>
              <w:rPr>
                <w:rFonts w:hint="eastAsia"/>
                <w:bCs/>
                <w:color w:val="auto"/>
                <w:szCs w:val="21"/>
              </w:rPr>
              <w:t>后，中控品管理楼内</w:t>
            </w:r>
            <w:r>
              <w:rPr>
                <w:rFonts w:hint="eastAsia"/>
                <w:color w:val="auto"/>
                <w:szCs w:val="21"/>
              </w:rPr>
              <w:t>现有实验室闲置不再使用，故本次将削减现有实验室</w:t>
            </w:r>
            <w:r>
              <w:rPr>
                <w:rFonts w:hint="eastAsia"/>
                <w:color w:val="auto"/>
                <w:szCs w:val="21"/>
                <w:lang w:val="en-US" w:eastAsia="zh-CN"/>
              </w:rPr>
              <w:t>已核算废水、固废</w:t>
            </w:r>
            <w:r>
              <w:rPr>
                <w:rFonts w:hint="eastAsia"/>
                <w:color w:val="auto"/>
                <w:szCs w:val="21"/>
              </w:rPr>
              <w:t>污染物排放量，将其作为以新带老量</w:t>
            </w:r>
            <w:r>
              <w:rPr>
                <w:rFonts w:hint="eastAsia"/>
                <w:color w:val="auto"/>
                <w:szCs w:val="21"/>
                <w:lang w:eastAsia="zh-CN"/>
              </w:rPr>
              <w:t>，</w:t>
            </w:r>
            <w:r>
              <w:rPr>
                <w:rFonts w:hint="eastAsia"/>
                <w:color w:val="auto"/>
                <w:szCs w:val="21"/>
                <w:lang w:val="en-US" w:eastAsia="zh-CN"/>
              </w:rPr>
              <w:t>并在本项目对实验室废水、固废进行重新核算</w:t>
            </w:r>
            <w:r>
              <w:rPr>
                <w:rFonts w:hint="eastAsia"/>
                <w:color w:val="auto"/>
                <w:szCs w:val="21"/>
              </w:rPr>
              <w:t>。</w:t>
            </w:r>
          </w:p>
          <w:p w14:paraId="19B6FE6C">
            <w:pPr>
              <w:snapToGrid w:val="0"/>
              <w:spacing w:line="500" w:lineRule="exact"/>
              <w:jc w:val="center"/>
              <w:rPr>
                <w:b/>
                <w:color w:val="auto"/>
                <w:szCs w:val="21"/>
              </w:rPr>
            </w:pPr>
            <w:r>
              <w:rPr>
                <w:rFonts w:hint="eastAsia"/>
                <w:b/>
                <w:color w:val="auto"/>
                <w:szCs w:val="21"/>
              </w:rPr>
              <w:t>表</w:t>
            </w:r>
            <w:r>
              <w:rPr>
                <w:b/>
                <w:color w:val="auto"/>
                <w:szCs w:val="21"/>
              </w:rPr>
              <w:t>3-</w:t>
            </w:r>
            <w:r>
              <w:rPr>
                <w:rFonts w:hint="eastAsia"/>
                <w:b/>
                <w:color w:val="auto"/>
                <w:szCs w:val="21"/>
                <w:lang w:val="en-US" w:eastAsia="zh-CN"/>
              </w:rPr>
              <w:t>7</w:t>
            </w:r>
            <w:r>
              <w:rPr>
                <w:b/>
                <w:color w:val="auto"/>
                <w:szCs w:val="21"/>
              </w:rPr>
              <w:t xml:space="preserve"> </w:t>
            </w:r>
            <w:r>
              <w:rPr>
                <w:rFonts w:hint="eastAsia"/>
                <w:b/>
                <w:color w:val="auto"/>
                <w:szCs w:val="21"/>
              </w:rPr>
              <w:t>本项目污染物排放总量表（t</w:t>
            </w:r>
            <w:r>
              <w:rPr>
                <w:b/>
                <w:color w:val="auto"/>
                <w:szCs w:val="21"/>
              </w:rPr>
              <w:t>/a</w:t>
            </w:r>
            <w:r>
              <w:rPr>
                <w:rFonts w:hint="eastAsia"/>
                <w:b/>
                <w:color w:val="auto"/>
                <w:szCs w:val="21"/>
              </w:rPr>
              <w:t>）</w:t>
            </w:r>
          </w:p>
          <w:tbl>
            <w:tblPr>
              <w:tblStyle w:val="21"/>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660"/>
              <w:gridCol w:w="2381"/>
              <w:gridCol w:w="2970"/>
              <w:gridCol w:w="2187"/>
              <w:gridCol w:w="2012"/>
              <w:gridCol w:w="2044"/>
            </w:tblGrid>
            <w:tr w14:paraId="3FF5FD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524" w:type="pct"/>
                  <w:gridSpan w:val="2"/>
                  <w:shd w:val="clear" w:color="auto" w:fill="auto"/>
                  <w:vAlign w:val="center"/>
                </w:tcPr>
                <w:p w14:paraId="12E9E8F0">
                  <w:pPr>
                    <w:keepNext w:val="0"/>
                    <w:keepLines w:val="0"/>
                    <w:widowControl/>
                    <w:suppressLineNumbers w:val="0"/>
                    <w:jc w:val="center"/>
                    <w:textAlignment w:val="center"/>
                    <w:rPr>
                      <w:rFonts w:hint="default" w:ascii="Times New Roman" w:hAnsi="Times New Roman" w:eastAsia="宋体" w:cs="Times New Roman"/>
                      <w:b/>
                      <w:bCs/>
                      <w:i w:val="0"/>
                      <w:iCs w:val="0"/>
                      <w:color w:val="auto"/>
                      <w:sz w:val="18"/>
                      <w:szCs w:val="18"/>
                      <w:u w:val="none"/>
                    </w:rPr>
                  </w:pPr>
                  <w:bookmarkStart w:id="15" w:name="_Hlk159256292"/>
                  <w:r>
                    <w:rPr>
                      <w:rFonts w:hint="default" w:ascii="Times New Roman" w:hAnsi="Times New Roman" w:eastAsia="宋体" w:cs="Times New Roman"/>
                      <w:b/>
                      <w:bCs/>
                      <w:i w:val="0"/>
                      <w:iCs w:val="0"/>
                      <w:color w:val="auto"/>
                      <w:kern w:val="0"/>
                      <w:sz w:val="18"/>
                      <w:szCs w:val="18"/>
                      <w:u w:val="none"/>
                      <w:lang w:val="en-US" w:eastAsia="zh-CN" w:bidi="ar"/>
                    </w:rPr>
                    <w:t>污染物名称</w:t>
                  </w:r>
                </w:p>
              </w:tc>
              <w:tc>
                <w:tcPr>
                  <w:tcW w:w="1120" w:type="pct"/>
                  <w:shd w:val="clear" w:color="auto" w:fill="auto"/>
                  <w:vAlign w:val="center"/>
                </w:tcPr>
                <w:p w14:paraId="4F01544F">
                  <w:pPr>
                    <w:keepNext w:val="0"/>
                    <w:keepLines w:val="0"/>
                    <w:widowControl/>
                    <w:suppressLineNumbers w:val="0"/>
                    <w:jc w:val="center"/>
                    <w:textAlignment w:val="center"/>
                    <w:rPr>
                      <w:rFonts w:hint="default" w:ascii="Times New Roman" w:hAnsi="Times New Roman" w:eastAsia="宋体" w:cs="Times New Roman"/>
                      <w:b/>
                      <w:bCs/>
                      <w:i w:val="0"/>
                      <w:iCs w:val="0"/>
                      <w:color w:val="auto"/>
                      <w:sz w:val="18"/>
                      <w:szCs w:val="18"/>
                      <w:u w:val="none"/>
                    </w:rPr>
                  </w:pPr>
                  <w:r>
                    <w:rPr>
                      <w:rFonts w:hint="default" w:ascii="Times New Roman" w:hAnsi="Times New Roman" w:eastAsia="宋体" w:cs="Times New Roman"/>
                      <w:b/>
                      <w:bCs/>
                      <w:i w:val="0"/>
                      <w:iCs w:val="0"/>
                      <w:color w:val="auto"/>
                      <w:kern w:val="0"/>
                      <w:sz w:val="18"/>
                      <w:szCs w:val="18"/>
                      <w:u w:val="none"/>
                      <w:lang w:val="en-US" w:eastAsia="zh-CN" w:bidi="ar"/>
                    </w:rPr>
                    <w:t>产生量</w:t>
                  </w:r>
                </w:p>
              </w:tc>
              <w:tc>
                <w:tcPr>
                  <w:tcW w:w="825" w:type="pct"/>
                  <w:shd w:val="clear" w:color="auto" w:fill="auto"/>
                  <w:vAlign w:val="center"/>
                </w:tcPr>
                <w:p w14:paraId="5273D10F">
                  <w:pPr>
                    <w:keepNext w:val="0"/>
                    <w:keepLines w:val="0"/>
                    <w:widowControl/>
                    <w:suppressLineNumbers w:val="0"/>
                    <w:jc w:val="center"/>
                    <w:textAlignment w:val="center"/>
                    <w:rPr>
                      <w:rFonts w:hint="default" w:ascii="Times New Roman" w:hAnsi="Times New Roman" w:eastAsia="宋体" w:cs="Times New Roman"/>
                      <w:b/>
                      <w:bCs/>
                      <w:i w:val="0"/>
                      <w:iCs w:val="0"/>
                      <w:color w:val="auto"/>
                      <w:sz w:val="18"/>
                      <w:szCs w:val="18"/>
                      <w:u w:val="none"/>
                    </w:rPr>
                  </w:pPr>
                  <w:r>
                    <w:rPr>
                      <w:rFonts w:hint="default" w:ascii="Times New Roman" w:hAnsi="Times New Roman" w:eastAsia="宋体" w:cs="Times New Roman"/>
                      <w:b/>
                      <w:bCs/>
                      <w:i w:val="0"/>
                      <w:iCs w:val="0"/>
                      <w:color w:val="auto"/>
                      <w:kern w:val="0"/>
                      <w:sz w:val="18"/>
                      <w:szCs w:val="18"/>
                      <w:u w:val="none"/>
                      <w:lang w:val="en-US" w:eastAsia="zh-CN" w:bidi="ar"/>
                    </w:rPr>
                    <w:t>削减量</w:t>
                  </w:r>
                </w:p>
              </w:tc>
              <w:tc>
                <w:tcPr>
                  <w:tcW w:w="759" w:type="pct"/>
                  <w:shd w:val="clear" w:color="auto" w:fill="auto"/>
                  <w:vAlign w:val="center"/>
                </w:tcPr>
                <w:p w14:paraId="15E650BB">
                  <w:pPr>
                    <w:keepNext w:val="0"/>
                    <w:keepLines w:val="0"/>
                    <w:widowControl/>
                    <w:suppressLineNumbers w:val="0"/>
                    <w:jc w:val="center"/>
                    <w:textAlignment w:val="center"/>
                    <w:rPr>
                      <w:rFonts w:hint="default" w:ascii="Times New Roman" w:hAnsi="Times New Roman" w:eastAsia="宋体" w:cs="Times New Roman"/>
                      <w:b/>
                      <w:bCs/>
                      <w:i w:val="0"/>
                      <w:iCs w:val="0"/>
                      <w:color w:val="auto"/>
                      <w:sz w:val="18"/>
                      <w:szCs w:val="18"/>
                      <w:u w:val="none"/>
                    </w:rPr>
                  </w:pPr>
                  <w:r>
                    <w:rPr>
                      <w:rFonts w:hint="default" w:ascii="Times New Roman" w:hAnsi="Times New Roman" w:eastAsia="宋体" w:cs="Times New Roman"/>
                      <w:b/>
                      <w:bCs/>
                      <w:i w:val="0"/>
                      <w:iCs w:val="0"/>
                      <w:color w:val="auto"/>
                      <w:kern w:val="0"/>
                      <w:sz w:val="18"/>
                      <w:szCs w:val="18"/>
                      <w:u w:val="none"/>
                      <w:lang w:val="en-US" w:eastAsia="zh-CN" w:bidi="ar"/>
                    </w:rPr>
                    <w:t>接管量</w:t>
                  </w:r>
                </w:p>
              </w:tc>
              <w:tc>
                <w:tcPr>
                  <w:tcW w:w="771" w:type="pct"/>
                  <w:shd w:val="clear" w:color="auto" w:fill="auto"/>
                  <w:vAlign w:val="center"/>
                </w:tcPr>
                <w:p w14:paraId="6AD5F82D">
                  <w:pPr>
                    <w:keepNext w:val="0"/>
                    <w:keepLines w:val="0"/>
                    <w:widowControl/>
                    <w:suppressLineNumbers w:val="0"/>
                    <w:jc w:val="center"/>
                    <w:textAlignment w:val="center"/>
                    <w:rPr>
                      <w:rFonts w:hint="default" w:ascii="Times New Roman" w:hAnsi="Times New Roman" w:eastAsia="宋体" w:cs="Times New Roman"/>
                      <w:b/>
                      <w:bCs/>
                      <w:i w:val="0"/>
                      <w:iCs w:val="0"/>
                      <w:color w:val="auto"/>
                      <w:sz w:val="18"/>
                      <w:szCs w:val="18"/>
                      <w:u w:val="none"/>
                    </w:rPr>
                  </w:pPr>
                  <w:r>
                    <w:rPr>
                      <w:rFonts w:hint="default" w:ascii="Times New Roman" w:hAnsi="Times New Roman" w:eastAsia="宋体" w:cs="Times New Roman"/>
                      <w:b/>
                      <w:bCs/>
                      <w:i w:val="0"/>
                      <w:iCs w:val="0"/>
                      <w:color w:val="auto"/>
                      <w:kern w:val="0"/>
                      <w:sz w:val="18"/>
                      <w:szCs w:val="18"/>
                      <w:u w:val="none"/>
                      <w:lang w:val="en-US" w:eastAsia="zh-CN" w:bidi="ar"/>
                    </w:rPr>
                    <w:t>排放量</w:t>
                  </w:r>
                </w:p>
              </w:tc>
            </w:tr>
            <w:tr w14:paraId="0F62A2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26" w:type="pct"/>
                  <w:vMerge w:val="restart"/>
                  <w:shd w:val="clear" w:color="auto" w:fill="auto"/>
                  <w:vAlign w:val="center"/>
                </w:tcPr>
                <w:p w14:paraId="41C8528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废水</w:t>
                  </w:r>
                </w:p>
              </w:tc>
              <w:tc>
                <w:tcPr>
                  <w:tcW w:w="898" w:type="pct"/>
                  <w:shd w:val="clear" w:color="auto" w:fill="auto"/>
                  <w:vAlign w:val="center"/>
                </w:tcPr>
                <w:p w14:paraId="6384312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废水量</w:t>
                  </w:r>
                </w:p>
              </w:tc>
              <w:tc>
                <w:tcPr>
                  <w:tcW w:w="1120" w:type="pct"/>
                  <w:shd w:val="clear" w:color="auto" w:fill="auto"/>
                  <w:vAlign w:val="center"/>
                </w:tcPr>
                <w:p w14:paraId="6EC1D00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1768.9</w:t>
                  </w:r>
                </w:p>
              </w:tc>
              <w:tc>
                <w:tcPr>
                  <w:tcW w:w="825" w:type="pct"/>
                  <w:shd w:val="clear" w:color="auto" w:fill="auto"/>
                  <w:vAlign w:val="center"/>
                </w:tcPr>
                <w:p w14:paraId="55B3C74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0</w:t>
                  </w:r>
                </w:p>
              </w:tc>
              <w:tc>
                <w:tcPr>
                  <w:tcW w:w="759" w:type="pct"/>
                  <w:shd w:val="clear" w:color="auto" w:fill="auto"/>
                  <w:vAlign w:val="center"/>
                </w:tcPr>
                <w:p w14:paraId="217ED91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1768.9</w:t>
                  </w:r>
                </w:p>
              </w:tc>
              <w:tc>
                <w:tcPr>
                  <w:tcW w:w="771" w:type="pct"/>
                  <w:shd w:val="clear" w:color="auto" w:fill="auto"/>
                  <w:vAlign w:val="center"/>
                </w:tcPr>
                <w:p w14:paraId="5370B69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530.67</w:t>
                  </w:r>
                </w:p>
              </w:tc>
            </w:tr>
            <w:tr w14:paraId="63C878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26" w:type="pct"/>
                  <w:vMerge w:val="continue"/>
                  <w:shd w:val="clear" w:color="auto" w:fill="auto"/>
                  <w:vAlign w:val="center"/>
                </w:tcPr>
                <w:p w14:paraId="48C6BB43">
                  <w:pPr>
                    <w:jc w:val="center"/>
                    <w:rPr>
                      <w:rFonts w:hint="default" w:ascii="Times New Roman" w:hAnsi="Times New Roman" w:eastAsia="宋体" w:cs="Times New Roman"/>
                      <w:i w:val="0"/>
                      <w:iCs w:val="0"/>
                      <w:color w:val="auto"/>
                      <w:sz w:val="18"/>
                      <w:szCs w:val="18"/>
                      <w:u w:val="none"/>
                    </w:rPr>
                  </w:pPr>
                </w:p>
              </w:tc>
              <w:tc>
                <w:tcPr>
                  <w:tcW w:w="898" w:type="pct"/>
                  <w:shd w:val="clear" w:color="auto" w:fill="auto"/>
                  <w:vAlign w:val="center"/>
                </w:tcPr>
                <w:p w14:paraId="777D45F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COD</w:t>
                  </w:r>
                </w:p>
              </w:tc>
              <w:tc>
                <w:tcPr>
                  <w:tcW w:w="1120" w:type="pct"/>
                  <w:shd w:val="clear" w:color="auto" w:fill="auto"/>
                  <w:vAlign w:val="center"/>
                </w:tcPr>
                <w:p w14:paraId="67508A9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0.3538 </w:t>
                  </w:r>
                </w:p>
              </w:tc>
              <w:tc>
                <w:tcPr>
                  <w:tcW w:w="825" w:type="pct"/>
                  <w:shd w:val="clear" w:color="auto" w:fill="auto"/>
                  <w:vAlign w:val="center"/>
                </w:tcPr>
                <w:p w14:paraId="4D4531B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0</w:t>
                  </w:r>
                </w:p>
              </w:tc>
              <w:tc>
                <w:tcPr>
                  <w:tcW w:w="759" w:type="pct"/>
                  <w:shd w:val="clear" w:color="auto" w:fill="auto"/>
                  <w:vAlign w:val="center"/>
                </w:tcPr>
                <w:p w14:paraId="1CBCB2C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0.3538 </w:t>
                  </w:r>
                </w:p>
              </w:tc>
              <w:tc>
                <w:tcPr>
                  <w:tcW w:w="771" w:type="pct"/>
                  <w:shd w:val="clear" w:color="auto" w:fill="auto"/>
                  <w:vAlign w:val="center"/>
                </w:tcPr>
                <w:p w14:paraId="713BB35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0.0212 </w:t>
                  </w:r>
                </w:p>
              </w:tc>
            </w:tr>
            <w:tr w14:paraId="0165CF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26" w:type="pct"/>
                  <w:vMerge w:val="continue"/>
                  <w:shd w:val="clear" w:color="auto" w:fill="auto"/>
                  <w:vAlign w:val="center"/>
                </w:tcPr>
                <w:p w14:paraId="41DF9EF6">
                  <w:pPr>
                    <w:jc w:val="center"/>
                    <w:rPr>
                      <w:rFonts w:hint="default" w:ascii="Times New Roman" w:hAnsi="Times New Roman" w:eastAsia="宋体" w:cs="Times New Roman"/>
                      <w:i w:val="0"/>
                      <w:iCs w:val="0"/>
                      <w:color w:val="auto"/>
                      <w:sz w:val="18"/>
                      <w:szCs w:val="18"/>
                      <w:u w:val="none"/>
                    </w:rPr>
                  </w:pPr>
                </w:p>
              </w:tc>
              <w:tc>
                <w:tcPr>
                  <w:tcW w:w="898" w:type="pct"/>
                  <w:shd w:val="clear" w:color="auto" w:fill="auto"/>
                  <w:vAlign w:val="center"/>
                </w:tcPr>
                <w:p w14:paraId="3DCBAD1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SS</w:t>
                  </w:r>
                </w:p>
              </w:tc>
              <w:tc>
                <w:tcPr>
                  <w:tcW w:w="1120" w:type="pct"/>
                  <w:shd w:val="clear" w:color="auto" w:fill="auto"/>
                  <w:vAlign w:val="center"/>
                </w:tcPr>
                <w:p w14:paraId="447852B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0.1769 </w:t>
                  </w:r>
                </w:p>
              </w:tc>
              <w:tc>
                <w:tcPr>
                  <w:tcW w:w="825" w:type="pct"/>
                  <w:shd w:val="clear" w:color="auto" w:fill="auto"/>
                  <w:vAlign w:val="center"/>
                </w:tcPr>
                <w:p w14:paraId="2DA7037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0</w:t>
                  </w:r>
                </w:p>
              </w:tc>
              <w:tc>
                <w:tcPr>
                  <w:tcW w:w="759" w:type="pct"/>
                  <w:shd w:val="clear" w:color="auto" w:fill="auto"/>
                  <w:vAlign w:val="center"/>
                </w:tcPr>
                <w:p w14:paraId="1D3B9E3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0.1769 </w:t>
                  </w:r>
                </w:p>
              </w:tc>
              <w:tc>
                <w:tcPr>
                  <w:tcW w:w="771" w:type="pct"/>
                  <w:shd w:val="clear" w:color="auto" w:fill="auto"/>
                  <w:vAlign w:val="center"/>
                </w:tcPr>
                <w:p w14:paraId="7004FFD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0.0053 </w:t>
                  </w:r>
                </w:p>
              </w:tc>
            </w:tr>
            <w:tr w14:paraId="22788B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26" w:type="pct"/>
                  <w:vMerge w:val="continue"/>
                  <w:shd w:val="clear" w:color="auto" w:fill="auto"/>
                  <w:vAlign w:val="center"/>
                </w:tcPr>
                <w:p w14:paraId="291CDAA7">
                  <w:pPr>
                    <w:jc w:val="center"/>
                    <w:rPr>
                      <w:rFonts w:hint="default" w:ascii="Times New Roman" w:hAnsi="Times New Roman" w:eastAsia="宋体" w:cs="Times New Roman"/>
                      <w:i w:val="0"/>
                      <w:iCs w:val="0"/>
                      <w:color w:val="auto"/>
                      <w:sz w:val="18"/>
                      <w:szCs w:val="18"/>
                      <w:u w:val="none"/>
                    </w:rPr>
                  </w:pPr>
                </w:p>
              </w:tc>
              <w:tc>
                <w:tcPr>
                  <w:tcW w:w="898" w:type="pct"/>
                  <w:shd w:val="clear" w:color="auto" w:fill="auto"/>
                  <w:vAlign w:val="center"/>
                </w:tcPr>
                <w:p w14:paraId="2AB4BCA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氨氮</w:t>
                  </w:r>
                </w:p>
              </w:tc>
              <w:tc>
                <w:tcPr>
                  <w:tcW w:w="1120" w:type="pct"/>
                  <w:shd w:val="clear" w:color="auto" w:fill="auto"/>
                  <w:vAlign w:val="center"/>
                </w:tcPr>
                <w:p w14:paraId="4BCDAEA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0.0088 </w:t>
                  </w:r>
                </w:p>
              </w:tc>
              <w:tc>
                <w:tcPr>
                  <w:tcW w:w="825" w:type="pct"/>
                  <w:shd w:val="clear" w:color="auto" w:fill="auto"/>
                  <w:vAlign w:val="center"/>
                </w:tcPr>
                <w:p w14:paraId="73E740D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0</w:t>
                  </w:r>
                </w:p>
              </w:tc>
              <w:tc>
                <w:tcPr>
                  <w:tcW w:w="759" w:type="pct"/>
                  <w:shd w:val="clear" w:color="auto" w:fill="auto"/>
                  <w:vAlign w:val="center"/>
                </w:tcPr>
                <w:p w14:paraId="34F36F7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0.0088 </w:t>
                  </w:r>
                </w:p>
              </w:tc>
              <w:tc>
                <w:tcPr>
                  <w:tcW w:w="771" w:type="pct"/>
                  <w:shd w:val="clear" w:color="auto" w:fill="auto"/>
                  <w:vAlign w:val="center"/>
                </w:tcPr>
                <w:p w14:paraId="6625154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0.0027 </w:t>
                  </w:r>
                </w:p>
              </w:tc>
            </w:tr>
            <w:tr w14:paraId="1AAD3A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26" w:type="pct"/>
                  <w:vMerge w:val="continue"/>
                  <w:shd w:val="clear" w:color="auto" w:fill="auto"/>
                  <w:vAlign w:val="center"/>
                </w:tcPr>
                <w:p w14:paraId="34771E18">
                  <w:pPr>
                    <w:jc w:val="center"/>
                    <w:rPr>
                      <w:rFonts w:hint="default" w:ascii="Times New Roman" w:hAnsi="Times New Roman" w:eastAsia="宋体" w:cs="Times New Roman"/>
                      <w:i w:val="0"/>
                      <w:iCs w:val="0"/>
                      <w:color w:val="auto"/>
                      <w:sz w:val="18"/>
                      <w:szCs w:val="18"/>
                      <w:u w:val="none"/>
                    </w:rPr>
                  </w:pPr>
                </w:p>
              </w:tc>
              <w:tc>
                <w:tcPr>
                  <w:tcW w:w="898" w:type="pct"/>
                  <w:shd w:val="clear" w:color="auto" w:fill="auto"/>
                  <w:vAlign w:val="center"/>
                </w:tcPr>
                <w:p w14:paraId="5897EEB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TN</w:t>
                  </w:r>
                </w:p>
              </w:tc>
              <w:tc>
                <w:tcPr>
                  <w:tcW w:w="1120" w:type="pct"/>
                  <w:shd w:val="clear" w:color="auto" w:fill="auto"/>
                  <w:vAlign w:val="center"/>
                </w:tcPr>
                <w:p w14:paraId="018062B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0.0177 </w:t>
                  </w:r>
                </w:p>
              </w:tc>
              <w:tc>
                <w:tcPr>
                  <w:tcW w:w="825" w:type="pct"/>
                  <w:shd w:val="clear" w:color="auto" w:fill="auto"/>
                  <w:vAlign w:val="center"/>
                </w:tcPr>
                <w:p w14:paraId="1508A67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0</w:t>
                  </w:r>
                </w:p>
              </w:tc>
              <w:tc>
                <w:tcPr>
                  <w:tcW w:w="759" w:type="pct"/>
                  <w:shd w:val="clear" w:color="auto" w:fill="auto"/>
                  <w:vAlign w:val="center"/>
                </w:tcPr>
                <w:p w14:paraId="560D63F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0.0177 </w:t>
                  </w:r>
                </w:p>
              </w:tc>
              <w:tc>
                <w:tcPr>
                  <w:tcW w:w="771" w:type="pct"/>
                  <w:shd w:val="clear" w:color="auto" w:fill="auto"/>
                  <w:vAlign w:val="center"/>
                </w:tcPr>
                <w:p w14:paraId="11B4750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0.0080 </w:t>
                  </w:r>
                </w:p>
              </w:tc>
            </w:tr>
            <w:tr w14:paraId="040C91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26" w:type="pct"/>
                  <w:vMerge w:val="continue"/>
                  <w:shd w:val="clear" w:color="auto" w:fill="auto"/>
                  <w:vAlign w:val="center"/>
                </w:tcPr>
                <w:p w14:paraId="7DB97DFE">
                  <w:pPr>
                    <w:jc w:val="center"/>
                    <w:rPr>
                      <w:rFonts w:hint="default" w:ascii="Times New Roman" w:hAnsi="Times New Roman" w:eastAsia="宋体" w:cs="Times New Roman"/>
                      <w:i w:val="0"/>
                      <w:iCs w:val="0"/>
                      <w:color w:val="auto"/>
                      <w:sz w:val="18"/>
                      <w:szCs w:val="18"/>
                      <w:u w:val="none"/>
                    </w:rPr>
                  </w:pPr>
                </w:p>
              </w:tc>
              <w:tc>
                <w:tcPr>
                  <w:tcW w:w="898" w:type="pct"/>
                  <w:shd w:val="clear" w:color="auto" w:fill="auto"/>
                  <w:noWrap/>
                  <w:vAlign w:val="center"/>
                </w:tcPr>
                <w:p w14:paraId="330E2FF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TDS</w:t>
                  </w:r>
                </w:p>
              </w:tc>
              <w:tc>
                <w:tcPr>
                  <w:tcW w:w="1120" w:type="pct"/>
                  <w:shd w:val="clear" w:color="auto" w:fill="auto"/>
                  <w:vAlign w:val="center"/>
                </w:tcPr>
                <w:p w14:paraId="5530CC4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0.1769 </w:t>
                  </w:r>
                </w:p>
              </w:tc>
              <w:tc>
                <w:tcPr>
                  <w:tcW w:w="825" w:type="pct"/>
                  <w:shd w:val="clear" w:color="auto" w:fill="auto"/>
                  <w:vAlign w:val="center"/>
                </w:tcPr>
                <w:p w14:paraId="1F6777C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0</w:t>
                  </w:r>
                </w:p>
              </w:tc>
              <w:tc>
                <w:tcPr>
                  <w:tcW w:w="759" w:type="pct"/>
                  <w:shd w:val="clear" w:color="auto" w:fill="auto"/>
                  <w:vAlign w:val="center"/>
                </w:tcPr>
                <w:p w14:paraId="7DDC9CC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0.1769 </w:t>
                  </w:r>
                </w:p>
              </w:tc>
              <w:tc>
                <w:tcPr>
                  <w:tcW w:w="771" w:type="pct"/>
                  <w:shd w:val="clear" w:color="auto" w:fill="auto"/>
                  <w:vAlign w:val="center"/>
                </w:tcPr>
                <w:p w14:paraId="3D417FD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0.1769 </w:t>
                  </w:r>
                </w:p>
              </w:tc>
            </w:tr>
            <w:tr w14:paraId="2C6045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26" w:type="pct"/>
                  <w:vMerge w:val="restart"/>
                  <w:shd w:val="clear" w:color="auto" w:fill="auto"/>
                  <w:vAlign w:val="center"/>
                </w:tcPr>
                <w:p w14:paraId="0507F7C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废气（有组织）</w:t>
                  </w:r>
                </w:p>
              </w:tc>
              <w:tc>
                <w:tcPr>
                  <w:tcW w:w="898" w:type="pct"/>
                  <w:shd w:val="clear" w:color="auto" w:fill="auto"/>
                  <w:vAlign w:val="center"/>
                </w:tcPr>
                <w:p w14:paraId="7ADFE22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硫酸雾</w:t>
                  </w:r>
                </w:p>
              </w:tc>
              <w:tc>
                <w:tcPr>
                  <w:tcW w:w="1120" w:type="pct"/>
                  <w:shd w:val="clear" w:color="auto" w:fill="auto"/>
                  <w:vAlign w:val="center"/>
                </w:tcPr>
                <w:p w14:paraId="4E9F920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0.0037 </w:t>
                  </w:r>
                </w:p>
              </w:tc>
              <w:tc>
                <w:tcPr>
                  <w:tcW w:w="825" w:type="pct"/>
                  <w:shd w:val="clear" w:color="auto" w:fill="auto"/>
                  <w:vAlign w:val="center"/>
                </w:tcPr>
                <w:p w14:paraId="5AE8023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0.0019 </w:t>
                  </w:r>
                </w:p>
              </w:tc>
              <w:tc>
                <w:tcPr>
                  <w:tcW w:w="759" w:type="pct"/>
                  <w:shd w:val="clear" w:color="auto" w:fill="auto"/>
                  <w:vAlign w:val="center"/>
                </w:tcPr>
                <w:p w14:paraId="399DDFC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771" w:type="pct"/>
                  <w:shd w:val="clear" w:color="auto" w:fill="auto"/>
                  <w:vAlign w:val="center"/>
                </w:tcPr>
                <w:p w14:paraId="50CFFF4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0.0019 </w:t>
                  </w:r>
                </w:p>
              </w:tc>
            </w:tr>
            <w:tr w14:paraId="433318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26" w:type="pct"/>
                  <w:vMerge w:val="continue"/>
                  <w:shd w:val="clear" w:color="auto" w:fill="auto"/>
                  <w:vAlign w:val="center"/>
                </w:tcPr>
                <w:p w14:paraId="29C74456">
                  <w:pPr>
                    <w:jc w:val="center"/>
                    <w:rPr>
                      <w:rFonts w:hint="default" w:ascii="Times New Roman" w:hAnsi="Times New Roman" w:eastAsia="宋体" w:cs="Times New Roman"/>
                      <w:i w:val="0"/>
                      <w:iCs w:val="0"/>
                      <w:color w:val="auto"/>
                      <w:sz w:val="18"/>
                      <w:szCs w:val="18"/>
                      <w:u w:val="none"/>
                    </w:rPr>
                  </w:pPr>
                </w:p>
              </w:tc>
              <w:tc>
                <w:tcPr>
                  <w:tcW w:w="898" w:type="pct"/>
                  <w:shd w:val="clear" w:color="auto" w:fill="auto"/>
                  <w:vAlign w:val="center"/>
                </w:tcPr>
                <w:p w14:paraId="2688B9E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硝酸雾（以NOx计）</w:t>
                  </w:r>
                </w:p>
              </w:tc>
              <w:tc>
                <w:tcPr>
                  <w:tcW w:w="1120" w:type="pct"/>
                  <w:shd w:val="clear" w:color="auto" w:fill="auto"/>
                  <w:vAlign w:val="center"/>
                </w:tcPr>
                <w:p w14:paraId="3FA8931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0.00190 </w:t>
                  </w:r>
                </w:p>
              </w:tc>
              <w:tc>
                <w:tcPr>
                  <w:tcW w:w="825" w:type="pct"/>
                  <w:shd w:val="clear" w:color="auto" w:fill="auto"/>
                  <w:vAlign w:val="center"/>
                </w:tcPr>
                <w:p w14:paraId="62962B8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0.00095 </w:t>
                  </w:r>
                </w:p>
              </w:tc>
              <w:tc>
                <w:tcPr>
                  <w:tcW w:w="759" w:type="pct"/>
                  <w:shd w:val="clear" w:color="auto" w:fill="auto"/>
                  <w:vAlign w:val="center"/>
                </w:tcPr>
                <w:p w14:paraId="462E232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771" w:type="pct"/>
                  <w:shd w:val="clear" w:color="auto" w:fill="auto"/>
                  <w:vAlign w:val="center"/>
                </w:tcPr>
                <w:p w14:paraId="20AABF4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0.00095 </w:t>
                  </w:r>
                </w:p>
              </w:tc>
            </w:tr>
            <w:tr w14:paraId="41A9F62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26" w:type="pct"/>
                  <w:vMerge w:val="continue"/>
                  <w:shd w:val="clear" w:color="auto" w:fill="auto"/>
                  <w:vAlign w:val="center"/>
                </w:tcPr>
                <w:p w14:paraId="412C9EA8">
                  <w:pPr>
                    <w:jc w:val="center"/>
                    <w:rPr>
                      <w:rFonts w:hint="default" w:ascii="Times New Roman" w:hAnsi="Times New Roman" w:eastAsia="宋体" w:cs="Times New Roman"/>
                      <w:i w:val="0"/>
                      <w:iCs w:val="0"/>
                      <w:color w:val="auto"/>
                      <w:sz w:val="18"/>
                      <w:szCs w:val="18"/>
                      <w:u w:val="none"/>
                    </w:rPr>
                  </w:pPr>
                </w:p>
              </w:tc>
              <w:tc>
                <w:tcPr>
                  <w:tcW w:w="898" w:type="pct"/>
                  <w:shd w:val="clear" w:color="auto" w:fill="auto"/>
                  <w:vAlign w:val="center"/>
                </w:tcPr>
                <w:p w14:paraId="0DEBC91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氨</w:t>
                  </w:r>
                </w:p>
              </w:tc>
              <w:tc>
                <w:tcPr>
                  <w:tcW w:w="1120" w:type="pct"/>
                  <w:shd w:val="clear" w:color="auto" w:fill="auto"/>
                  <w:vAlign w:val="center"/>
                </w:tcPr>
                <w:p w14:paraId="34C101D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0.000010 </w:t>
                  </w:r>
                </w:p>
              </w:tc>
              <w:tc>
                <w:tcPr>
                  <w:tcW w:w="825" w:type="pct"/>
                  <w:shd w:val="clear" w:color="auto" w:fill="auto"/>
                  <w:vAlign w:val="center"/>
                </w:tcPr>
                <w:p w14:paraId="1E895E2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 </w:t>
                  </w:r>
                </w:p>
              </w:tc>
              <w:tc>
                <w:tcPr>
                  <w:tcW w:w="759" w:type="pct"/>
                  <w:shd w:val="clear" w:color="auto" w:fill="auto"/>
                  <w:vAlign w:val="center"/>
                </w:tcPr>
                <w:p w14:paraId="3CD9981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771" w:type="pct"/>
                  <w:shd w:val="clear" w:color="auto" w:fill="auto"/>
                  <w:vAlign w:val="center"/>
                </w:tcPr>
                <w:p w14:paraId="57823EC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0.00001 </w:t>
                  </w:r>
                </w:p>
              </w:tc>
            </w:tr>
            <w:tr w14:paraId="3C258D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26" w:type="pct"/>
                  <w:vMerge w:val="continue"/>
                  <w:shd w:val="clear" w:color="auto" w:fill="auto"/>
                  <w:vAlign w:val="center"/>
                </w:tcPr>
                <w:p w14:paraId="77C06AA7">
                  <w:pPr>
                    <w:jc w:val="center"/>
                    <w:rPr>
                      <w:rFonts w:hint="default" w:ascii="Times New Roman" w:hAnsi="Times New Roman" w:eastAsia="宋体" w:cs="Times New Roman"/>
                      <w:i w:val="0"/>
                      <w:iCs w:val="0"/>
                      <w:color w:val="auto"/>
                      <w:sz w:val="18"/>
                      <w:szCs w:val="18"/>
                      <w:u w:val="none"/>
                    </w:rPr>
                  </w:pPr>
                </w:p>
              </w:tc>
              <w:tc>
                <w:tcPr>
                  <w:tcW w:w="898" w:type="pct"/>
                  <w:shd w:val="clear" w:color="auto" w:fill="auto"/>
                  <w:vAlign w:val="center"/>
                </w:tcPr>
                <w:p w14:paraId="0D280BA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甲醇</w:t>
                  </w:r>
                </w:p>
              </w:tc>
              <w:tc>
                <w:tcPr>
                  <w:tcW w:w="1120" w:type="pct"/>
                  <w:shd w:val="clear" w:color="auto" w:fill="auto"/>
                  <w:vAlign w:val="center"/>
                </w:tcPr>
                <w:p w14:paraId="6E573E5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0.0342 </w:t>
                  </w:r>
                </w:p>
              </w:tc>
              <w:tc>
                <w:tcPr>
                  <w:tcW w:w="825" w:type="pct"/>
                  <w:shd w:val="clear" w:color="auto" w:fill="auto"/>
                  <w:vAlign w:val="center"/>
                </w:tcPr>
                <w:p w14:paraId="56D872E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0.0171 </w:t>
                  </w:r>
                </w:p>
              </w:tc>
              <w:tc>
                <w:tcPr>
                  <w:tcW w:w="759" w:type="pct"/>
                  <w:shd w:val="clear" w:color="auto" w:fill="auto"/>
                  <w:vAlign w:val="center"/>
                </w:tcPr>
                <w:p w14:paraId="271EE7E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771" w:type="pct"/>
                  <w:shd w:val="clear" w:color="auto" w:fill="auto"/>
                  <w:vAlign w:val="center"/>
                </w:tcPr>
                <w:p w14:paraId="01296B4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0.0171 </w:t>
                  </w:r>
                </w:p>
              </w:tc>
            </w:tr>
            <w:tr w14:paraId="7D98DB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26" w:type="pct"/>
                  <w:vMerge w:val="continue"/>
                  <w:shd w:val="clear" w:color="auto" w:fill="auto"/>
                  <w:vAlign w:val="center"/>
                </w:tcPr>
                <w:p w14:paraId="14369AA0">
                  <w:pPr>
                    <w:jc w:val="center"/>
                    <w:rPr>
                      <w:rFonts w:hint="default" w:ascii="Times New Roman" w:hAnsi="Times New Roman" w:eastAsia="宋体" w:cs="Times New Roman"/>
                      <w:i w:val="0"/>
                      <w:iCs w:val="0"/>
                      <w:color w:val="auto"/>
                      <w:sz w:val="18"/>
                      <w:szCs w:val="18"/>
                      <w:u w:val="none"/>
                    </w:rPr>
                  </w:pPr>
                </w:p>
              </w:tc>
              <w:tc>
                <w:tcPr>
                  <w:tcW w:w="898" w:type="pct"/>
                  <w:shd w:val="clear" w:color="auto" w:fill="auto"/>
                  <w:vAlign w:val="center"/>
                </w:tcPr>
                <w:p w14:paraId="556F6AB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乙二醇</w:t>
                  </w:r>
                </w:p>
              </w:tc>
              <w:tc>
                <w:tcPr>
                  <w:tcW w:w="1120" w:type="pct"/>
                  <w:shd w:val="clear" w:color="auto" w:fill="auto"/>
                  <w:vAlign w:val="center"/>
                </w:tcPr>
                <w:p w14:paraId="5247F86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0.0189 </w:t>
                  </w:r>
                </w:p>
              </w:tc>
              <w:tc>
                <w:tcPr>
                  <w:tcW w:w="825" w:type="pct"/>
                  <w:shd w:val="clear" w:color="auto" w:fill="auto"/>
                  <w:vAlign w:val="center"/>
                </w:tcPr>
                <w:p w14:paraId="4B04574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0.0095 </w:t>
                  </w:r>
                </w:p>
              </w:tc>
              <w:tc>
                <w:tcPr>
                  <w:tcW w:w="759" w:type="pct"/>
                  <w:shd w:val="clear" w:color="auto" w:fill="auto"/>
                  <w:vAlign w:val="center"/>
                </w:tcPr>
                <w:p w14:paraId="494E17C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771" w:type="pct"/>
                  <w:shd w:val="clear" w:color="auto" w:fill="auto"/>
                  <w:vAlign w:val="center"/>
                </w:tcPr>
                <w:p w14:paraId="394DC5A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0.0095 </w:t>
                  </w:r>
                </w:p>
              </w:tc>
            </w:tr>
            <w:tr w14:paraId="3972E3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26" w:type="pct"/>
                  <w:vMerge w:val="continue"/>
                  <w:shd w:val="clear" w:color="auto" w:fill="auto"/>
                  <w:vAlign w:val="center"/>
                </w:tcPr>
                <w:p w14:paraId="44F45B92">
                  <w:pPr>
                    <w:jc w:val="center"/>
                    <w:rPr>
                      <w:rFonts w:hint="default" w:ascii="Times New Roman" w:hAnsi="Times New Roman" w:eastAsia="宋体" w:cs="Times New Roman"/>
                      <w:i w:val="0"/>
                      <w:iCs w:val="0"/>
                      <w:color w:val="auto"/>
                      <w:sz w:val="18"/>
                      <w:szCs w:val="18"/>
                      <w:u w:val="none"/>
                    </w:rPr>
                  </w:pPr>
                </w:p>
              </w:tc>
              <w:tc>
                <w:tcPr>
                  <w:tcW w:w="898" w:type="pct"/>
                  <w:shd w:val="clear" w:color="auto" w:fill="auto"/>
                  <w:vAlign w:val="center"/>
                </w:tcPr>
                <w:p w14:paraId="76F4CA1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四氯化碳</w:t>
                  </w:r>
                </w:p>
              </w:tc>
              <w:tc>
                <w:tcPr>
                  <w:tcW w:w="1120" w:type="pct"/>
                  <w:shd w:val="clear" w:color="auto" w:fill="auto"/>
                  <w:vAlign w:val="center"/>
                </w:tcPr>
                <w:p w14:paraId="3658EB9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0.00015 </w:t>
                  </w:r>
                </w:p>
              </w:tc>
              <w:tc>
                <w:tcPr>
                  <w:tcW w:w="825" w:type="pct"/>
                  <w:shd w:val="clear" w:color="auto" w:fill="auto"/>
                  <w:vAlign w:val="center"/>
                </w:tcPr>
                <w:p w14:paraId="392460A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0.000076 </w:t>
                  </w:r>
                </w:p>
              </w:tc>
              <w:tc>
                <w:tcPr>
                  <w:tcW w:w="759" w:type="pct"/>
                  <w:shd w:val="clear" w:color="auto" w:fill="auto"/>
                  <w:vAlign w:val="center"/>
                </w:tcPr>
                <w:p w14:paraId="3765BE0A">
                  <w:pPr>
                    <w:jc w:val="center"/>
                    <w:rPr>
                      <w:rFonts w:hint="default" w:ascii="Times New Roman" w:hAnsi="Times New Roman" w:eastAsia="宋体" w:cs="Times New Roman"/>
                      <w:i w:val="0"/>
                      <w:iCs w:val="0"/>
                      <w:color w:val="auto"/>
                      <w:sz w:val="18"/>
                      <w:szCs w:val="18"/>
                      <w:u w:val="none"/>
                    </w:rPr>
                  </w:pPr>
                </w:p>
              </w:tc>
              <w:tc>
                <w:tcPr>
                  <w:tcW w:w="771" w:type="pct"/>
                  <w:shd w:val="clear" w:color="auto" w:fill="auto"/>
                  <w:vAlign w:val="center"/>
                </w:tcPr>
                <w:p w14:paraId="28F1135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0.000076 </w:t>
                  </w:r>
                </w:p>
              </w:tc>
            </w:tr>
            <w:tr w14:paraId="1AFF98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26" w:type="pct"/>
                  <w:vMerge w:val="continue"/>
                  <w:shd w:val="clear" w:color="auto" w:fill="auto"/>
                  <w:vAlign w:val="center"/>
                </w:tcPr>
                <w:p w14:paraId="38A3EEE1">
                  <w:pPr>
                    <w:jc w:val="center"/>
                    <w:rPr>
                      <w:rFonts w:hint="default" w:ascii="Times New Roman" w:hAnsi="Times New Roman" w:eastAsia="宋体" w:cs="Times New Roman"/>
                      <w:i w:val="0"/>
                      <w:iCs w:val="0"/>
                      <w:color w:val="auto"/>
                      <w:sz w:val="18"/>
                      <w:szCs w:val="18"/>
                      <w:u w:val="none"/>
                    </w:rPr>
                  </w:pPr>
                </w:p>
              </w:tc>
              <w:tc>
                <w:tcPr>
                  <w:tcW w:w="898" w:type="pct"/>
                  <w:shd w:val="clear" w:color="auto" w:fill="auto"/>
                  <w:vAlign w:val="center"/>
                </w:tcPr>
                <w:p w14:paraId="66F02BD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VOCs</w:t>
                  </w:r>
                </w:p>
              </w:tc>
              <w:tc>
                <w:tcPr>
                  <w:tcW w:w="1120" w:type="pct"/>
                  <w:shd w:val="clear" w:color="auto" w:fill="auto"/>
                  <w:vAlign w:val="center"/>
                </w:tcPr>
                <w:p w14:paraId="185B243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0.0551 </w:t>
                  </w:r>
                </w:p>
              </w:tc>
              <w:tc>
                <w:tcPr>
                  <w:tcW w:w="825" w:type="pct"/>
                  <w:shd w:val="clear" w:color="auto" w:fill="auto"/>
                  <w:vAlign w:val="center"/>
                </w:tcPr>
                <w:p w14:paraId="1AEBD0F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0.0276 </w:t>
                  </w:r>
                </w:p>
              </w:tc>
              <w:tc>
                <w:tcPr>
                  <w:tcW w:w="759" w:type="pct"/>
                  <w:shd w:val="clear" w:color="auto" w:fill="auto"/>
                  <w:vAlign w:val="center"/>
                </w:tcPr>
                <w:p w14:paraId="170D23E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771" w:type="pct"/>
                  <w:shd w:val="clear" w:color="auto" w:fill="auto"/>
                  <w:vAlign w:val="center"/>
                </w:tcPr>
                <w:p w14:paraId="159354A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0.0276 </w:t>
                  </w:r>
                </w:p>
              </w:tc>
            </w:tr>
            <w:tr w14:paraId="111993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26" w:type="pct"/>
                  <w:vMerge w:val="restart"/>
                  <w:shd w:val="clear" w:color="auto" w:fill="auto"/>
                  <w:vAlign w:val="center"/>
                </w:tcPr>
                <w:p w14:paraId="2E0C0BF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废气（无组织）</w:t>
                  </w:r>
                </w:p>
              </w:tc>
              <w:tc>
                <w:tcPr>
                  <w:tcW w:w="898" w:type="pct"/>
                  <w:shd w:val="clear" w:color="auto" w:fill="auto"/>
                  <w:vAlign w:val="center"/>
                </w:tcPr>
                <w:p w14:paraId="61991FC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硫酸雾</w:t>
                  </w:r>
                </w:p>
              </w:tc>
              <w:tc>
                <w:tcPr>
                  <w:tcW w:w="1120" w:type="pct"/>
                  <w:shd w:val="clear" w:color="auto" w:fill="auto"/>
                  <w:vAlign w:val="center"/>
                </w:tcPr>
                <w:p w14:paraId="3344129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0.0002 </w:t>
                  </w:r>
                </w:p>
              </w:tc>
              <w:tc>
                <w:tcPr>
                  <w:tcW w:w="825" w:type="pct"/>
                  <w:shd w:val="clear" w:color="auto" w:fill="auto"/>
                  <w:vAlign w:val="center"/>
                </w:tcPr>
                <w:p w14:paraId="01A7FBB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0</w:t>
                  </w:r>
                </w:p>
              </w:tc>
              <w:tc>
                <w:tcPr>
                  <w:tcW w:w="759" w:type="pct"/>
                  <w:shd w:val="clear" w:color="auto" w:fill="auto"/>
                  <w:vAlign w:val="center"/>
                </w:tcPr>
                <w:p w14:paraId="694C70C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771" w:type="pct"/>
                  <w:shd w:val="clear" w:color="auto" w:fill="auto"/>
                  <w:noWrap/>
                  <w:vAlign w:val="center"/>
                </w:tcPr>
                <w:p w14:paraId="77ECD27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0.0002 </w:t>
                  </w:r>
                </w:p>
              </w:tc>
            </w:tr>
            <w:tr w14:paraId="4762FD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26" w:type="pct"/>
                  <w:vMerge w:val="continue"/>
                  <w:shd w:val="clear" w:color="auto" w:fill="auto"/>
                  <w:vAlign w:val="center"/>
                </w:tcPr>
                <w:p w14:paraId="2FFAB7A7">
                  <w:pPr>
                    <w:jc w:val="center"/>
                    <w:rPr>
                      <w:rFonts w:hint="default" w:ascii="Times New Roman" w:hAnsi="Times New Roman" w:eastAsia="宋体" w:cs="Times New Roman"/>
                      <w:i w:val="0"/>
                      <w:iCs w:val="0"/>
                      <w:color w:val="auto"/>
                      <w:sz w:val="18"/>
                      <w:szCs w:val="18"/>
                      <w:u w:val="none"/>
                    </w:rPr>
                  </w:pPr>
                </w:p>
              </w:tc>
              <w:tc>
                <w:tcPr>
                  <w:tcW w:w="898" w:type="pct"/>
                  <w:shd w:val="clear" w:color="auto" w:fill="auto"/>
                  <w:vAlign w:val="center"/>
                </w:tcPr>
                <w:p w14:paraId="7F2EEC5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硝酸雾（以NOx计）</w:t>
                  </w:r>
                </w:p>
              </w:tc>
              <w:tc>
                <w:tcPr>
                  <w:tcW w:w="1120" w:type="pct"/>
                  <w:shd w:val="clear" w:color="auto" w:fill="auto"/>
                  <w:vAlign w:val="center"/>
                </w:tcPr>
                <w:p w14:paraId="361EBF4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0.0001 </w:t>
                  </w:r>
                </w:p>
              </w:tc>
              <w:tc>
                <w:tcPr>
                  <w:tcW w:w="825" w:type="pct"/>
                  <w:shd w:val="clear" w:color="auto" w:fill="auto"/>
                  <w:vAlign w:val="center"/>
                </w:tcPr>
                <w:p w14:paraId="640A9AD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0</w:t>
                  </w:r>
                </w:p>
              </w:tc>
              <w:tc>
                <w:tcPr>
                  <w:tcW w:w="759" w:type="pct"/>
                  <w:shd w:val="clear" w:color="auto" w:fill="auto"/>
                  <w:vAlign w:val="center"/>
                </w:tcPr>
                <w:p w14:paraId="15C9E20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771" w:type="pct"/>
                  <w:shd w:val="clear" w:color="auto" w:fill="auto"/>
                  <w:noWrap/>
                  <w:vAlign w:val="center"/>
                </w:tcPr>
                <w:p w14:paraId="3EE6280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0.0001 </w:t>
                  </w:r>
                </w:p>
              </w:tc>
            </w:tr>
            <w:tr w14:paraId="304CF6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26" w:type="pct"/>
                  <w:vMerge w:val="continue"/>
                  <w:shd w:val="clear" w:color="auto" w:fill="auto"/>
                  <w:vAlign w:val="center"/>
                </w:tcPr>
                <w:p w14:paraId="43CBEB2D">
                  <w:pPr>
                    <w:jc w:val="center"/>
                    <w:rPr>
                      <w:rFonts w:hint="default" w:ascii="Times New Roman" w:hAnsi="Times New Roman" w:eastAsia="宋体" w:cs="Times New Roman"/>
                      <w:i w:val="0"/>
                      <w:iCs w:val="0"/>
                      <w:color w:val="auto"/>
                      <w:sz w:val="18"/>
                      <w:szCs w:val="18"/>
                      <w:u w:val="none"/>
                    </w:rPr>
                  </w:pPr>
                </w:p>
              </w:tc>
              <w:tc>
                <w:tcPr>
                  <w:tcW w:w="898" w:type="pct"/>
                  <w:shd w:val="clear" w:color="auto" w:fill="auto"/>
                  <w:vAlign w:val="center"/>
                </w:tcPr>
                <w:p w14:paraId="24D3CA9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氨</w:t>
                  </w:r>
                </w:p>
              </w:tc>
              <w:tc>
                <w:tcPr>
                  <w:tcW w:w="1120" w:type="pct"/>
                  <w:shd w:val="clear" w:color="auto" w:fill="auto"/>
                  <w:vAlign w:val="center"/>
                </w:tcPr>
                <w:p w14:paraId="008FE4A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0.00000053 </w:t>
                  </w:r>
                </w:p>
              </w:tc>
              <w:tc>
                <w:tcPr>
                  <w:tcW w:w="825" w:type="pct"/>
                  <w:shd w:val="clear" w:color="auto" w:fill="auto"/>
                  <w:vAlign w:val="center"/>
                </w:tcPr>
                <w:p w14:paraId="653C6B8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0</w:t>
                  </w:r>
                </w:p>
              </w:tc>
              <w:tc>
                <w:tcPr>
                  <w:tcW w:w="759" w:type="pct"/>
                  <w:shd w:val="clear" w:color="auto" w:fill="auto"/>
                  <w:vAlign w:val="center"/>
                </w:tcPr>
                <w:p w14:paraId="656E3D7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771" w:type="pct"/>
                  <w:shd w:val="clear" w:color="auto" w:fill="auto"/>
                  <w:vAlign w:val="center"/>
                </w:tcPr>
                <w:p w14:paraId="27ABCD9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0.00000053 </w:t>
                  </w:r>
                </w:p>
              </w:tc>
            </w:tr>
            <w:tr w14:paraId="20A66E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26" w:type="pct"/>
                  <w:vMerge w:val="continue"/>
                  <w:shd w:val="clear" w:color="auto" w:fill="auto"/>
                  <w:vAlign w:val="center"/>
                </w:tcPr>
                <w:p w14:paraId="0BD278BE">
                  <w:pPr>
                    <w:jc w:val="center"/>
                    <w:rPr>
                      <w:rFonts w:hint="default" w:ascii="Times New Roman" w:hAnsi="Times New Roman" w:eastAsia="宋体" w:cs="Times New Roman"/>
                      <w:i w:val="0"/>
                      <w:iCs w:val="0"/>
                      <w:color w:val="auto"/>
                      <w:sz w:val="18"/>
                      <w:szCs w:val="18"/>
                      <w:u w:val="none"/>
                    </w:rPr>
                  </w:pPr>
                </w:p>
              </w:tc>
              <w:tc>
                <w:tcPr>
                  <w:tcW w:w="898" w:type="pct"/>
                  <w:shd w:val="clear" w:color="auto" w:fill="auto"/>
                  <w:vAlign w:val="center"/>
                </w:tcPr>
                <w:p w14:paraId="2A2330F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甲醇</w:t>
                  </w:r>
                </w:p>
              </w:tc>
              <w:tc>
                <w:tcPr>
                  <w:tcW w:w="1120" w:type="pct"/>
                  <w:shd w:val="clear" w:color="auto" w:fill="auto"/>
                  <w:vAlign w:val="center"/>
                </w:tcPr>
                <w:p w14:paraId="492A151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0.0018 </w:t>
                  </w:r>
                </w:p>
              </w:tc>
              <w:tc>
                <w:tcPr>
                  <w:tcW w:w="825" w:type="pct"/>
                  <w:shd w:val="clear" w:color="auto" w:fill="auto"/>
                  <w:vAlign w:val="center"/>
                </w:tcPr>
                <w:p w14:paraId="33445E5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0</w:t>
                  </w:r>
                </w:p>
              </w:tc>
              <w:tc>
                <w:tcPr>
                  <w:tcW w:w="759" w:type="pct"/>
                  <w:shd w:val="clear" w:color="auto" w:fill="auto"/>
                  <w:vAlign w:val="center"/>
                </w:tcPr>
                <w:p w14:paraId="534953D3">
                  <w:pPr>
                    <w:jc w:val="center"/>
                    <w:rPr>
                      <w:rFonts w:hint="default" w:ascii="Times New Roman" w:hAnsi="Times New Roman" w:eastAsia="宋体" w:cs="Times New Roman"/>
                      <w:i w:val="0"/>
                      <w:iCs w:val="0"/>
                      <w:color w:val="auto"/>
                      <w:sz w:val="18"/>
                      <w:szCs w:val="18"/>
                      <w:u w:val="none"/>
                    </w:rPr>
                  </w:pPr>
                </w:p>
              </w:tc>
              <w:tc>
                <w:tcPr>
                  <w:tcW w:w="771" w:type="pct"/>
                  <w:shd w:val="clear" w:color="auto" w:fill="auto"/>
                  <w:vAlign w:val="center"/>
                </w:tcPr>
                <w:p w14:paraId="72228A8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0.0018 </w:t>
                  </w:r>
                </w:p>
              </w:tc>
            </w:tr>
            <w:tr w14:paraId="7C11D6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26" w:type="pct"/>
                  <w:vMerge w:val="continue"/>
                  <w:shd w:val="clear" w:color="auto" w:fill="auto"/>
                  <w:vAlign w:val="center"/>
                </w:tcPr>
                <w:p w14:paraId="5A640D61">
                  <w:pPr>
                    <w:jc w:val="center"/>
                    <w:rPr>
                      <w:rFonts w:hint="default" w:ascii="Times New Roman" w:hAnsi="Times New Roman" w:eastAsia="宋体" w:cs="Times New Roman"/>
                      <w:i w:val="0"/>
                      <w:iCs w:val="0"/>
                      <w:color w:val="auto"/>
                      <w:sz w:val="18"/>
                      <w:szCs w:val="18"/>
                      <w:u w:val="none"/>
                    </w:rPr>
                  </w:pPr>
                </w:p>
              </w:tc>
              <w:tc>
                <w:tcPr>
                  <w:tcW w:w="898" w:type="pct"/>
                  <w:shd w:val="clear" w:color="auto" w:fill="auto"/>
                  <w:vAlign w:val="center"/>
                </w:tcPr>
                <w:p w14:paraId="4E9DAD9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乙二醇</w:t>
                  </w:r>
                </w:p>
              </w:tc>
              <w:tc>
                <w:tcPr>
                  <w:tcW w:w="1120" w:type="pct"/>
                  <w:shd w:val="clear" w:color="auto" w:fill="auto"/>
                  <w:vAlign w:val="center"/>
                </w:tcPr>
                <w:p w14:paraId="0050B16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0.0010 </w:t>
                  </w:r>
                </w:p>
              </w:tc>
              <w:tc>
                <w:tcPr>
                  <w:tcW w:w="825" w:type="pct"/>
                  <w:shd w:val="clear" w:color="auto" w:fill="auto"/>
                  <w:vAlign w:val="center"/>
                </w:tcPr>
                <w:p w14:paraId="59F5D04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0</w:t>
                  </w:r>
                </w:p>
              </w:tc>
              <w:tc>
                <w:tcPr>
                  <w:tcW w:w="759" w:type="pct"/>
                  <w:shd w:val="clear" w:color="auto" w:fill="auto"/>
                  <w:vAlign w:val="center"/>
                </w:tcPr>
                <w:p w14:paraId="53106AB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771" w:type="pct"/>
                  <w:shd w:val="clear" w:color="auto" w:fill="auto"/>
                  <w:vAlign w:val="center"/>
                </w:tcPr>
                <w:p w14:paraId="25485D5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0.0010 </w:t>
                  </w:r>
                </w:p>
              </w:tc>
            </w:tr>
            <w:tr w14:paraId="37F57D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26" w:type="pct"/>
                  <w:vMerge w:val="continue"/>
                  <w:shd w:val="clear" w:color="auto" w:fill="auto"/>
                  <w:vAlign w:val="center"/>
                </w:tcPr>
                <w:p w14:paraId="07BC1DDF">
                  <w:pPr>
                    <w:jc w:val="center"/>
                    <w:rPr>
                      <w:rFonts w:hint="default" w:ascii="Times New Roman" w:hAnsi="Times New Roman" w:eastAsia="宋体" w:cs="Times New Roman"/>
                      <w:i w:val="0"/>
                      <w:iCs w:val="0"/>
                      <w:color w:val="auto"/>
                      <w:sz w:val="18"/>
                      <w:szCs w:val="18"/>
                      <w:u w:val="none"/>
                    </w:rPr>
                  </w:pPr>
                </w:p>
              </w:tc>
              <w:tc>
                <w:tcPr>
                  <w:tcW w:w="898" w:type="pct"/>
                  <w:shd w:val="clear" w:color="auto" w:fill="auto"/>
                  <w:vAlign w:val="center"/>
                </w:tcPr>
                <w:p w14:paraId="26BAFAE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四氯化碳</w:t>
                  </w:r>
                </w:p>
              </w:tc>
              <w:tc>
                <w:tcPr>
                  <w:tcW w:w="1120" w:type="pct"/>
                  <w:shd w:val="clear" w:color="auto" w:fill="auto"/>
                  <w:vAlign w:val="center"/>
                </w:tcPr>
                <w:p w14:paraId="0C4BD54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0.000008 </w:t>
                  </w:r>
                </w:p>
              </w:tc>
              <w:tc>
                <w:tcPr>
                  <w:tcW w:w="825" w:type="pct"/>
                  <w:shd w:val="clear" w:color="auto" w:fill="auto"/>
                  <w:vAlign w:val="center"/>
                </w:tcPr>
                <w:p w14:paraId="0F800D07">
                  <w:pPr>
                    <w:jc w:val="center"/>
                    <w:rPr>
                      <w:rFonts w:hint="default" w:ascii="Times New Roman" w:hAnsi="Times New Roman" w:eastAsia="宋体" w:cs="Times New Roman"/>
                      <w:i w:val="0"/>
                      <w:iCs w:val="0"/>
                      <w:color w:val="auto"/>
                      <w:sz w:val="18"/>
                      <w:szCs w:val="18"/>
                      <w:u w:val="none"/>
                    </w:rPr>
                  </w:pPr>
                </w:p>
              </w:tc>
              <w:tc>
                <w:tcPr>
                  <w:tcW w:w="759" w:type="pct"/>
                  <w:shd w:val="clear" w:color="auto" w:fill="auto"/>
                  <w:vAlign w:val="center"/>
                </w:tcPr>
                <w:p w14:paraId="47B89B89">
                  <w:pPr>
                    <w:jc w:val="center"/>
                    <w:rPr>
                      <w:rFonts w:hint="default" w:ascii="Times New Roman" w:hAnsi="Times New Roman" w:eastAsia="宋体" w:cs="Times New Roman"/>
                      <w:i w:val="0"/>
                      <w:iCs w:val="0"/>
                      <w:color w:val="auto"/>
                      <w:sz w:val="18"/>
                      <w:szCs w:val="18"/>
                      <w:u w:val="none"/>
                    </w:rPr>
                  </w:pPr>
                </w:p>
              </w:tc>
              <w:tc>
                <w:tcPr>
                  <w:tcW w:w="771" w:type="pct"/>
                  <w:shd w:val="clear" w:color="auto" w:fill="auto"/>
                  <w:vAlign w:val="center"/>
                </w:tcPr>
                <w:p w14:paraId="685CA87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0.000008 </w:t>
                  </w:r>
                </w:p>
              </w:tc>
            </w:tr>
            <w:tr w14:paraId="6BABFA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26" w:type="pct"/>
                  <w:vMerge w:val="continue"/>
                  <w:shd w:val="clear" w:color="auto" w:fill="auto"/>
                  <w:vAlign w:val="center"/>
                </w:tcPr>
                <w:p w14:paraId="74704AE8">
                  <w:pPr>
                    <w:jc w:val="center"/>
                    <w:rPr>
                      <w:rFonts w:hint="default" w:ascii="Times New Roman" w:hAnsi="Times New Roman" w:eastAsia="宋体" w:cs="Times New Roman"/>
                      <w:i w:val="0"/>
                      <w:iCs w:val="0"/>
                      <w:color w:val="auto"/>
                      <w:sz w:val="18"/>
                      <w:szCs w:val="18"/>
                      <w:u w:val="none"/>
                    </w:rPr>
                  </w:pPr>
                </w:p>
              </w:tc>
              <w:tc>
                <w:tcPr>
                  <w:tcW w:w="898" w:type="pct"/>
                  <w:shd w:val="clear" w:color="auto" w:fill="auto"/>
                  <w:vAlign w:val="center"/>
                </w:tcPr>
                <w:p w14:paraId="2905731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VOCs</w:t>
                  </w:r>
                </w:p>
              </w:tc>
              <w:tc>
                <w:tcPr>
                  <w:tcW w:w="1120" w:type="pct"/>
                  <w:shd w:val="clear" w:color="auto" w:fill="auto"/>
                  <w:vAlign w:val="center"/>
                </w:tcPr>
                <w:p w14:paraId="6EB7C93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0.0029 </w:t>
                  </w:r>
                </w:p>
              </w:tc>
              <w:tc>
                <w:tcPr>
                  <w:tcW w:w="825" w:type="pct"/>
                  <w:shd w:val="clear" w:color="auto" w:fill="auto"/>
                  <w:vAlign w:val="center"/>
                </w:tcPr>
                <w:p w14:paraId="00284BD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0</w:t>
                  </w:r>
                </w:p>
              </w:tc>
              <w:tc>
                <w:tcPr>
                  <w:tcW w:w="759" w:type="pct"/>
                  <w:shd w:val="clear" w:color="auto" w:fill="auto"/>
                  <w:vAlign w:val="center"/>
                </w:tcPr>
                <w:p w14:paraId="5E5D3FC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771" w:type="pct"/>
                  <w:shd w:val="clear" w:color="auto" w:fill="auto"/>
                  <w:vAlign w:val="center"/>
                </w:tcPr>
                <w:p w14:paraId="47F6709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0.0029 </w:t>
                  </w:r>
                </w:p>
              </w:tc>
            </w:tr>
            <w:tr w14:paraId="5AB509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626" w:type="pct"/>
                  <w:vMerge w:val="restart"/>
                  <w:shd w:val="clear" w:color="auto" w:fill="auto"/>
                  <w:vAlign w:val="center"/>
                </w:tcPr>
                <w:p w14:paraId="27B9754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固体废物</w:t>
                  </w:r>
                </w:p>
              </w:tc>
              <w:tc>
                <w:tcPr>
                  <w:tcW w:w="898" w:type="pct"/>
                  <w:shd w:val="clear" w:color="auto" w:fill="auto"/>
                  <w:noWrap/>
                  <w:vAlign w:val="center"/>
                </w:tcPr>
                <w:p w14:paraId="10B9B4E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一般工业固体废物</w:t>
                  </w:r>
                </w:p>
              </w:tc>
              <w:tc>
                <w:tcPr>
                  <w:tcW w:w="1120" w:type="pct"/>
                  <w:shd w:val="clear" w:color="auto" w:fill="auto"/>
                  <w:noWrap/>
                  <w:vAlign w:val="center"/>
                </w:tcPr>
                <w:p w14:paraId="26A8A25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w:t>
                  </w:r>
                </w:p>
              </w:tc>
              <w:tc>
                <w:tcPr>
                  <w:tcW w:w="825" w:type="pct"/>
                  <w:shd w:val="clear" w:color="auto" w:fill="auto"/>
                  <w:noWrap/>
                  <w:vAlign w:val="center"/>
                </w:tcPr>
                <w:p w14:paraId="7A4AD5E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w:t>
                  </w:r>
                </w:p>
              </w:tc>
              <w:tc>
                <w:tcPr>
                  <w:tcW w:w="759" w:type="pct"/>
                  <w:shd w:val="clear" w:color="auto" w:fill="auto"/>
                  <w:noWrap/>
                  <w:vAlign w:val="center"/>
                </w:tcPr>
                <w:p w14:paraId="0F398C6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771" w:type="pct"/>
                  <w:shd w:val="clear" w:color="auto" w:fill="auto"/>
                  <w:noWrap/>
                  <w:vAlign w:val="center"/>
                </w:tcPr>
                <w:p w14:paraId="013CEE8B">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0</w:t>
                  </w:r>
                </w:p>
              </w:tc>
            </w:tr>
            <w:tr w14:paraId="1C5BDC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center"/>
              </w:trPr>
              <w:tc>
                <w:tcPr>
                  <w:tcW w:w="626" w:type="pct"/>
                  <w:vMerge w:val="continue"/>
                  <w:shd w:val="clear" w:color="auto" w:fill="auto"/>
                  <w:vAlign w:val="center"/>
                </w:tcPr>
                <w:p w14:paraId="082BF241">
                  <w:pPr>
                    <w:jc w:val="center"/>
                    <w:rPr>
                      <w:rFonts w:hint="default" w:ascii="Times New Roman" w:hAnsi="Times New Roman" w:eastAsia="宋体" w:cs="Times New Roman"/>
                      <w:i w:val="0"/>
                      <w:iCs w:val="0"/>
                      <w:color w:val="auto"/>
                      <w:sz w:val="18"/>
                      <w:szCs w:val="18"/>
                      <w:u w:val="none"/>
                    </w:rPr>
                  </w:pPr>
                </w:p>
              </w:tc>
              <w:tc>
                <w:tcPr>
                  <w:tcW w:w="898" w:type="pct"/>
                  <w:shd w:val="clear" w:color="auto" w:fill="auto"/>
                  <w:noWrap/>
                  <w:vAlign w:val="center"/>
                </w:tcPr>
                <w:p w14:paraId="3383FCD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危险废物</w:t>
                  </w:r>
                </w:p>
              </w:tc>
              <w:tc>
                <w:tcPr>
                  <w:tcW w:w="1120" w:type="pct"/>
                  <w:shd w:val="clear" w:color="auto" w:fill="auto"/>
                  <w:noWrap/>
                  <w:vAlign w:val="center"/>
                </w:tcPr>
                <w:p w14:paraId="3F35F78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8.33 </w:t>
                  </w:r>
                </w:p>
              </w:tc>
              <w:tc>
                <w:tcPr>
                  <w:tcW w:w="825" w:type="pct"/>
                  <w:shd w:val="clear" w:color="auto" w:fill="auto"/>
                  <w:noWrap/>
                  <w:vAlign w:val="center"/>
                </w:tcPr>
                <w:p w14:paraId="5BE3D4F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8.33 </w:t>
                  </w:r>
                </w:p>
              </w:tc>
              <w:tc>
                <w:tcPr>
                  <w:tcW w:w="759" w:type="pct"/>
                  <w:shd w:val="clear" w:color="auto" w:fill="auto"/>
                  <w:noWrap/>
                  <w:vAlign w:val="center"/>
                </w:tcPr>
                <w:p w14:paraId="0F7D506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771" w:type="pct"/>
                  <w:shd w:val="clear" w:color="auto" w:fill="auto"/>
                  <w:noWrap/>
                  <w:vAlign w:val="center"/>
                </w:tcPr>
                <w:p w14:paraId="6F6E7A57">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0</w:t>
                  </w:r>
                </w:p>
              </w:tc>
            </w:tr>
            <w:bookmarkEnd w:id="15"/>
          </w:tbl>
          <w:p w14:paraId="34EAED4F">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default" w:eastAsia="宋体"/>
                <w:b/>
                <w:color w:val="auto"/>
                <w:sz w:val="18"/>
                <w:szCs w:val="18"/>
                <w:lang w:val="en-US" w:eastAsia="zh-CN"/>
              </w:rPr>
            </w:pPr>
            <w:r>
              <w:rPr>
                <w:rFonts w:hint="eastAsia"/>
                <w:b/>
                <w:color w:val="auto"/>
                <w:sz w:val="18"/>
                <w:szCs w:val="18"/>
                <w:lang w:val="en-US" w:eastAsia="zh-CN"/>
              </w:rPr>
              <w:t>注：本项目VOCs包括甲醇、乙二醇、乙酸、四氯化碳。</w:t>
            </w:r>
          </w:p>
          <w:p w14:paraId="6D62349C">
            <w:pPr>
              <w:snapToGrid w:val="0"/>
              <w:spacing w:line="500" w:lineRule="exact"/>
              <w:jc w:val="center"/>
              <w:rPr>
                <w:b/>
                <w:color w:val="auto"/>
                <w:szCs w:val="21"/>
              </w:rPr>
            </w:pPr>
            <w:r>
              <w:rPr>
                <w:rFonts w:hint="eastAsia"/>
                <w:b/>
                <w:color w:val="auto"/>
                <w:szCs w:val="21"/>
              </w:rPr>
              <w:t>表</w:t>
            </w:r>
            <w:r>
              <w:rPr>
                <w:b/>
                <w:color w:val="auto"/>
                <w:szCs w:val="21"/>
              </w:rPr>
              <w:t>3-</w:t>
            </w:r>
            <w:r>
              <w:rPr>
                <w:rFonts w:hint="eastAsia"/>
                <w:b/>
                <w:color w:val="auto"/>
                <w:szCs w:val="21"/>
                <w:lang w:val="en-US" w:eastAsia="zh-CN"/>
              </w:rPr>
              <w:t>8</w:t>
            </w:r>
            <w:r>
              <w:rPr>
                <w:b/>
                <w:color w:val="auto"/>
                <w:szCs w:val="21"/>
              </w:rPr>
              <w:t xml:space="preserve"> </w:t>
            </w:r>
            <w:r>
              <w:rPr>
                <w:rFonts w:hint="eastAsia"/>
                <w:b/>
                <w:color w:val="auto"/>
                <w:szCs w:val="21"/>
              </w:rPr>
              <w:t>本项目建成后全厂污染物排放量汇总表（t</w:t>
            </w:r>
            <w:r>
              <w:rPr>
                <w:b/>
                <w:color w:val="auto"/>
                <w:szCs w:val="21"/>
              </w:rPr>
              <w:t>/a</w:t>
            </w:r>
            <w:r>
              <w:rPr>
                <w:rFonts w:hint="eastAsia"/>
                <w:b/>
                <w:color w:val="auto"/>
                <w:szCs w:val="21"/>
              </w:rPr>
              <w:t>）</w:t>
            </w:r>
          </w:p>
          <w:tbl>
            <w:tblPr>
              <w:tblStyle w:val="21"/>
              <w:tblW w:w="0" w:type="auto"/>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782"/>
              <w:gridCol w:w="662"/>
              <w:gridCol w:w="1850"/>
              <w:gridCol w:w="1069"/>
              <w:gridCol w:w="1236"/>
              <w:gridCol w:w="825"/>
              <w:gridCol w:w="1062"/>
              <w:gridCol w:w="825"/>
              <w:gridCol w:w="1062"/>
              <w:gridCol w:w="1004"/>
              <w:gridCol w:w="1154"/>
              <w:gridCol w:w="752"/>
              <w:gridCol w:w="971"/>
            </w:tblGrid>
            <w:tr w14:paraId="21A5C7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0" w:type="auto"/>
                  <w:vMerge w:val="restart"/>
                  <w:shd w:val="clear" w:color="auto" w:fill="FFFFFF"/>
                  <w:vAlign w:val="center"/>
                </w:tcPr>
                <w:p w14:paraId="7CACA288">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项目分类</w:t>
                  </w:r>
                </w:p>
              </w:tc>
              <w:tc>
                <w:tcPr>
                  <w:tcW w:w="0" w:type="auto"/>
                  <w:gridSpan w:val="2"/>
                  <w:vMerge w:val="restart"/>
                  <w:shd w:val="clear" w:color="auto" w:fill="FFFFFF"/>
                  <w:vAlign w:val="center"/>
                </w:tcPr>
                <w:p w14:paraId="0CDC7B3A">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污染物名称</w:t>
                  </w:r>
                </w:p>
              </w:tc>
              <w:tc>
                <w:tcPr>
                  <w:tcW w:w="0" w:type="auto"/>
                  <w:gridSpan w:val="2"/>
                  <w:shd w:val="clear" w:color="auto" w:fill="FFFFFF"/>
                  <w:vAlign w:val="center"/>
                </w:tcPr>
                <w:p w14:paraId="5A921FBE">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现有项目环评批复排放量</w:t>
                  </w:r>
                </w:p>
              </w:tc>
              <w:tc>
                <w:tcPr>
                  <w:tcW w:w="0" w:type="auto"/>
                  <w:gridSpan w:val="2"/>
                  <w:shd w:val="clear" w:color="auto" w:fill="FFFFFF"/>
                  <w:vAlign w:val="center"/>
                </w:tcPr>
                <w:p w14:paraId="06E5A694">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本项目排放量</w:t>
                  </w:r>
                </w:p>
              </w:tc>
              <w:tc>
                <w:tcPr>
                  <w:tcW w:w="0" w:type="auto"/>
                  <w:gridSpan w:val="2"/>
                  <w:shd w:val="clear" w:color="auto" w:fill="FFFFFF"/>
                  <w:vAlign w:val="center"/>
                </w:tcPr>
                <w:p w14:paraId="60BC4ABA">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w:t>
                  </w:r>
                  <w:r>
                    <w:rPr>
                      <w:rFonts w:hint="eastAsia" w:ascii="宋体" w:hAnsi="宋体" w:eastAsia="宋体" w:cs="宋体"/>
                      <w:b/>
                      <w:bCs/>
                      <w:i w:val="0"/>
                      <w:iCs w:val="0"/>
                      <w:color w:val="auto"/>
                      <w:kern w:val="0"/>
                      <w:sz w:val="21"/>
                      <w:szCs w:val="21"/>
                      <w:u w:val="none"/>
                      <w:lang w:val="en-US" w:eastAsia="zh-CN" w:bidi="ar"/>
                    </w:rPr>
                    <w:t>以新带老</w:t>
                  </w:r>
                  <w:r>
                    <w:rPr>
                      <w:rFonts w:hint="default" w:ascii="Times New Roman" w:hAnsi="Times New Roman" w:eastAsia="宋体" w:cs="Times New Roman"/>
                      <w:b/>
                      <w:bCs/>
                      <w:i w:val="0"/>
                      <w:iCs w:val="0"/>
                      <w:color w:val="auto"/>
                      <w:kern w:val="0"/>
                      <w:sz w:val="21"/>
                      <w:szCs w:val="21"/>
                      <w:u w:val="none"/>
                      <w:lang w:val="en-US" w:eastAsia="zh-CN" w:bidi="ar"/>
                    </w:rPr>
                    <w:t>”</w:t>
                  </w:r>
                  <w:r>
                    <w:rPr>
                      <w:rFonts w:hint="eastAsia" w:ascii="宋体" w:hAnsi="宋体" w:eastAsia="宋体" w:cs="宋体"/>
                      <w:b/>
                      <w:bCs/>
                      <w:i w:val="0"/>
                      <w:iCs w:val="0"/>
                      <w:color w:val="auto"/>
                      <w:kern w:val="0"/>
                      <w:sz w:val="21"/>
                      <w:szCs w:val="21"/>
                      <w:u w:val="none"/>
                      <w:lang w:val="en-US" w:eastAsia="zh-CN" w:bidi="ar"/>
                    </w:rPr>
                    <w:t>削减量</w:t>
                  </w:r>
                </w:p>
              </w:tc>
              <w:tc>
                <w:tcPr>
                  <w:tcW w:w="0" w:type="auto"/>
                  <w:gridSpan w:val="2"/>
                  <w:shd w:val="clear" w:color="auto" w:fill="FFFFFF"/>
                  <w:vAlign w:val="center"/>
                </w:tcPr>
                <w:p w14:paraId="229BC6F9">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全厂排放量</w:t>
                  </w:r>
                </w:p>
              </w:tc>
              <w:tc>
                <w:tcPr>
                  <w:tcW w:w="0" w:type="auto"/>
                  <w:gridSpan w:val="2"/>
                  <w:shd w:val="clear" w:color="auto" w:fill="FFFFFF"/>
                  <w:vAlign w:val="center"/>
                </w:tcPr>
                <w:p w14:paraId="0FB84972">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排放增减量</w:t>
                  </w:r>
                </w:p>
              </w:tc>
            </w:tr>
            <w:tr w14:paraId="7AD352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0" w:hRule="atLeast"/>
              </w:trPr>
              <w:tc>
                <w:tcPr>
                  <w:tcW w:w="0" w:type="auto"/>
                  <w:vMerge w:val="continue"/>
                  <w:shd w:val="clear" w:color="auto" w:fill="FFFFFF"/>
                  <w:vAlign w:val="center"/>
                </w:tcPr>
                <w:p w14:paraId="4EE29929">
                  <w:pPr>
                    <w:jc w:val="center"/>
                    <w:rPr>
                      <w:rFonts w:hint="eastAsia" w:ascii="宋体" w:hAnsi="宋体" w:eastAsia="宋体" w:cs="宋体"/>
                      <w:b/>
                      <w:bCs/>
                      <w:i w:val="0"/>
                      <w:iCs w:val="0"/>
                      <w:color w:val="auto"/>
                      <w:sz w:val="21"/>
                      <w:szCs w:val="21"/>
                      <w:u w:val="none"/>
                    </w:rPr>
                  </w:pPr>
                </w:p>
              </w:tc>
              <w:tc>
                <w:tcPr>
                  <w:tcW w:w="0" w:type="auto"/>
                  <w:gridSpan w:val="2"/>
                  <w:vMerge w:val="continue"/>
                  <w:shd w:val="clear" w:color="auto" w:fill="FFFFFF"/>
                  <w:vAlign w:val="center"/>
                </w:tcPr>
                <w:p w14:paraId="70565B98">
                  <w:pPr>
                    <w:jc w:val="center"/>
                    <w:rPr>
                      <w:rFonts w:hint="eastAsia" w:ascii="宋体" w:hAnsi="宋体" w:eastAsia="宋体" w:cs="宋体"/>
                      <w:b/>
                      <w:bCs/>
                      <w:i w:val="0"/>
                      <w:iCs w:val="0"/>
                      <w:color w:val="auto"/>
                      <w:sz w:val="21"/>
                      <w:szCs w:val="21"/>
                      <w:u w:val="none"/>
                    </w:rPr>
                  </w:pPr>
                </w:p>
              </w:tc>
              <w:tc>
                <w:tcPr>
                  <w:tcW w:w="0" w:type="auto"/>
                  <w:shd w:val="clear" w:color="auto" w:fill="FFFFFF"/>
                  <w:vAlign w:val="center"/>
                </w:tcPr>
                <w:p w14:paraId="31C92F85">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接管量</w:t>
                  </w:r>
                </w:p>
              </w:tc>
              <w:tc>
                <w:tcPr>
                  <w:tcW w:w="0" w:type="auto"/>
                  <w:shd w:val="clear" w:color="auto" w:fill="FFFFFF"/>
                  <w:vAlign w:val="center"/>
                </w:tcPr>
                <w:p w14:paraId="6AA965CF">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排入环境量</w:t>
                  </w:r>
                </w:p>
              </w:tc>
              <w:tc>
                <w:tcPr>
                  <w:tcW w:w="0" w:type="auto"/>
                  <w:shd w:val="clear" w:color="auto" w:fill="FFFFFF"/>
                  <w:vAlign w:val="center"/>
                </w:tcPr>
                <w:p w14:paraId="3583E614">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接管量</w:t>
                  </w:r>
                </w:p>
              </w:tc>
              <w:tc>
                <w:tcPr>
                  <w:tcW w:w="0" w:type="auto"/>
                  <w:shd w:val="clear" w:color="auto" w:fill="FFFFFF"/>
                  <w:vAlign w:val="center"/>
                </w:tcPr>
                <w:p w14:paraId="1F042AEC">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排入环境量</w:t>
                  </w:r>
                </w:p>
              </w:tc>
              <w:tc>
                <w:tcPr>
                  <w:tcW w:w="0" w:type="auto"/>
                  <w:shd w:val="clear" w:color="auto" w:fill="FFFFFF"/>
                  <w:vAlign w:val="center"/>
                </w:tcPr>
                <w:p w14:paraId="63A2C333">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接管量</w:t>
                  </w:r>
                </w:p>
              </w:tc>
              <w:tc>
                <w:tcPr>
                  <w:tcW w:w="0" w:type="auto"/>
                  <w:shd w:val="clear" w:color="auto" w:fill="FFFFFF"/>
                  <w:vAlign w:val="center"/>
                </w:tcPr>
                <w:p w14:paraId="7D346CE7">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排入环境量</w:t>
                  </w:r>
                </w:p>
              </w:tc>
              <w:tc>
                <w:tcPr>
                  <w:tcW w:w="0" w:type="auto"/>
                  <w:shd w:val="clear" w:color="auto" w:fill="FFFFFF"/>
                  <w:vAlign w:val="center"/>
                </w:tcPr>
                <w:p w14:paraId="3860175E">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接管量</w:t>
                  </w:r>
                </w:p>
              </w:tc>
              <w:tc>
                <w:tcPr>
                  <w:tcW w:w="0" w:type="auto"/>
                  <w:shd w:val="clear" w:color="auto" w:fill="FFFFFF"/>
                  <w:vAlign w:val="center"/>
                </w:tcPr>
                <w:p w14:paraId="33AA6D4C">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排入环境量</w:t>
                  </w:r>
                </w:p>
              </w:tc>
              <w:tc>
                <w:tcPr>
                  <w:tcW w:w="0" w:type="auto"/>
                  <w:shd w:val="clear" w:color="auto" w:fill="FFFFFF"/>
                  <w:vAlign w:val="center"/>
                </w:tcPr>
                <w:p w14:paraId="3C6B2404">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接管量</w:t>
                  </w:r>
                </w:p>
              </w:tc>
              <w:tc>
                <w:tcPr>
                  <w:tcW w:w="0" w:type="auto"/>
                  <w:shd w:val="clear" w:color="auto" w:fill="FFFFFF"/>
                  <w:vAlign w:val="center"/>
                </w:tcPr>
                <w:p w14:paraId="09D04991">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排入环境量</w:t>
                  </w:r>
                </w:p>
              </w:tc>
            </w:tr>
            <w:tr w14:paraId="070B18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53" w:hRule="atLeast"/>
              </w:trPr>
              <w:tc>
                <w:tcPr>
                  <w:tcW w:w="0" w:type="auto"/>
                  <w:vMerge w:val="restart"/>
                  <w:shd w:val="clear" w:color="auto" w:fill="FFFFFF"/>
                  <w:vAlign w:val="center"/>
                </w:tcPr>
                <w:p w14:paraId="4BA888F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废气</w:t>
                  </w:r>
                </w:p>
              </w:tc>
              <w:tc>
                <w:tcPr>
                  <w:tcW w:w="0" w:type="auto"/>
                  <w:vMerge w:val="restart"/>
                  <w:shd w:val="clear" w:color="auto" w:fill="FFFFFF"/>
                  <w:vAlign w:val="center"/>
                </w:tcPr>
                <w:p w14:paraId="424707A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有组织</w:t>
                  </w:r>
                </w:p>
              </w:tc>
              <w:tc>
                <w:tcPr>
                  <w:tcW w:w="0" w:type="auto"/>
                  <w:shd w:val="clear" w:color="auto" w:fill="FFFFFF"/>
                  <w:vAlign w:val="center"/>
                </w:tcPr>
                <w:p w14:paraId="6CAF8D8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NH</w:t>
                  </w:r>
                  <w:r>
                    <w:rPr>
                      <w:rFonts w:hint="default" w:ascii="Times New Roman" w:hAnsi="Times New Roman" w:eastAsia="宋体" w:cs="Times New Roman"/>
                      <w:i w:val="0"/>
                      <w:iCs w:val="0"/>
                      <w:color w:val="auto"/>
                      <w:kern w:val="0"/>
                      <w:sz w:val="21"/>
                      <w:szCs w:val="21"/>
                      <w:u w:val="none"/>
                      <w:vertAlign w:val="subscript"/>
                      <w:lang w:val="en-US" w:eastAsia="zh-CN" w:bidi="ar"/>
                    </w:rPr>
                    <w:t>3</w:t>
                  </w:r>
                </w:p>
              </w:tc>
              <w:tc>
                <w:tcPr>
                  <w:tcW w:w="0" w:type="auto"/>
                  <w:gridSpan w:val="2"/>
                  <w:shd w:val="clear" w:color="auto" w:fill="FFFFFF"/>
                  <w:vAlign w:val="center"/>
                </w:tcPr>
                <w:p w14:paraId="5D6DC34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0.1064</w:t>
                  </w:r>
                </w:p>
              </w:tc>
              <w:tc>
                <w:tcPr>
                  <w:tcW w:w="0" w:type="auto"/>
                  <w:gridSpan w:val="2"/>
                  <w:shd w:val="clear" w:color="auto" w:fill="FFFFFF"/>
                  <w:vAlign w:val="center"/>
                </w:tcPr>
                <w:p w14:paraId="457F133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0.000010 </w:t>
                  </w:r>
                </w:p>
              </w:tc>
              <w:tc>
                <w:tcPr>
                  <w:tcW w:w="0" w:type="auto"/>
                  <w:gridSpan w:val="2"/>
                  <w:shd w:val="clear" w:color="auto" w:fill="FFFFFF"/>
                  <w:vAlign w:val="center"/>
                </w:tcPr>
                <w:p w14:paraId="4DB194B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gridSpan w:val="2"/>
                  <w:shd w:val="clear" w:color="auto" w:fill="FFFFFF"/>
                  <w:vAlign w:val="center"/>
                </w:tcPr>
                <w:p w14:paraId="41AE98C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0.106410 </w:t>
                  </w:r>
                </w:p>
              </w:tc>
              <w:tc>
                <w:tcPr>
                  <w:tcW w:w="0" w:type="auto"/>
                  <w:gridSpan w:val="2"/>
                  <w:shd w:val="clear" w:color="auto" w:fill="FFFFFF"/>
                  <w:vAlign w:val="center"/>
                </w:tcPr>
                <w:p w14:paraId="4E507CF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0.000010 </w:t>
                  </w:r>
                </w:p>
              </w:tc>
            </w:tr>
            <w:tr w14:paraId="5C5A632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0" w:type="auto"/>
                  <w:vMerge w:val="continue"/>
                  <w:shd w:val="clear" w:color="auto" w:fill="FFFFFF"/>
                  <w:vAlign w:val="center"/>
                </w:tcPr>
                <w:p w14:paraId="0B94BFB6">
                  <w:pPr>
                    <w:jc w:val="center"/>
                    <w:rPr>
                      <w:rFonts w:hint="eastAsia" w:ascii="宋体" w:hAnsi="宋体" w:eastAsia="宋体" w:cs="宋体"/>
                      <w:i w:val="0"/>
                      <w:iCs w:val="0"/>
                      <w:color w:val="auto"/>
                      <w:sz w:val="21"/>
                      <w:szCs w:val="21"/>
                      <w:u w:val="none"/>
                    </w:rPr>
                  </w:pPr>
                </w:p>
              </w:tc>
              <w:tc>
                <w:tcPr>
                  <w:tcW w:w="0" w:type="auto"/>
                  <w:vMerge w:val="continue"/>
                  <w:shd w:val="clear" w:color="auto" w:fill="FFFFFF"/>
                  <w:vAlign w:val="center"/>
                </w:tcPr>
                <w:p w14:paraId="2220323C">
                  <w:pPr>
                    <w:jc w:val="center"/>
                    <w:rPr>
                      <w:rFonts w:hint="eastAsia" w:ascii="宋体" w:hAnsi="宋体" w:eastAsia="宋体" w:cs="宋体"/>
                      <w:i w:val="0"/>
                      <w:iCs w:val="0"/>
                      <w:color w:val="auto"/>
                      <w:sz w:val="21"/>
                      <w:szCs w:val="21"/>
                      <w:u w:val="none"/>
                    </w:rPr>
                  </w:pPr>
                </w:p>
              </w:tc>
              <w:tc>
                <w:tcPr>
                  <w:tcW w:w="0" w:type="auto"/>
                  <w:shd w:val="clear" w:color="auto" w:fill="FFFFFF"/>
                  <w:vAlign w:val="center"/>
                </w:tcPr>
                <w:p w14:paraId="35ADAAB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Cl</w:t>
                  </w:r>
                  <w:r>
                    <w:rPr>
                      <w:rFonts w:hint="default" w:ascii="Times New Roman" w:hAnsi="Times New Roman" w:eastAsia="宋体" w:cs="Times New Roman"/>
                      <w:i w:val="0"/>
                      <w:iCs w:val="0"/>
                      <w:color w:val="auto"/>
                      <w:kern w:val="0"/>
                      <w:sz w:val="21"/>
                      <w:szCs w:val="21"/>
                      <w:u w:val="none"/>
                      <w:vertAlign w:val="subscript"/>
                      <w:lang w:val="en-US" w:eastAsia="zh-CN" w:bidi="ar"/>
                    </w:rPr>
                    <w:t>2</w:t>
                  </w:r>
                </w:p>
              </w:tc>
              <w:tc>
                <w:tcPr>
                  <w:tcW w:w="0" w:type="auto"/>
                  <w:gridSpan w:val="2"/>
                  <w:shd w:val="clear" w:color="auto" w:fill="FFFFFF"/>
                  <w:vAlign w:val="center"/>
                </w:tcPr>
                <w:p w14:paraId="1C5ACB2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0.097</w:t>
                  </w:r>
                </w:p>
              </w:tc>
              <w:tc>
                <w:tcPr>
                  <w:tcW w:w="0" w:type="auto"/>
                  <w:gridSpan w:val="2"/>
                  <w:shd w:val="clear" w:color="auto" w:fill="FFFFFF"/>
                  <w:vAlign w:val="center"/>
                </w:tcPr>
                <w:p w14:paraId="10393C4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cs="Times New Roman"/>
                      <w:i w:val="0"/>
                      <w:iCs w:val="0"/>
                      <w:color w:val="auto"/>
                      <w:kern w:val="0"/>
                      <w:sz w:val="21"/>
                      <w:szCs w:val="21"/>
                      <w:u w:val="none"/>
                      <w:lang w:val="en-US" w:eastAsia="zh-CN" w:bidi="ar"/>
                    </w:rPr>
                    <w:t>0</w:t>
                  </w:r>
                </w:p>
              </w:tc>
              <w:tc>
                <w:tcPr>
                  <w:tcW w:w="0" w:type="auto"/>
                  <w:gridSpan w:val="2"/>
                  <w:shd w:val="clear" w:color="auto" w:fill="FFFFFF"/>
                  <w:vAlign w:val="center"/>
                </w:tcPr>
                <w:p w14:paraId="4DA6C92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2158" w:type="dxa"/>
                  <w:gridSpan w:val="2"/>
                  <w:shd w:val="clear" w:color="auto" w:fill="FFFFFF"/>
                  <w:vAlign w:val="center"/>
                </w:tcPr>
                <w:p w14:paraId="02BA608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0.097</w:t>
                  </w:r>
                </w:p>
              </w:tc>
              <w:tc>
                <w:tcPr>
                  <w:tcW w:w="0" w:type="auto"/>
                  <w:gridSpan w:val="2"/>
                  <w:shd w:val="clear" w:color="auto" w:fill="FFFFFF"/>
                  <w:vAlign w:val="center"/>
                </w:tcPr>
                <w:p w14:paraId="0CD300B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cs="Times New Roman"/>
                      <w:i w:val="0"/>
                      <w:iCs w:val="0"/>
                      <w:color w:val="auto"/>
                      <w:kern w:val="0"/>
                      <w:sz w:val="21"/>
                      <w:szCs w:val="21"/>
                      <w:u w:val="none"/>
                      <w:lang w:val="en-US" w:eastAsia="zh-CN" w:bidi="ar"/>
                    </w:rPr>
                    <w:t>0</w:t>
                  </w:r>
                </w:p>
              </w:tc>
            </w:tr>
            <w:tr w14:paraId="791A55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0" w:type="auto"/>
                  <w:vMerge w:val="continue"/>
                  <w:shd w:val="clear" w:color="auto" w:fill="FFFFFF"/>
                  <w:vAlign w:val="center"/>
                </w:tcPr>
                <w:p w14:paraId="5A060BB4">
                  <w:pPr>
                    <w:jc w:val="center"/>
                    <w:rPr>
                      <w:rFonts w:hint="eastAsia" w:ascii="宋体" w:hAnsi="宋体" w:eastAsia="宋体" w:cs="宋体"/>
                      <w:i w:val="0"/>
                      <w:iCs w:val="0"/>
                      <w:color w:val="auto"/>
                      <w:sz w:val="21"/>
                      <w:szCs w:val="21"/>
                      <w:u w:val="none"/>
                    </w:rPr>
                  </w:pPr>
                </w:p>
              </w:tc>
              <w:tc>
                <w:tcPr>
                  <w:tcW w:w="0" w:type="auto"/>
                  <w:vMerge w:val="continue"/>
                  <w:shd w:val="clear" w:color="auto" w:fill="FFFFFF"/>
                  <w:vAlign w:val="center"/>
                </w:tcPr>
                <w:p w14:paraId="145946D4">
                  <w:pPr>
                    <w:jc w:val="center"/>
                    <w:rPr>
                      <w:rFonts w:hint="eastAsia" w:ascii="宋体" w:hAnsi="宋体" w:eastAsia="宋体" w:cs="宋体"/>
                      <w:i w:val="0"/>
                      <w:iCs w:val="0"/>
                      <w:color w:val="auto"/>
                      <w:sz w:val="21"/>
                      <w:szCs w:val="21"/>
                      <w:u w:val="none"/>
                    </w:rPr>
                  </w:pPr>
                </w:p>
              </w:tc>
              <w:tc>
                <w:tcPr>
                  <w:tcW w:w="0" w:type="auto"/>
                  <w:shd w:val="clear" w:color="auto" w:fill="FFFFFF"/>
                  <w:vAlign w:val="center"/>
                </w:tcPr>
                <w:p w14:paraId="43A54FD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HCl</w:t>
                  </w:r>
                </w:p>
              </w:tc>
              <w:tc>
                <w:tcPr>
                  <w:tcW w:w="0" w:type="auto"/>
                  <w:gridSpan w:val="2"/>
                  <w:shd w:val="clear" w:color="auto" w:fill="FFFFFF"/>
                  <w:vAlign w:val="center"/>
                </w:tcPr>
                <w:p w14:paraId="2F02A08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0.0251</w:t>
                  </w:r>
                </w:p>
              </w:tc>
              <w:tc>
                <w:tcPr>
                  <w:tcW w:w="0" w:type="auto"/>
                  <w:gridSpan w:val="2"/>
                  <w:shd w:val="clear" w:color="auto" w:fill="FFFFFF"/>
                  <w:vAlign w:val="center"/>
                </w:tcPr>
                <w:p w14:paraId="21DD4E7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cs="Times New Roman"/>
                      <w:i w:val="0"/>
                      <w:iCs w:val="0"/>
                      <w:color w:val="auto"/>
                      <w:kern w:val="0"/>
                      <w:sz w:val="21"/>
                      <w:szCs w:val="21"/>
                      <w:u w:val="none"/>
                      <w:lang w:val="en-US" w:eastAsia="zh-CN" w:bidi="ar"/>
                    </w:rPr>
                    <w:t>0</w:t>
                  </w:r>
                  <w:r>
                    <w:rPr>
                      <w:rFonts w:hint="default" w:ascii="Times New Roman" w:hAnsi="Times New Roman" w:eastAsia="宋体" w:cs="Times New Roman"/>
                      <w:i w:val="0"/>
                      <w:iCs w:val="0"/>
                      <w:color w:val="auto"/>
                      <w:kern w:val="0"/>
                      <w:sz w:val="21"/>
                      <w:szCs w:val="21"/>
                      <w:u w:val="none"/>
                      <w:lang w:val="en-US" w:eastAsia="zh-CN" w:bidi="ar"/>
                    </w:rPr>
                    <w:t xml:space="preserve"> </w:t>
                  </w:r>
                </w:p>
              </w:tc>
              <w:tc>
                <w:tcPr>
                  <w:tcW w:w="0" w:type="auto"/>
                  <w:gridSpan w:val="2"/>
                  <w:shd w:val="clear" w:color="auto" w:fill="FFFFFF"/>
                  <w:vAlign w:val="center"/>
                </w:tcPr>
                <w:p w14:paraId="7B60991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2158" w:type="dxa"/>
                  <w:gridSpan w:val="2"/>
                  <w:shd w:val="clear" w:color="auto" w:fill="FFFFFF"/>
                  <w:vAlign w:val="center"/>
                </w:tcPr>
                <w:p w14:paraId="47143A0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0.0251</w:t>
                  </w:r>
                </w:p>
              </w:tc>
              <w:tc>
                <w:tcPr>
                  <w:tcW w:w="0" w:type="auto"/>
                  <w:gridSpan w:val="2"/>
                  <w:shd w:val="clear" w:color="auto" w:fill="FFFFFF"/>
                  <w:vAlign w:val="center"/>
                </w:tcPr>
                <w:p w14:paraId="53AA70B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cs="Times New Roman"/>
                      <w:i w:val="0"/>
                      <w:iCs w:val="0"/>
                      <w:color w:val="auto"/>
                      <w:kern w:val="0"/>
                      <w:sz w:val="21"/>
                      <w:szCs w:val="21"/>
                      <w:u w:val="none"/>
                      <w:lang w:val="en-US" w:eastAsia="zh-CN" w:bidi="ar"/>
                    </w:rPr>
                    <w:t>0</w:t>
                  </w:r>
                </w:p>
              </w:tc>
            </w:tr>
            <w:tr w14:paraId="546419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0" w:type="auto"/>
                  <w:vMerge w:val="continue"/>
                  <w:shd w:val="clear" w:color="auto" w:fill="FFFFFF"/>
                  <w:vAlign w:val="center"/>
                </w:tcPr>
                <w:p w14:paraId="057B9A3B">
                  <w:pPr>
                    <w:jc w:val="center"/>
                    <w:rPr>
                      <w:rFonts w:hint="eastAsia" w:ascii="宋体" w:hAnsi="宋体" w:eastAsia="宋体" w:cs="宋体"/>
                      <w:i w:val="0"/>
                      <w:iCs w:val="0"/>
                      <w:color w:val="auto"/>
                      <w:sz w:val="21"/>
                      <w:szCs w:val="21"/>
                      <w:u w:val="none"/>
                    </w:rPr>
                  </w:pPr>
                </w:p>
              </w:tc>
              <w:tc>
                <w:tcPr>
                  <w:tcW w:w="0" w:type="auto"/>
                  <w:vMerge w:val="continue"/>
                  <w:shd w:val="clear" w:color="auto" w:fill="FFFFFF"/>
                  <w:vAlign w:val="center"/>
                </w:tcPr>
                <w:p w14:paraId="7BDAF98B">
                  <w:pPr>
                    <w:jc w:val="center"/>
                    <w:rPr>
                      <w:rFonts w:hint="eastAsia" w:ascii="宋体" w:hAnsi="宋体" w:eastAsia="宋体" w:cs="宋体"/>
                      <w:i w:val="0"/>
                      <w:iCs w:val="0"/>
                      <w:color w:val="auto"/>
                      <w:sz w:val="21"/>
                      <w:szCs w:val="21"/>
                      <w:u w:val="none"/>
                    </w:rPr>
                  </w:pPr>
                </w:p>
              </w:tc>
              <w:tc>
                <w:tcPr>
                  <w:tcW w:w="0" w:type="auto"/>
                  <w:shd w:val="clear" w:color="auto" w:fill="FFFFFF"/>
                  <w:vAlign w:val="center"/>
                </w:tcPr>
                <w:p w14:paraId="01EB7CE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硫酸雾</w:t>
                  </w:r>
                </w:p>
              </w:tc>
              <w:tc>
                <w:tcPr>
                  <w:tcW w:w="0" w:type="auto"/>
                  <w:gridSpan w:val="2"/>
                  <w:shd w:val="clear" w:color="auto" w:fill="FFFFFF"/>
                  <w:vAlign w:val="center"/>
                </w:tcPr>
                <w:p w14:paraId="772A89D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0.3089</w:t>
                  </w:r>
                </w:p>
              </w:tc>
              <w:tc>
                <w:tcPr>
                  <w:tcW w:w="0" w:type="auto"/>
                  <w:gridSpan w:val="2"/>
                  <w:shd w:val="clear" w:color="auto" w:fill="FFFFFF"/>
                  <w:vAlign w:val="center"/>
                </w:tcPr>
                <w:p w14:paraId="4C78E92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0.0019 </w:t>
                  </w:r>
                </w:p>
              </w:tc>
              <w:tc>
                <w:tcPr>
                  <w:tcW w:w="0" w:type="auto"/>
                  <w:gridSpan w:val="2"/>
                  <w:shd w:val="clear" w:color="auto" w:fill="FFFFFF"/>
                  <w:vAlign w:val="center"/>
                </w:tcPr>
                <w:p w14:paraId="106D106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gridSpan w:val="2"/>
                  <w:shd w:val="clear" w:color="auto" w:fill="FFFFFF"/>
                  <w:vAlign w:val="center"/>
                </w:tcPr>
                <w:p w14:paraId="78759BA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0.3108 </w:t>
                  </w:r>
                </w:p>
              </w:tc>
              <w:tc>
                <w:tcPr>
                  <w:tcW w:w="0" w:type="auto"/>
                  <w:gridSpan w:val="2"/>
                  <w:shd w:val="clear" w:color="auto" w:fill="FFFFFF"/>
                  <w:vAlign w:val="center"/>
                </w:tcPr>
                <w:p w14:paraId="7F04290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0.0019 </w:t>
                  </w:r>
                </w:p>
              </w:tc>
            </w:tr>
            <w:tr w14:paraId="1E0E82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53" w:hRule="atLeast"/>
              </w:trPr>
              <w:tc>
                <w:tcPr>
                  <w:tcW w:w="0" w:type="auto"/>
                  <w:vMerge w:val="continue"/>
                  <w:shd w:val="clear" w:color="auto" w:fill="FFFFFF"/>
                  <w:vAlign w:val="center"/>
                </w:tcPr>
                <w:p w14:paraId="158D26B0">
                  <w:pPr>
                    <w:jc w:val="center"/>
                    <w:rPr>
                      <w:rFonts w:hint="eastAsia" w:ascii="宋体" w:hAnsi="宋体" w:eastAsia="宋体" w:cs="宋体"/>
                      <w:i w:val="0"/>
                      <w:iCs w:val="0"/>
                      <w:color w:val="auto"/>
                      <w:sz w:val="21"/>
                      <w:szCs w:val="21"/>
                      <w:u w:val="none"/>
                    </w:rPr>
                  </w:pPr>
                </w:p>
              </w:tc>
              <w:tc>
                <w:tcPr>
                  <w:tcW w:w="0" w:type="auto"/>
                  <w:vMerge w:val="continue"/>
                  <w:shd w:val="clear" w:color="auto" w:fill="FFFFFF"/>
                  <w:vAlign w:val="center"/>
                </w:tcPr>
                <w:p w14:paraId="07F71A6B">
                  <w:pPr>
                    <w:jc w:val="center"/>
                    <w:rPr>
                      <w:rFonts w:hint="eastAsia" w:ascii="宋体" w:hAnsi="宋体" w:eastAsia="宋体" w:cs="宋体"/>
                      <w:i w:val="0"/>
                      <w:iCs w:val="0"/>
                      <w:color w:val="auto"/>
                      <w:sz w:val="21"/>
                      <w:szCs w:val="21"/>
                      <w:u w:val="none"/>
                    </w:rPr>
                  </w:pPr>
                </w:p>
              </w:tc>
              <w:tc>
                <w:tcPr>
                  <w:tcW w:w="0" w:type="auto"/>
                  <w:shd w:val="clear" w:color="auto" w:fill="FFFFFF"/>
                  <w:vAlign w:val="center"/>
                </w:tcPr>
                <w:p w14:paraId="269B528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SO</w:t>
                  </w:r>
                  <w:r>
                    <w:rPr>
                      <w:rFonts w:hint="default" w:ascii="Times New Roman" w:hAnsi="Times New Roman" w:eastAsia="宋体" w:cs="Times New Roman"/>
                      <w:i w:val="0"/>
                      <w:iCs w:val="0"/>
                      <w:color w:val="auto"/>
                      <w:kern w:val="0"/>
                      <w:sz w:val="21"/>
                      <w:szCs w:val="21"/>
                      <w:u w:val="none"/>
                      <w:vertAlign w:val="subscript"/>
                      <w:lang w:val="en-US" w:eastAsia="zh-CN" w:bidi="ar"/>
                    </w:rPr>
                    <w:t>2</w:t>
                  </w:r>
                </w:p>
              </w:tc>
              <w:tc>
                <w:tcPr>
                  <w:tcW w:w="0" w:type="auto"/>
                  <w:gridSpan w:val="2"/>
                  <w:shd w:val="clear" w:color="auto" w:fill="FFFFFF"/>
                  <w:vAlign w:val="center"/>
                </w:tcPr>
                <w:p w14:paraId="42A1236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1.277</w:t>
                  </w:r>
                </w:p>
              </w:tc>
              <w:tc>
                <w:tcPr>
                  <w:tcW w:w="0" w:type="auto"/>
                  <w:gridSpan w:val="2"/>
                  <w:shd w:val="clear" w:color="auto" w:fill="FFFFFF"/>
                  <w:vAlign w:val="center"/>
                </w:tcPr>
                <w:p w14:paraId="654D175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gridSpan w:val="2"/>
                  <w:shd w:val="clear" w:color="auto" w:fill="FFFFFF"/>
                  <w:vAlign w:val="center"/>
                </w:tcPr>
                <w:p w14:paraId="1FCA97C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gridSpan w:val="2"/>
                  <w:shd w:val="clear" w:color="auto" w:fill="FFFFFF"/>
                  <w:vAlign w:val="center"/>
                </w:tcPr>
                <w:p w14:paraId="59AAC93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1.277 </w:t>
                  </w:r>
                </w:p>
              </w:tc>
              <w:tc>
                <w:tcPr>
                  <w:tcW w:w="0" w:type="auto"/>
                  <w:gridSpan w:val="2"/>
                  <w:shd w:val="clear" w:color="auto" w:fill="FFFFFF"/>
                  <w:vAlign w:val="center"/>
                </w:tcPr>
                <w:p w14:paraId="054FF72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 </w:t>
                  </w:r>
                </w:p>
              </w:tc>
            </w:tr>
            <w:tr w14:paraId="3CFF85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0" w:type="auto"/>
                  <w:vMerge w:val="continue"/>
                  <w:shd w:val="clear" w:color="auto" w:fill="FFFFFF"/>
                  <w:vAlign w:val="center"/>
                </w:tcPr>
                <w:p w14:paraId="1D9C11E5">
                  <w:pPr>
                    <w:jc w:val="center"/>
                    <w:rPr>
                      <w:rFonts w:hint="eastAsia" w:ascii="宋体" w:hAnsi="宋体" w:eastAsia="宋体" w:cs="宋体"/>
                      <w:i w:val="0"/>
                      <w:iCs w:val="0"/>
                      <w:color w:val="auto"/>
                      <w:sz w:val="21"/>
                      <w:szCs w:val="21"/>
                      <w:u w:val="none"/>
                    </w:rPr>
                  </w:pPr>
                </w:p>
              </w:tc>
              <w:tc>
                <w:tcPr>
                  <w:tcW w:w="0" w:type="auto"/>
                  <w:vMerge w:val="continue"/>
                  <w:shd w:val="clear" w:color="auto" w:fill="FFFFFF"/>
                  <w:vAlign w:val="center"/>
                </w:tcPr>
                <w:p w14:paraId="6769CBCE">
                  <w:pPr>
                    <w:jc w:val="center"/>
                    <w:rPr>
                      <w:rFonts w:hint="eastAsia" w:ascii="宋体" w:hAnsi="宋体" w:eastAsia="宋体" w:cs="宋体"/>
                      <w:i w:val="0"/>
                      <w:iCs w:val="0"/>
                      <w:color w:val="auto"/>
                      <w:sz w:val="21"/>
                      <w:szCs w:val="21"/>
                      <w:u w:val="none"/>
                    </w:rPr>
                  </w:pPr>
                </w:p>
              </w:tc>
              <w:tc>
                <w:tcPr>
                  <w:tcW w:w="0" w:type="auto"/>
                  <w:shd w:val="clear" w:color="auto" w:fill="FFFFFF"/>
                  <w:vAlign w:val="center"/>
                </w:tcPr>
                <w:p w14:paraId="3ADEE3A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粉尘</w:t>
                  </w:r>
                </w:p>
              </w:tc>
              <w:tc>
                <w:tcPr>
                  <w:tcW w:w="0" w:type="auto"/>
                  <w:gridSpan w:val="2"/>
                  <w:shd w:val="clear" w:color="auto" w:fill="FFFFFF"/>
                  <w:vAlign w:val="center"/>
                </w:tcPr>
                <w:p w14:paraId="5108DEA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0.0289</w:t>
                  </w:r>
                </w:p>
              </w:tc>
              <w:tc>
                <w:tcPr>
                  <w:tcW w:w="0" w:type="auto"/>
                  <w:gridSpan w:val="2"/>
                  <w:shd w:val="clear" w:color="auto" w:fill="FFFFFF"/>
                  <w:vAlign w:val="center"/>
                </w:tcPr>
                <w:p w14:paraId="43B9198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gridSpan w:val="2"/>
                  <w:shd w:val="clear" w:color="auto" w:fill="FFFFFF"/>
                  <w:vAlign w:val="center"/>
                </w:tcPr>
                <w:p w14:paraId="4B76CD6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gridSpan w:val="2"/>
                  <w:shd w:val="clear" w:color="auto" w:fill="FFFFFF"/>
                  <w:vAlign w:val="center"/>
                </w:tcPr>
                <w:p w14:paraId="26C74AC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0.0289 </w:t>
                  </w:r>
                </w:p>
              </w:tc>
              <w:tc>
                <w:tcPr>
                  <w:tcW w:w="0" w:type="auto"/>
                  <w:gridSpan w:val="2"/>
                  <w:shd w:val="clear" w:color="auto" w:fill="FFFFFF"/>
                  <w:vAlign w:val="center"/>
                </w:tcPr>
                <w:p w14:paraId="4A58B6C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 </w:t>
                  </w:r>
                </w:p>
              </w:tc>
            </w:tr>
            <w:tr w14:paraId="1B6113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0" w:type="auto"/>
                  <w:vMerge w:val="continue"/>
                  <w:shd w:val="clear" w:color="auto" w:fill="FFFFFF"/>
                  <w:vAlign w:val="center"/>
                </w:tcPr>
                <w:p w14:paraId="3FE36326">
                  <w:pPr>
                    <w:jc w:val="center"/>
                    <w:rPr>
                      <w:rFonts w:hint="eastAsia" w:ascii="宋体" w:hAnsi="宋体" w:eastAsia="宋体" w:cs="宋体"/>
                      <w:i w:val="0"/>
                      <w:iCs w:val="0"/>
                      <w:color w:val="auto"/>
                      <w:sz w:val="21"/>
                      <w:szCs w:val="21"/>
                      <w:u w:val="none"/>
                    </w:rPr>
                  </w:pPr>
                </w:p>
              </w:tc>
              <w:tc>
                <w:tcPr>
                  <w:tcW w:w="0" w:type="auto"/>
                  <w:vMerge w:val="continue"/>
                  <w:shd w:val="clear" w:color="auto" w:fill="FFFFFF"/>
                  <w:vAlign w:val="center"/>
                </w:tcPr>
                <w:p w14:paraId="6B87D6C2">
                  <w:pPr>
                    <w:jc w:val="center"/>
                    <w:rPr>
                      <w:rFonts w:hint="eastAsia" w:ascii="宋体" w:hAnsi="宋体" w:eastAsia="宋体" w:cs="宋体"/>
                      <w:i w:val="0"/>
                      <w:iCs w:val="0"/>
                      <w:color w:val="auto"/>
                      <w:sz w:val="21"/>
                      <w:szCs w:val="21"/>
                      <w:u w:val="none"/>
                    </w:rPr>
                  </w:pPr>
                </w:p>
              </w:tc>
              <w:tc>
                <w:tcPr>
                  <w:tcW w:w="0" w:type="auto"/>
                  <w:shd w:val="clear" w:color="auto" w:fill="FFFFFF"/>
                  <w:vAlign w:val="center"/>
                </w:tcPr>
                <w:p w14:paraId="3BFCC3E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氟化物</w:t>
                  </w:r>
                </w:p>
              </w:tc>
              <w:tc>
                <w:tcPr>
                  <w:tcW w:w="0" w:type="auto"/>
                  <w:gridSpan w:val="2"/>
                  <w:shd w:val="clear" w:color="auto" w:fill="FFFFFF"/>
                  <w:vAlign w:val="center"/>
                </w:tcPr>
                <w:p w14:paraId="2D36E62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0.0013</w:t>
                  </w:r>
                </w:p>
              </w:tc>
              <w:tc>
                <w:tcPr>
                  <w:tcW w:w="0" w:type="auto"/>
                  <w:gridSpan w:val="2"/>
                  <w:shd w:val="clear" w:color="auto" w:fill="FFFFFF"/>
                  <w:vAlign w:val="center"/>
                </w:tcPr>
                <w:p w14:paraId="4C42BCA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gridSpan w:val="2"/>
                  <w:shd w:val="clear" w:color="auto" w:fill="FFFFFF"/>
                  <w:vAlign w:val="center"/>
                </w:tcPr>
                <w:p w14:paraId="5B06514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gridSpan w:val="2"/>
                  <w:shd w:val="clear" w:color="auto" w:fill="FFFFFF"/>
                  <w:vAlign w:val="center"/>
                </w:tcPr>
                <w:p w14:paraId="67B7E73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0.0013 </w:t>
                  </w:r>
                </w:p>
              </w:tc>
              <w:tc>
                <w:tcPr>
                  <w:tcW w:w="0" w:type="auto"/>
                  <w:gridSpan w:val="2"/>
                  <w:shd w:val="clear" w:color="auto" w:fill="FFFFFF"/>
                  <w:vAlign w:val="center"/>
                </w:tcPr>
                <w:p w14:paraId="7EA3800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 </w:t>
                  </w:r>
                </w:p>
              </w:tc>
            </w:tr>
            <w:tr w14:paraId="4A07A9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0" w:type="auto"/>
                  <w:vMerge w:val="continue"/>
                  <w:shd w:val="clear" w:color="auto" w:fill="FFFFFF"/>
                  <w:vAlign w:val="center"/>
                </w:tcPr>
                <w:p w14:paraId="3E0EF800">
                  <w:pPr>
                    <w:jc w:val="center"/>
                    <w:rPr>
                      <w:rFonts w:hint="eastAsia" w:ascii="宋体" w:hAnsi="宋体" w:eastAsia="宋体" w:cs="宋体"/>
                      <w:i w:val="0"/>
                      <w:iCs w:val="0"/>
                      <w:color w:val="auto"/>
                      <w:sz w:val="21"/>
                      <w:szCs w:val="21"/>
                      <w:u w:val="none"/>
                    </w:rPr>
                  </w:pPr>
                </w:p>
              </w:tc>
              <w:tc>
                <w:tcPr>
                  <w:tcW w:w="0" w:type="auto"/>
                  <w:vMerge w:val="continue"/>
                  <w:shd w:val="clear" w:color="auto" w:fill="FFFFFF"/>
                  <w:vAlign w:val="center"/>
                </w:tcPr>
                <w:p w14:paraId="448360D9">
                  <w:pPr>
                    <w:jc w:val="center"/>
                    <w:rPr>
                      <w:rFonts w:hint="eastAsia" w:ascii="宋体" w:hAnsi="宋体" w:eastAsia="宋体" w:cs="宋体"/>
                      <w:i w:val="0"/>
                      <w:iCs w:val="0"/>
                      <w:color w:val="auto"/>
                      <w:sz w:val="21"/>
                      <w:szCs w:val="21"/>
                      <w:u w:val="none"/>
                    </w:rPr>
                  </w:pPr>
                </w:p>
              </w:tc>
              <w:tc>
                <w:tcPr>
                  <w:tcW w:w="0" w:type="auto"/>
                  <w:shd w:val="clear" w:color="auto" w:fill="FFFFFF"/>
                  <w:vAlign w:val="center"/>
                </w:tcPr>
                <w:p w14:paraId="50F7255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异丙醇</w:t>
                  </w:r>
                </w:p>
              </w:tc>
              <w:tc>
                <w:tcPr>
                  <w:tcW w:w="0" w:type="auto"/>
                  <w:gridSpan w:val="2"/>
                  <w:shd w:val="clear" w:color="auto" w:fill="FFFFFF"/>
                  <w:vAlign w:val="center"/>
                </w:tcPr>
                <w:p w14:paraId="599B04C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0.0009</w:t>
                  </w:r>
                </w:p>
              </w:tc>
              <w:tc>
                <w:tcPr>
                  <w:tcW w:w="0" w:type="auto"/>
                  <w:gridSpan w:val="2"/>
                  <w:shd w:val="clear" w:color="auto" w:fill="FFFFFF"/>
                  <w:vAlign w:val="center"/>
                </w:tcPr>
                <w:p w14:paraId="52E984E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gridSpan w:val="2"/>
                  <w:shd w:val="clear" w:color="auto" w:fill="FFFFFF"/>
                  <w:vAlign w:val="center"/>
                </w:tcPr>
                <w:p w14:paraId="60473C0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gridSpan w:val="2"/>
                  <w:shd w:val="clear" w:color="auto" w:fill="FFFFFF"/>
                  <w:vAlign w:val="center"/>
                </w:tcPr>
                <w:p w14:paraId="1BEBCA9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0.0009 </w:t>
                  </w:r>
                </w:p>
              </w:tc>
              <w:tc>
                <w:tcPr>
                  <w:tcW w:w="0" w:type="auto"/>
                  <w:gridSpan w:val="2"/>
                  <w:shd w:val="clear" w:color="auto" w:fill="FFFFFF"/>
                  <w:vAlign w:val="center"/>
                </w:tcPr>
                <w:p w14:paraId="089663E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 </w:t>
                  </w:r>
                </w:p>
              </w:tc>
            </w:tr>
            <w:tr w14:paraId="7A0773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trPr>
              <w:tc>
                <w:tcPr>
                  <w:tcW w:w="0" w:type="auto"/>
                  <w:vMerge w:val="continue"/>
                  <w:shd w:val="clear" w:color="auto" w:fill="FFFFFF"/>
                  <w:vAlign w:val="center"/>
                </w:tcPr>
                <w:p w14:paraId="5D00B10F">
                  <w:pPr>
                    <w:jc w:val="center"/>
                    <w:rPr>
                      <w:rFonts w:hint="eastAsia" w:ascii="宋体" w:hAnsi="宋体" w:eastAsia="宋体" w:cs="宋体"/>
                      <w:i w:val="0"/>
                      <w:iCs w:val="0"/>
                      <w:color w:val="auto"/>
                      <w:sz w:val="21"/>
                      <w:szCs w:val="21"/>
                      <w:u w:val="none"/>
                    </w:rPr>
                  </w:pPr>
                </w:p>
              </w:tc>
              <w:tc>
                <w:tcPr>
                  <w:tcW w:w="0" w:type="auto"/>
                  <w:vMerge w:val="continue"/>
                  <w:shd w:val="clear" w:color="auto" w:fill="FFFFFF"/>
                  <w:vAlign w:val="center"/>
                </w:tcPr>
                <w:p w14:paraId="7E7DBF35">
                  <w:pPr>
                    <w:jc w:val="center"/>
                    <w:rPr>
                      <w:rFonts w:hint="eastAsia" w:ascii="宋体" w:hAnsi="宋体" w:eastAsia="宋体" w:cs="宋体"/>
                      <w:i w:val="0"/>
                      <w:iCs w:val="0"/>
                      <w:color w:val="auto"/>
                      <w:sz w:val="21"/>
                      <w:szCs w:val="21"/>
                      <w:u w:val="none"/>
                    </w:rPr>
                  </w:pPr>
                </w:p>
              </w:tc>
              <w:tc>
                <w:tcPr>
                  <w:tcW w:w="0" w:type="auto"/>
                  <w:shd w:val="clear" w:color="auto" w:fill="FFFFFF"/>
                  <w:vAlign w:val="center"/>
                </w:tcPr>
                <w:p w14:paraId="453DE76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甲醛</w:t>
                  </w:r>
                </w:p>
              </w:tc>
              <w:tc>
                <w:tcPr>
                  <w:tcW w:w="0" w:type="auto"/>
                  <w:gridSpan w:val="2"/>
                  <w:shd w:val="clear" w:color="auto" w:fill="FFFFFF"/>
                  <w:vAlign w:val="center"/>
                </w:tcPr>
                <w:p w14:paraId="08EB537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0.0004</w:t>
                  </w:r>
                </w:p>
              </w:tc>
              <w:tc>
                <w:tcPr>
                  <w:tcW w:w="0" w:type="auto"/>
                  <w:gridSpan w:val="2"/>
                  <w:shd w:val="clear" w:color="auto" w:fill="FFFFFF"/>
                  <w:vAlign w:val="center"/>
                </w:tcPr>
                <w:p w14:paraId="1862560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gridSpan w:val="2"/>
                  <w:shd w:val="clear" w:color="auto" w:fill="FFFFFF"/>
                  <w:vAlign w:val="center"/>
                </w:tcPr>
                <w:p w14:paraId="6A84668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gridSpan w:val="2"/>
                  <w:shd w:val="clear" w:color="auto" w:fill="FFFFFF"/>
                  <w:vAlign w:val="center"/>
                </w:tcPr>
                <w:p w14:paraId="3BDF6E6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0.0004 </w:t>
                  </w:r>
                </w:p>
              </w:tc>
              <w:tc>
                <w:tcPr>
                  <w:tcW w:w="0" w:type="auto"/>
                  <w:gridSpan w:val="2"/>
                  <w:shd w:val="clear" w:color="auto" w:fill="FFFFFF"/>
                  <w:vAlign w:val="center"/>
                </w:tcPr>
                <w:p w14:paraId="3AADBAB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 </w:t>
                  </w:r>
                </w:p>
              </w:tc>
            </w:tr>
            <w:tr w14:paraId="22D243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0" w:type="auto"/>
                  <w:vMerge w:val="continue"/>
                  <w:shd w:val="clear" w:color="auto" w:fill="FFFFFF"/>
                  <w:vAlign w:val="center"/>
                </w:tcPr>
                <w:p w14:paraId="3AFB76C7">
                  <w:pPr>
                    <w:jc w:val="center"/>
                    <w:rPr>
                      <w:rFonts w:hint="eastAsia" w:ascii="宋体" w:hAnsi="宋体" w:eastAsia="宋体" w:cs="宋体"/>
                      <w:i w:val="0"/>
                      <w:iCs w:val="0"/>
                      <w:color w:val="auto"/>
                      <w:sz w:val="21"/>
                      <w:szCs w:val="21"/>
                      <w:u w:val="none"/>
                    </w:rPr>
                  </w:pPr>
                </w:p>
              </w:tc>
              <w:tc>
                <w:tcPr>
                  <w:tcW w:w="0" w:type="auto"/>
                  <w:vMerge w:val="continue"/>
                  <w:shd w:val="clear" w:color="auto" w:fill="FFFFFF"/>
                  <w:vAlign w:val="center"/>
                </w:tcPr>
                <w:p w14:paraId="6E0E6E73">
                  <w:pPr>
                    <w:jc w:val="center"/>
                    <w:rPr>
                      <w:rFonts w:hint="eastAsia" w:ascii="宋体" w:hAnsi="宋体" w:eastAsia="宋体" w:cs="宋体"/>
                      <w:i w:val="0"/>
                      <w:iCs w:val="0"/>
                      <w:color w:val="auto"/>
                      <w:sz w:val="21"/>
                      <w:szCs w:val="21"/>
                      <w:u w:val="none"/>
                    </w:rPr>
                  </w:pPr>
                </w:p>
              </w:tc>
              <w:tc>
                <w:tcPr>
                  <w:tcW w:w="0" w:type="auto"/>
                  <w:shd w:val="clear" w:color="auto" w:fill="FFFFFF"/>
                  <w:vAlign w:val="center"/>
                </w:tcPr>
                <w:p w14:paraId="37E6361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NOx</w:t>
                  </w:r>
                </w:p>
              </w:tc>
              <w:tc>
                <w:tcPr>
                  <w:tcW w:w="0" w:type="auto"/>
                  <w:gridSpan w:val="2"/>
                  <w:shd w:val="clear" w:color="auto" w:fill="FFFFFF"/>
                  <w:vAlign w:val="center"/>
                </w:tcPr>
                <w:p w14:paraId="479791C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0.0001 </w:t>
                  </w:r>
                </w:p>
              </w:tc>
              <w:tc>
                <w:tcPr>
                  <w:tcW w:w="0" w:type="auto"/>
                  <w:gridSpan w:val="2"/>
                  <w:shd w:val="clear" w:color="auto" w:fill="FFFFFF"/>
                  <w:vAlign w:val="center"/>
                </w:tcPr>
                <w:p w14:paraId="451D37C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0.00095 </w:t>
                  </w:r>
                </w:p>
              </w:tc>
              <w:tc>
                <w:tcPr>
                  <w:tcW w:w="0" w:type="auto"/>
                  <w:gridSpan w:val="2"/>
                  <w:shd w:val="clear" w:color="auto" w:fill="FFFFFF"/>
                  <w:vAlign w:val="center"/>
                </w:tcPr>
                <w:p w14:paraId="4DD3089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gridSpan w:val="2"/>
                  <w:shd w:val="clear" w:color="auto" w:fill="FFFFFF"/>
                  <w:vAlign w:val="center"/>
                </w:tcPr>
                <w:p w14:paraId="3FF4B80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0.00105 </w:t>
                  </w:r>
                </w:p>
              </w:tc>
              <w:tc>
                <w:tcPr>
                  <w:tcW w:w="0" w:type="auto"/>
                  <w:gridSpan w:val="2"/>
                  <w:shd w:val="clear" w:color="auto" w:fill="FFFFFF"/>
                  <w:vAlign w:val="center"/>
                </w:tcPr>
                <w:p w14:paraId="0D212CC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0.00095 </w:t>
                  </w:r>
                </w:p>
              </w:tc>
            </w:tr>
            <w:tr w14:paraId="2FF932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0" w:type="auto"/>
                  <w:vMerge w:val="continue"/>
                  <w:shd w:val="clear" w:color="auto" w:fill="FFFFFF"/>
                  <w:vAlign w:val="center"/>
                </w:tcPr>
                <w:p w14:paraId="73CD9989">
                  <w:pPr>
                    <w:jc w:val="center"/>
                    <w:rPr>
                      <w:rFonts w:hint="eastAsia" w:ascii="宋体" w:hAnsi="宋体" w:eastAsia="宋体" w:cs="宋体"/>
                      <w:i w:val="0"/>
                      <w:iCs w:val="0"/>
                      <w:color w:val="auto"/>
                      <w:sz w:val="21"/>
                      <w:szCs w:val="21"/>
                      <w:u w:val="none"/>
                    </w:rPr>
                  </w:pPr>
                </w:p>
              </w:tc>
              <w:tc>
                <w:tcPr>
                  <w:tcW w:w="0" w:type="auto"/>
                  <w:vMerge w:val="continue"/>
                  <w:shd w:val="clear" w:color="auto" w:fill="FFFFFF"/>
                  <w:vAlign w:val="center"/>
                </w:tcPr>
                <w:p w14:paraId="3137783C">
                  <w:pPr>
                    <w:jc w:val="center"/>
                    <w:rPr>
                      <w:rFonts w:hint="eastAsia" w:ascii="宋体" w:hAnsi="宋体" w:eastAsia="宋体" w:cs="宋体"/>
                      <w:i w:val="0"/>
                      <w:iCs w:val="0"/>
                      <w:color w:val="auto"/>
                      <w:sz w:val="21"/>
                      <w:szCs w:val="21"/>
                      <w:u w:val="none"/>
                    </w:rPr>
                  </w:pPr>
                </w:p>
              </w:tc>
              <w:tc>
                <w:tcPr>
                  <w:tcW w:w="0" w:type="auto"/>
                  <w:shd w:val="clear" w:color="auto" w:fill="FFFFFF"/>
                  <w:vAlign w:val="center"/>
                </w:tcPr>
                <w:p w14:paraId="4CAEDDB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乙酸丁酯</w:t>
                  </w:r>
                </w:p>
              </w:tc>
              <w:tc>
                <w:tcPr>
                  <w:tcW w:w="0" w:type="auto"/>
                  <w:gridSpan w:val="2"/>
                  <w:shd w:val="clear" w:color="auto" w:fill="FFFFFF"/>
                  <w:vAlign w:val="center"/>
                </w:tcPr>
                <w:p w14:paraId="23020AF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0.024</w:t>
                  </w:r>
                </w:p>
              </w:tc>
              <w:tc>
                <w:tcPr>
                  <w:tcW w:w="0" w:type="auto"/>
                  <w:gridSpan w:val="2"/>
                  <w:shd w:val="clear" w:color="auto" w:fill="FFFFFF"/>
                  <w:vAlign w:val="center"/>
                </w:tcPr>
                <w:p w14:paraId="1C190F1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gridSpan w:val="2"/>
                  <w:shd w:val="clear" w:color="auto" w:fill="FFFFFF"/>
                  <w:vAlign w:val="center"/>
                </w:tcPr>
                <w:p w14:paraId="420F702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gridSpan w:val="2"/>
                  <w:shd w:val="clear" w:color="auto" w:fill="FFFFFF"/>
                  <w:vAlign w:val="center"/>
                </w:tcPr>
                <w:p w14:paraId="4778025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0.024 </w:t>
                  </w:r>
                </w:p>
              </w:tc>
              <w:tc>
                <w:tcPr>
                  <w:tcW w:w="0" w:type="auto"/>
                  <w:gridSpan w:val="2"/>
                  <w:shd w:val="clear" w:color="auto" w:fill="FFFFFF"/>
                  <w:vAlign w:val="center"/>
                </w:tcPr>
                <w:p w14:paraId="7E80477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 </w:t>
                  </w:r>
                </w:p>
              </w:tc>
            </w:tr>
            <w:tr w14:paraId="0F4BB3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trPr>
              <w:tc>
                <w:tcPr>
                  <w:tcW w:w="0" w:type="auto"/>
                  <w:vMerge w:val="continue"/>
                  <w:shd w:val="clear" w:color="auto" w:fill="FFFFFF"/>
                  <w:vAlign w:val="center"/>
                </w:tcPr>
                <w:p w14:paraId="559F5368">
                  <w:pPr>
                    <w:jc w:val="center"/>
                    <w:rPr>
                      <w:rFonts w:hint="eastAsia" w:ascii="宋体" w:hAnsi="宋体" w:eastAsia="宋体" w:cs="宋体"/>
                      <w:i w:val="0"/>
                      <w:iCs w:val="0"/>
                      <w:color w:val="auto"/>
                      <w:sz w:val="21"/>
                      <w:szCs w:val="21"/>
                      <w:u w:val="none"/>
                    </w:rPr>
                  </w:pPr>
                </w:p>
              </w:tc>
              <w:tc>
                <w:tcPr>
                  <w:tcW w:w="0" w:type="auto"/>
                  <w:vMerge w:val="continue"/>
                  <w:shd w:val="clear" w:color="auto" w:fill="FFFFFF"/>
                  <w:vAlign w:val="center"/>
                </w:tcPr>
                <w:p w14:paraId="6A1D12F2">
                  <w:pPr>
                    <w:jc w:val="center"/>
                    <w:rPr>
                      <w:rFonts w:hint="eastAsia" w:ascii="宋体" w:hAnsi="宋体" w:eastAsia="宋体" w:cs="宋体"/>
                      <w:i w:val="0"/>
                      <w:iCs w:val="0"/>
                      <w:color w:val="auto"/>
                      <w:sz w:val="21"/>
                      <w:szCs w:val="21"/>
                      <w:u w:val="none"/>
                    </w:rPr>
                  </w:pPr>
                </w:p>
              </w:tc>
              <w:tc>
                <w:tcPr>
                  <w:tcW w:w="0" w:type="auto"/>
                  <w:shd w:val="clear" w:color="auto" w:fill="FFFFFF"/>
                  <w:vAlign w:val="center"/>
                </w:tcPr>
                <w:p w14:paraId="70F6DFF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丁醇</w:t>
                  </w:r>
                </w:p>
              </w:tc>
              <w:tc>
                <w:tcPr>
                  <w:tcW w:w="0" w:type="auto"/>
                  <w:gridSpan w:val="2"/>
                  <w:shd w:val="clear" w:color="auto" w:fill="FFFFFF"/>
                  <w:vAlign w:val="center"/>
                </w:tcPr>
                <w:p w14:paraId="10736B5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0.0003</w:t>
                  </w:r>
                </w:p>
              </w:tc>
              <w:tc>
                <w:tcPr>
                  <w:tcW w:w="0" w:type="auto"/>
                  <w:gridSpan w:val="2"/>
                  <w:shd w:val="clear" w:color="auto" w:fill="FFFFFF"/>
                  <w:vAlign w:val="center"/>
                </w:tcPr>
                <w:p w14:paraId="65FDCCE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gridSpan w:val="2"/>
                  <w:shd w:val="clear" w:color="auto" w:fill="FFFFFF"/>
                  <w:vAlign w:val="center"/>
                </w:tcPr>
                <w:p w14:paraId="6215B75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gridSpan w:val="2"/>
                  <w:shd w:val="clear" w:color="auto" w:fill="FFFFFF"/>
                  <w:vAlign w:val="center"/>
                </w:tcPr>
                <w:p w14:paraId="570AE06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0.0003 </w:t>
                  </w:r>
                </w:p>
              </w:tc>
              <w:tc>
                <w:tcPr>
                  <w:tcW w:w="0" w:type="auto"/>
                  <w:gridSpan w:val="2"/>
                  <w:shd w:val="clear" w:color="auto" w:fill="FFFFFF"/>
                  <w:vAlign w:val="center"/>
                </w:tcPr>
                <w:p w14:paraId="026894E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 </w:t>
                  </w:r>
                </w:p>
              </w:tc>
            </w:tr>
            <w:tr w14:paraId="743E3A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0" w:type="auto"/>
                  <w:vMerge w:val="continue"/>
                  <w:shd w:val="clear" w:color="auto" w:fill="FFFFFF"/>
                  <w:vAlign w:val="center"/>
                </w:tcPr>
                <w:p w14:paraId="6EB90CD4">
                  <w:pPr>
                    <w:jc w:val="center"/>
                    <w:rPr>
                      <w:rFonts w:hint="eastAsia" w:ascii="宋体" w:hAnsi="宋体" w:eastAsia="宋体" w:cs="宋体"/>
                      <w:i w:val="0"/>
                      <w:iCs w:val="0"/>
                      <w:color w:val="auto"/>
                      <w:sz w:val="21"/>
                      <w:szCs w:val="21"/>
                      <w:u w:val="none"/>
                    </w:rPr>
                  </w:pPr>
                </w:p>
              </w:tc>
              <w:tc>
                <w:tcPr>
                  <w:tcW w:w="0" w:type="auto"/>
                  <w:vMerge w:val="continue"/>
                  <w:shd w:val="clear" w:color="auto" w:fill="FFFFFF"/>
                  <w:vAlign w:val="center"/>
                </w:tcPr>
                <w:p w14:paraId="0992F2F4">
                  <w:pPr>
                    <w:jc w:val="center"/>
                    <w:rPr>
                      <w:rFonts w:hint="eastAsia" w:ascii="宋体" w:hAnsi="宋体" w:eastAsia="宋体" w:cs="宋体"/>
                      <w:i w:val="0"/>
                      <w:iCs w:val="0"/>
                      <w:color w:val="auto"/>
                      <w:sz w:val="21"/>
                      <w:szCs w:val="21"/>
                      <w:u w:val="none"/>
                    </w:rPr>
                  </w:pPr>
                </w:p>
              </w:tc>
              <w:tc>
                <w:tcPr>
                  <w:tcW w:w="0" w:type="auto"/>
                  <w:shd w:val="clear" w:color="auto" w:fill="FFFFFF"/>
                  <w:vAlign w:val="center"/>
                </w:tcPr>
                <w:p w14:paraId="5B6E743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马来酸酐</w:t>
                  </w:r>
                </w:p>
              </w:tc>
              <w:tc>
                <w:tcPr>
                  <w:tcW w:w="0" w:type="auto"/>
                  <w:gridSpan w:val="2"/>
                  <w:shd w:val="clear" w:color="auto" w:fill="FFFFFF"/>
                  <w:vAlign w:val="center"/>
                </w:tcPr>
                <w:p w14:paraId="708DC52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0.0002</w:t>
                  </w:r>
                </w:p>
              </w:tc>
              <w:tc>
                <w:tcPr>
                  <w:tcW w:w="0" w:type="auto"/>
                  <w:gridSpan w:val="2"/>
                  <w:shd w:val="clear" w:color="auto" w:fill="FFFFFF"/>
                  <w:vAlign w:val="center"/>
                </w:tcPr>
                <w:p w14:paraId="339C0A0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gridSpan w:val="2"/>
                  <w:shd w:val="clear" w:color="auto" w:fill="FFFFFF"/>
                  <w:vAlign w:val="center"/>
                </w:tcPr>
                <w:p w14:paraId="1F411D3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gridSpan w:val="2"/>
                  <w:shd w:val="clear" w:color="auto" w:fill="FFFFFF"/>
                  <w:vAlign w:val="center"/>
                </w:tcPr>
                <w:p w14:paraId="3FA223B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0.0002 </w:t>
                  </w:r>
                </w:p>
              </w:tc>
              <w:tc>
                <w:tcPr>
                  <w:tcW w:w="0" w:type="auto"/>
                  <w:gridSpan w:val="2"/>
                  <w:shd w:val="clear" w:color="auto" w:fill="FFFFFF"/>
                  <w:vAlign w:val="center"/>
                </w:tcPr>
                <w:p w14:paraId="2E0D822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 </w:t>
                  </w:r>
                </w:p>
              </w:tc>
            </w:tr>
            <w:tr w14:paraId="70B6EA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trPr>
              <w:tc>
                <w:tcPr>
                  <w:tcW w:w="0" w:type="auto"/>
                  <w:vMerge w:val="continue"/>
                  <w:shd w:val="clear" w:color="auto" w:fill="FFFFFF"/>
                  <w:vAlign w:val="center"/>
                </w:tcPr>
                <w:p w14:paraId="72168037">
                  <w:pPr>
                    <w:jc w:val="center"/>
                    <w:rPr>
                      <w:rFonts w:hint="eastAsia" w:ascii="宋体" w:hAnsi="宋体" w:eastAsia="宋体" w:cs="宋体"/>
                      <w:i w:val="0"/>
                      <w:iCs w:val="0"/>
                      <w:color w:val="auto"/>
                      <w:sz w:val="21"/>
                      <w:szCs w:val="21"/>
                      <w:u w:val="none"/>
                    </w:rPr>
                  </w:pPr>
                </w:p>
              </w:tc>
              <w:tc>
                <w:tcPr>
                  <w:tcW w:w="0" w:type="auto"/>
                  <w:vMerge w:val="continue"/>
                  <w:shd w:val="clear" w:color="auto" w:fill="FFFFFF"/>
                  <w:vAlign w:val="center"/>
                </w:tcPr>
                <w:p w14:paraId="2D5DDDCF">
                  <w:pPr>
                    <w:jc w:val="center"/>
                    <w:rPr>
                      <w:rFonts w:hint="eastAsia" w:ascii="宋体" w:hAnsi="宋体" w:eastAsia="宋体" w:cs="宋体"/>
                      <w:i w:val="0"/>
                      <w:iCs w:val="0"/>
                      <w:color w:val="auto"/>
                      <w:sz w:val="21"/>
                      <w:szCs w:val="21"/>
                      <w:u w:val="none"/>
                    </w:rPr>
                  </w:pPr>
                </w:p>
              </w:tc>
              <w:tc>
                <w:tcPr>
                  <w:tcW w:w="0" w:type="auto"/>
                  <w:shd w:val="clear" w:color="auto" w:fill="FFFFFF"/>
                  <w:vAlign w:val="center"/>
                </w:tcPr>
                <w:p w14:paraId="7183B67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甲醇</w:t>
                  </w:r>
                </w:p>
              </w:tc>
              <w:tc>
                <w:tcPr>
                  <w:tcW w:w="0" w:type="auto"/>
                  <w:gridSpan w:val="2"/>
                  <w:shd w:val="clear" w:color="auto" w:fill="FFFFFF"/>
                  <w:vAlign w:val="center"/>
                </w:tcPr>
                <w:p w14:paraId="74BD631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gridSpan w:val="2"/>
                  <w:shd w:val="clear" w:color="auto" w:fill="FFFFFF"/>
                  <w:vAlign w:val="center"/>
                </w:tcPr>
                <w:p w14:paraId="1104ADE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0.0171 </w:t>
                  </w:r>
                </w:p>
              </w:tc>
              <w:tc>
                <w:tcPr>
                  <w:tcW w:w="0" w:type="auto"/>
                  <w:gridSpan w:val="2"/>
                  <w:shd w:val="clear" w:color="auto" w:fill="FFFFFF"/>
                  <w:vAlign w:val="center"/>
                </w:tcPr>
                <w:p w14:paraId="66E189F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gridSpan w:val="2"/>
                  <w:shd w:val="clear" w:color="auto" w:fill="FFFFFF"/>
                  <w:vAlign w:val="center"/>
                </w:tcPr>
                <w:p w14:paraId="3BF394E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0.0171 </w:t>
                  </w:r>
                </w:p>
              </w:tc>
              <w:tc>
                <w:tcPr>
                  <w:tcW w:w="0" w:type="auto"/>
                  <w:gridSpan w:val="2"/>
                  <w:shd w:val="clear" w:color="auto" w:fill="FFFFFF"/>
                  <w:vAlign w:val="center"/>
                </w:tcPr>
                <w:p w14:paraId="64203C7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0.0171 </w:t>
                  </w:r>
                </w:p>
              </w:tc>
            </w:tr>
            <w:tr w14:paraId="69BCD7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0" w:type="auto"/>
                  <w:vMerge w:val="continue"/>
                  <w:shd w:val="clear" w:color="auto" w:fill="FFFFFF"/>
                  <w:vAlign w:val="center"/>
                </w:tcPr>
                <w:p w14:paraId="71F8179E">
                  <w:pPr>
                    <w:jc w:val="center"/>
                    <w:rPr>
                      <w:rFonts w:hint="eastAsia" w:ascii="宋体" w:hAnsi="宋体" w:eastAsia="宋体" w:cs="宋体"/>
                      <w:i w:val="0"/>
                      <w:iCs w:val="0"/>
                      <w:color w:val="auto"/>
                      <w:sz w:val="21"/>
                      <w:szCs w:val="21"/>
                      <w:u w:val="none"/>
                    </w:rPr>
                  </w:pPr>
                </w:p>
              </w:tc>
              <w:tc>
                <w:tcPr>
                  <w:tcW w:w="0" w:type="auto"/>
                  <w:vMerge w:val="continue"/>
                  <w:shd w:val="clear" w:color="auto" w:fill="FFFFFF"/>
                  <w:vAlign w:val="center"/>
                </w:tcPr>
                <w:p w14:paraId="203D8088">
                  <w:pPr>
                    <w:jc w:val="center"/>
                    <w:rPr>
                      <w:rFonts w:hint="eastAsia" w:ascii="宋体" w:hAnsi="宋体" w:eastAsia="宋体" w:cs="宋体"/>
                      <w:i w:val="0"/>
                      <w:iCs w:val="0"/>
                      <w:color w:val="auto"/>
                      <w:sz w:val="21"/>
                      <w:szCs w:val="21"/>
                      <w:u w:val="none"/>
                    </w:rPr>
                  </w:pPr>
                </w:p>
              </w:tc>
              <w:tc>
                <w:tcPr>
                  <w:tcW w:w="0" w:type="auto"/>
                  <w:shd w:val="clear" w:color="auto" w:fill="FFFFFF"/>
                  <w:vAlign w:val="center"/>
                </w:tcPr>
                <w:p w14:paraId="1CE528F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丙酮</w:t>
                  </w:r>
                </w:p>
              </w:tc>
              <w:tc>
                <w:tcPr>
                  <w:tcW w:w="0" w:type="auto"/>
                  <w:gridSpan w:val="2"/>
                  <w:shd w:val="clear" w:color="auto" w:fill="FFFFFF"/>
                  <w:vAlign w:val="center"/>
                </w:tcPr>
                <w:p w14:paraId="35D81B5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0.004</w:t>
                  </w:r>
                </w:p>
              </w:tc>
              <w:tc>
                <w:tcPr>
                  <w:tcW w:w="0" w:type="auto"/>
                  <w:gridSpan w:val="2"/>
                  <w:shd w:val="clear" w:color="auto" w:fill="FFFFFF"/>
                  <w:vAlign w:val="center"/>
                </w:tcPr>
                <w:p w14:paraId="3D603DD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 </w:t>
                  </w:r>
                </w:p>
              </w:tc>
              <w:tc>
                <w:tcPr>
                  <w:tcW w:w="0" w:type="auto"/>
                  <w:gridSpan w:val="2"/>
                  <w:shd w:val="clear" w:color="auto" w:fill="FFFFFF"/>
                  <w:vAlign w:val="center"/>
                </w:tcPr>
                <w:p w14:paraId="5958A85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gridSpan w:val="2"/>
                  <w:shd w:val="clear" w:color="auto" w:fill="FFFFFF"/>
                  <w:vAlign w:val="center"/>
                </w:tcPr>
                <w:p w14:paraId="3147B8B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0.0040 </w:t>
                  </w:r>
                </w:p>
              </w:tc>
              <w:tc>
                <w:tcPr>
                  <w:tcW w:w="0" w:type="auto"/>
                  <w:gridSpan w:val="2"/>
                  <w:shd w:val="clear" w:color="auto" w:fill="FFFFFF"/>
                  <w:vAlign w:val="center"/>
                </w:tcPr>
                <w:p w14:paraId="297BC3F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 </w:t>
                  </w:r>
                </w:p>
              </w:tc>
            </w:tr>
            <w:tr w14:paraId="642449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0" w:type="auto"/>
                  <w:vMerge w:val="continue"/>
                  <w:shd w:val="clear" w:color="auto" w:fill="FFFFFF"/>
                  <w:vAlign w:val="center"/>
                </w:tcPr>
                <w:p w14:paraId="1C5038E6">
                  <w:pPr>
                    <w:jc w:val="center"/>
                    <w:rPr>
                      <w:rFonts w:hint="eastAsia" w:ascii="宋体" w:hAnsi="宋体" w:eastAsia="宋体" w:cs="宋体"/>
                      <w:i w:val="0"/>
                      <w:iCs w:val="0"/>
                      <w:color w:val="auto"/>
                      <w:sz w:val="21"/>
                      <w:szCs w:val="21"/>
                      <w:u w:val="none"/>
                    </w:rPr>
                  </w:pPr>
                </w:p>
              </w:tc>
              <w:tc>
                <w:tcPr>
                  <w:tcW w:w="0" w:type="auto"/>
                  <w:vMerge w:val="continue"/>
                  <w:shd w:val="clear" w:color="auto" w:fill="FFFFFF"/>
                  <w:vAlign w:val="center"/>
                </w:tcPr>
                <w:p w14:paraId="5EBE5633">
                  <w:pPr>
                    <w:jc w:val="center"/>
                    <w:rPr>
                      <w:rFonts w:hint="eastAsia" w:ascii="宋体" w:hAnsi="宋体" w:eastAsia="宋体" w:cs="宋体"/>
                      <w:i w:val="0"/>
                      <w:iCs w:val="0"/>
                      <w:color w:val="auto"/>
                      <w:sz w:val="21"/>
                      <w:szCs w:val="21"/>
                      <w:u w:val="none"/>
                    </w:rPr>
                  </w:pPr>
                </w:p>
              </w:tc>
              <w:tc>
                <w:tcPr>
                  <w:tcW w:w="0" w:type="auto"/>
                  <w:shd w:val="clear" w:color="auto" w:fill="FFFFFF"/>
                  <w:vAlign w:val="center"/>
                </w:tcPr>
                <w:p w14:paraId="532BB83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乙二醇</w:t>
                  </w:r>
                </w:p>
              </w:tc>
              <w:tc>
                <w:tcPr>
                  <w:tcW w:w="0" w:type="auto"/>
                  <w:gridSpan w:val="2"/>
                  <w:shd w:val="clear" w:color="auto" w:fill="FFFFFF"/>
                  <w:vAlign w:val="center"/>
                </w:tcPr>
                <w:p w14:paraId="16494D2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gridSpan w:val="2"/>
                  <w:shd w:val="clear" w:color="auto" w:fill="FFFFFF"/>
                  <w:vAlign w:val="center"/>
                </w:tcPr>
                <w:p w14:paraId="77D29AC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0.0095 </w:t>
                  </w:r>
                </w:p>
              </w:tc>
              <w:tc>
                <w:tcPr>
                  <w:tcW w:w="0" w:type="auto"/>
                  <w:gridSpan w:val="2"/>
                  <w:shd w:val="clear" w:color="auto" w:fill="FFFFFF"/>
                  <w:vAlign w:val="center"/>
                </w:tcPr>
                <w:p w14:paraId="0D74343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gridSpan w:val="2"/>
                  <w:shd w:val="clear" w:color="auto" w:fill="FFFFFF"/>
                  <w:vAlign w:val="center"/>
                </w:tcPr>
                <w:p w14:paraId="02E126F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0.0095 </w:t>
                  </w:r>
                </w:p>
              </w:tc>
              <w:tc>
                <w:tcPr>
                  <w:tcW w:w="0" w:type="auto"/>
                  <w:gridSpan w:val="2"/>
                  <w:shd w:val="clear" w:color="auto" w:fill="FFFFFF"/>
                  <w:vAlign w:val="center"/>
                </w:tcPr>
                <w:p w14:paraId="23397FF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0.0095 </w:t>
                  </w:r>
                </w:p>
              </w:tc>
            </w:tr>
            <w:tr w14:paraId="6E566A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0" w:type="auto"/>
                  <w:vMerge w:val="continue"/>
                  <w:shd w:val="clear" w:color="auto" w:fill="FFFFFF"/>
                  <w:vAlign w:val="center"/>
                </w:tcPr>
                <w:p w14:paraId="4A306122">
                  <w:pPr>
                    <w:jc w:val="center"/>
                    <w:rPr>
                      <w:rFonts w:hint="eastAsia" w:ascii="宋体" w:hAnsi="宋体" w:eastAsia="宋体" w:cs="宋体"/>
                      <w:i w:val="0"/>
                      <w:iCs w:val="0"/>
                      <w:color w:val="auto"/>
                      <w:sz w:val="21"/>
                      <w:szCs w:val="21"/>
                      <w:u w:val="none"/>
                    </w:rPr>
                  </w:pPr>
                </w:p>
              </w:tc>
              <w:tc>
                <w:tcPr>
                  <w:tcW w:w="0" w:type="auto"/>
                  <w:vMerge w:val="continue"/>
                  <w:shd w:val="clear" w:color="auto" w:fill="FFFFFF"/>
                  <w:vAlign w:val="center"/>
                </w:tcPr>
                <w:p w14:paraId="449A1A06">
                  <w:pPr>
                    <w:jc w:val="center"/>
                    <w:rPr>
                      <w:rFonts w:hint="eastAsia" w:ascii="宋体" w:hAnsi="宋体" w:eastAsia="宋体" w:cs="宋体"/>
                      <w:i w:val="0"/>
                      <w:iCs w:val="0"/>
                      <w:color w:val="auto"/>
                      <w:sz w:val="21"/>
                      <w:szCs w:val="21"/>
                      <w:u w:val="none"/>
                    </w:rPr>
                  </w:pPr>
                </w:p>
              </w:tc>
              <w:tc>
                <w:tcPr>
                  <w:tcW w:w="0" w:type="auto"/>
                  <w:shd w:val="clear" w:color="auto" w:fill="FFFFFF"/>
                  <w:vAlign w:val="center"/>
                </w:tcPr>
                <w:p w14:paraId="59B0D8B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四氯化碳</w:t>
                  </w:r>
                </w:p>
              </w:tc>
              <w:tc>
                <w:tcPr>
                  <w:tcW w:w="0" w:type="auto"/>
                  <w:gridSpan w:val="2"/>
                  <w:shd w:val="clear" w:color="auto" w:fill="FFFFFF"/>
                  <w:vAlign w:val="center"/>
                </w:tcPr>
                <w:p w14:paraId="0034B21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gridSpan w:val="2"/>
                  <w:shd w:val="clear" w:color="auto" w:fill="FFFFFF"/>
                  <w:vAlign w:val="center"/>
                </w:tcPr>
                <w:p w14:paraId="6E6A14B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0.000076 </w:t>
                  </w:r>
                </w:p>
              </w:tc>
              <w:tc>
                <w:tcPr>
                  <w:tcW w:w="0" w:type="auto"/>
                  <w:gridSpan w:val="2"/>
                  <w:shd w:val="clear" w:color="auto" w:fill="FFFFFF"/>
                  <w:vAlign w:val="center"/>
                </w:tcPr>
                <w:p w14:paraId="2049C16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gridSpan w:val="2"/>
                  <w:shd w:val="clear" w:color="auto" w:fill="FFFFFF"/>
                  <w:vAlign w:val="center"/>
                </w:tcPr>
                <w:p w14:paraId="030CF8F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0.000076 </w:t>
                  </w:r>
                </w:p>
              </w:tc>
              <w:tc>
                <w:tcPr>
                  <w:tcW w:w="0" w:type="auto"/>
                  <w:gridSpan w:val="2"/>
                  <w:shd w:val="clear" w:color="auto" w:fill="FFFFFF"/>
                  <w:vAlign w:val="center"/>
                </w:tcPr>
                <w:p w14:paraId="0A60238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0.000076 </w:t>
                  </w:r>
                </w:p>
              </w:tc>
            </w:tr>
            <w:tr w14:paraId="1F29E8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0" w:type="auto"/>
                  <w:vMerge w:val="continue"/>
                  <w:shd w:val="clear" w:color="auto" w:fill="FFFFFF"/>
                  <w:vAlign w:val="center"/>
                </w:tcPr>
                <w:p w14:paraId="7F368191">
                  <w:pPr>
                    <w:jc w:val="center"/>
                    <w:rPr>
                      <w:rFonts w:hint="eastAsia" w:ascii="宋体" w:hAnsi="宋体" w:eastAsia="宋体" w:cs="宋体"/>
                      <w:i w:val="0"/>
                      <w:iCs w:val="0"/>
                      <w:color w:val="auto"/>
                      <w:sz w:val="21"/>
                      <w:szCs w:val="21"/>
                      <w:u w:val="none"/>
                    </w:rPr>
                  </w:pPr>
                </w:p>
              </w:tc>
              <w:tc>
                <w:tcPr>
                  <w:tcW w:w="0" w:type="auto"/>
                  <w:vMerge w:val="continue"/>
                  <w:shd w:val="clear" w:color="auto" w:fill="FFFFFF"/>
                  <w:vAlign w:val="center"/>
                </w:tcPr>
                <w:p w14:paraId="5918A611">
                  <w:pPr>
                    <w:jc w:val="center"/>
                    <w:rPr>
                      <w:rFonts w:hint="eastAsia" w:ascii="宋体" w:hAnsi="宋体" w:eastAsia="宋体" w:cs="宋体"/>
                      <w:i w:val="0"/>
                      <w:iCs w:val="0"/>
                      <w:color w:val="auto"/>
                      <w:sz w:val="21"/>
                      <w:szCs w:val="21"/>
                      <w:u w:val="none"/>
                    </w:rPr>
                  </w:pPr>
                </w:p>
              </w:tc>
              <w:tc>
                <w:tcPr>
                  <w:tcW w:w="0" w:type="auto"/>
                  <w:shd w:val="clear" w:color="auto" w:fill="FFFFFF"/>
                  <w:vAlign w:val="center"/>
                </w:tcPr>
                <w:p w14:paraId="2F0B360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VOCs</w:t>
                  </w:r>
                  <w:r>
                    <w:rPr>
                      <w:rFonts w:hint="eastAsia" w:ascii="宋体" w:hAnsi="宋体" w:eastAsia="宋体" w:cs="宋体"/>
                      <w:i w:val="0"/>
                      <w:iCs w:val="0"/>
                      <w:color w:val="auto"/>
                      <w:kern w:val="0"/>
                      <w:sz w:val="21"/>
                      <w:szCs w:val="21"/>
                      <w:u w:val="none"/>
                      <w:lang w:val="en-US" w:eastAsia="zh-CN" w:bidi="ar"/>
                    </w:rPr>
                    <w:t>（以非甲烷总烃计）</w:t>
                  </w:r>
                </w:p>
              </w:tc>
              <w:tc>
                <w:tcPr>
                  <w:tcW w:w="0" w:type="auto"/>
                  <w:gridSpan w:val="2"/>
                  <w:shd w:val="clear" w:color="auto" w:fill="FFFFFF"/>
                  <w:vAlign w:val="center"/>
                </w:tcPr>
                <w:p w14:paraId="073FBC5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0.1092</w:t>
                  </w:r>
                </w:p>
              </w:tc>
              <w:tc>
                <w:tcPr>
                  <w:tcW w:w="0" w:type="auto"/>
                  <w:gridSpan w:val="2"/>
                  <w:shd w:val="clear" w:color="auto" w:fill="FFFFFF"/>
                  <w:vAlign w:val="center"/>
                </w:tcPr>
                <w:p w14:paraId="0ED85E0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0.0276 </w:t>
                  </w:r>
                </w:p>
              </w:tc>
              <w:tc>
                <w:tcPr>
                  <w:tcW w:w="0" w:type="auto"/>
                  <w:gridSpan w:val="2"/>
                  <w:shd w:val="clear" w:color="auto" w:fill="FFFFFF"/>
                  <w:vAlign w:val="center"/>
                </w:tcPr>
                <w:p w14:paraId="75FCD35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gridSpan w:val="2"/>
                  <w:shd w:val="clear" w:color="auto" w:fill="FFFFFF"/>
                  <w:vAlign w:val="center"/>
                </w:tcPr>
                <w:p w14:paraId="1F348F5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0.1368 </w:t>
                  </w:r>
                </w:p>
              </w:tc>
              <w:tc>
                <w:tcPr>
                  <w:tcW w:w="0" w:type="auto"/>
                  <w:gridSpan w:val="2"/>
                  <w:shd w:val="clear" w:color="auto" w:fill="FFFFFF"/>
                  <w:vAlign w:val="center"/>
                </w:tcPr>
                <w:p w14:paraId="081BC4C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0.0276 </w:t>
                  </w:r>
                </w:p>
              </w:tc>
            </w:tr>
            <w:tr w14:paraId="5D14A1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0" w:type="auto"/>
                  <w:vMerge w:val="continue"/>
                  <w:shd w:val="clear" w:color="auto" w:fill="FFFFFF"/>
                  <w:vAlign w:val="center"/>
                </w:tcPr>
                <w:p w14:paraId="130B5405">
                  <w:pPr>
                    <w:jc w:val="center"/>
                    <w:rPr>
                      <w:rFonts w:hint="eastAsia" w:ascii="宋体" w:hAnsi="宋体" w:eastAsia="宋体" w:cs="宋体"/>
                      <w:i w:val="0"/>
                      <w:iCs w:val="0"/>
                      <w:color w:val="auto"/>
                      <w:sz w:val="21"/>
                      <w:szCs w:val="21"/>
                      <w:u w:val="none"/>
                    </w:rPr>
                  </w:pPr>
                </w:p>
              </w:tc>
              <w:tc>
                <w:tcPr>
                  <w:tcW w:w="0" w:type="auto"/>
                  <w:vMerge w:val="restart"/>
                  <w:shd w:val="clear" w:color="auto" w:fill="FFFFFF"/>
                  <w:vAlign w:val="center"/>
                </w:tcPr>
                <w:p w14:paraId="6DB8813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无组织</w:t>
                  </w:r>
                </w:p>
              </w:tc>
              <w:tc>
                <w:tcPr>
                  <w:tcW w:w="0" w:type="auto"/>
                  <w:shd w:val="clear" w:color="auto" w:fill="FFFFFF"/>
                  <w:vAlign w:val="center"/>
                </w:tcPr>
                <w:p w14:paraId="69689E7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NH</w:t>
                  </w:r>
                  <w:r>
                    <w:rPr>
                      <w:rFonts w:hint="default" w:ascii="Times New Roman" w:hAnsi="Times New Roman" w:eastAsia="宋体" w:cs="Times New Roman"/>
                      <w:i w:val="0"/>
                      <w:iCs w:val="0"/>
                      <w:color w:val="auto"/>
                      <w:kern w:val="0"/>
                      <w:sz w:val="21"/>
                      <w:szCs w:val="21"/>
                      <w:u w:val="none"/>
                      <w:vertAlign w:val="subscript"/>
                      <w:lang w:val="en-US" w:eastAsia="zh-CN" w:bidi="ar"/>
                    </w:rPr>
                    <w:t>3</w:t>
                  </w:r>
                </w:p>
              </w:tc>
              <w:tc>
                <w:tcPr>
                  <w:tcW w:w="0" w:type="auto"/>
                  <w:gridSpan w:val="2"/>
                  <w:shd w:val="clear" w:color="auto" w:fill="FFFFFF"/>
                  <w:vAlign w:val="center"/>
                </w:tcPr>
                <w:p w14:paraId="281C6C1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0.0078</w:t>
                  </w:r>
                </w:p>
              </w:tc>
              <w:tc>
                <w:tcPr>
                  <w:tcW w:w="0" w:type="auto"/>
                  <w:gridSpan w:val="2"/>
                  <w:shd w:val="clear" w:color="auto" w:fill="FFFFFF"/>
                  <w:vAlign w:val="center"/>
                </w:tcPr>
                <w:p w14:paraId="67AA5C4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0.00000053 </w:t>
                  </w:r>
                </w:p>
              </w:tc>
              <w:tc>
                <w:tcPr>
                  <w:tcW w:w="0" w:type="auto"/>
                  <w:gridSpan w:val="2"/>
                  <w:shd w:val="clear" w:color="auto" w:fill="FFFFFF"/>
                  <w:vAlign w:val="center"/>
                </w:tcPr>
                <w:p w14:paraId="6B5EA0B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gridSpan w:val="2"/>
                  <w:shd w:val="clear" w:color="auto" w:fill="FFFFFF"/>
                  <w:vAlign w:val="center"/>
                </w:tcPr>
                <w:p w14:paraId="2C66AB5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0.00780053 </w:t>
                  </w:r>
                </w:p>
              </w:tc>
              <w:tc>
                <w:tcPr>
                  <w:tcW w:w="0" w:type="auto"/>
                  <w:gridSpan w:val="2"/>
                  <w:shd w:val="clear" w:color="auto" w:fill="FFFFFF"/>
                  <w:vAlign w:val="center"/>
                </w:tcPr>
                <w:p w14:paraId="02244DA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0.00000053 </w:t>
                  </w:r>
                </w:p>
              </w:tc>
            </w:tr>
            <w:tr w14:paraId="7B469C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0" w:type="auto"/>
                  <w:vMerge w:val="continue"/>
                  <w:shd w:val="clear" w:color="auto" w:fill="FFFFFF"/>
                  <w:vAlign w:val="center"/>
                </w:tcPr>
                <w:p w14:paraId="5DCE5776">
                  <w:pPr>
                    <w:jc w:val="center"/>
                    <w:rPr>
                      <w:rFonts w:hint="eastAsia" w:ascii="宋体" w:hAnsi="宋体" w:eastAsia="宋体" w:cs="宋体"/>
                      <w:i w:val="0"/>
                      <w:iCs w:val="0"/>
                      <w:color w:val="auto"/>
                      <w:sz w:val="21"/>
                      <w:szCs w:val="21"/>
                      <w:u w:val="none"/>
                    </w:rPr>
                  </w:pPr>
                </w:p>
              </w:tc>
              <w:tc>
                <w:tcPr>
                  <w:tcW w:w="0" w:type="auto"/>
                  <w:vMerge w:val="continue"/>
                  <w:shd w:val="clear" w:color="auto" w:fill="FFFFFF"/>
                  <w:vAlign w:val="center"/>
                </w:tcPr>
                <w:p w14:paraId="39B4CBE9">
                  <w:pPr>
                    <w:jc w:val="center"/>
                    <w:rPr>
                      <w:rFonts w:hint="eastAsia" w:ascii="宋体" w:hAnsi="宋体" w:eastAsia="宋体" w:cs="宋体"/>
                      <w:i w:val="0"/>
                      <w:iCs w:val="0"/>
                      <w:color w:val="auto"/>
                      <w:sz w:val="21"/>
                      <w:szCs w:val="21"/>
                      <w:u w:val="none"/>
                    </w:rPr>
                  </w:pPr>
                </w:p>
              </w:tc>
              <w:tc>
                <w:tcPr>
                  <w:tcW w:w="0" w:type="auto"/>
                  <w:shd w:val="clear" w:color="auto" w:fill="FFFFFF"/>
                  <w:vAlign w:val="center"/>
                </w:tcPr>
                <w:p w14:paraId="437C825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Cl</w:t>
                  </w:r>
                  <w:r>
                    <w:rPr>
                      <w:rFonts w:hint="default" w:ascii="Times New Roman" w:hAnsi="Times New Roman" w:eastAsia="宋体" w:cs="Times New Roman"/>
                      <w:i w:val="0"/>
                      <w:iCs w:val="0"/>
                      <w:color w:val="auto"/>
                      <w:kern w:val="0"/>
                      <w:sz w:val="21"/>
                      <w:szCs w:val="21"/>
                      <w:u w:val="none"/>
                      <w:vertAlign w:val="subscript"/>
                      <w:lang w:val="en-US" w:eastAsia="zh-CN" w:bidi="ar"/>
                    </w:rPr>
                    <w:t>2</w:t>
                  </w:r>
                </w:p>
              </w:tc>
              <w:tc>
                <w:tcPr>
                  <w:tcW w:w="0" w:type="auto"/>
                  <w:gridSpan w:val="2"/>
                  <w:shd w:val="clear" w:color="auto" w:fill="FFFFFF"/>
                  <w:vAlign w:val="center"/>
                </w:tcPr>
                <w:p w14:paraId="09BC084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0.0029</w:t>
                  </w:r>
                </w:p>
              </w:tc>
              <w:tc>
                <w:tcPr>
                  <w:tcW w:w="0" w:type="auto"/>
                  <w:gridSpan w:val="2"/>
                  <w:shd w:val="clear" w:color="auto" w:fill="FFFFFF"/>
                  <w:vAlign w:val="center"/>
                </w:tcPr>
                <w:p w14:paraId="7F2787B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cs="Times New Roman"/>
                      <w:i w:val="0"/>
                      <w:iCs w:val="0"/>
                      <w:color w:val="auto"/>
                      <w:kern w:val="0"/>
                      <w:sz w:val="21"/>
                      <w:szCs w:val="21"/>
                      <w:u w:val="none"/>
                      <w:lang w:val="en-US" w:eastAsia="zh-CN" w:bidi="ar"/>
                    </w:rPr>
                    <w:t>0</w:t>
                  </w:r>
                </w:p>
              </w:tc>
              <w:tc>
                <w:tcPr>
                  <w:tcW w:w="0" w:type="auto"/>
                  <w:gridSpan w:val="2"/>
                  <w:shd w:val="clear" w:color="auto" w:fill="FFFFFF"/>
                  <w:vAlign w:val="center"/>
                </w:tcPr>
                <w:p w14:paraId="0B7DB1C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2158" w:type="dxa"/>
                  <w:gridSpan w:val="2"/>
                  <w:shd w:val="clear" w:color="auto" w:fill="FFFFFF"/>
                  <w:vAlign w:val="center"/>
                </w:tcPr>
                <w:p w14:paraId="6ACE662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0.0029</w:t>
                  </w:r>
                </w:p>
              </w:tc>
              <w:tc>
                <w:tcPr>
                  <w:tcW w:w="0" w:type="auto"/>
                  <w:gridSpan w:val="2"/>
                  <w:shd w:val="clear" w:color="auto" w:fill="FFFFFF"/>
                  <w:vAlign w:val="center"/>
                </w:tcPr>
                <w:p w14:paraId="3C7B844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cs="Times New Roman"/>
                      <w:i w:val="0"/>
                      <w:iCs w:val="0"/>
                      <w:color w:val="auto"/>
                      <w:kern w:val="0"/>
                      <w:sz w:val="21"/>
                      <w:szCs w:val="21"/>
                      <w:u w:val="none"/>
                      <w:lang w:val="en-US" w:eastAsia="zh-CN" w:bidi="ar"/>
                    </w:rPr>
                    <w:t>0</w:t>
                  </w:r>
                </w:p>
              </w:tc>
            </w:tr>
            <w:tr w14:paraId="3B1E88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trPr>
              <w:tc>
                <w:tcPr>
                  <w:tcW w:w="0" w:type="auto"/>
                  <w:vMerge w:val="continue"/>
                  <w:shd w:val="clear" w:color="auto" w:fill="FFFFFF"/>
                  <w:vAlign w:val="center"/>
                </w:tcPr>
                <w:p w14:paraId="62480A36">
                  <w:pPr>
                    <w:jc w:val="center"/>
                    <w:rPr>
                      <w:rFonts w:hint="eastAsia" w:ascii="宋体" w:hAnsi="宋体" w:eastAsia="宋体" w:cs="宋体"/>
                      <w:i w:val="0"/>
                      <w:iCs w:val="0"/>
                      <w:color w:val="auto"/>
                      <w:sz w:val="21"/>
                      <w:szCs w:val="21"/>
                      <w:u w:val="none"/>
                    </w:rPr>
                  </w:pPr>
                </w:p>
              </w:tc>
              <w:tc>
                <w:tcPr>
                  <w:tcW w:w="0" w:type="auto"/>
                  <w:vMerge w:val="continue"/>
                  <w:shd w:val="clear" w:color="auto" w:fill="FFFFFF"/>
                  <w:vAlign w:val="center"/>
                </w:tcPr>
                <w:p w14:paraId="6412D358">
                  <w:pPr>
                    <w:jc w:val="center"/>
                    <w:rPr>
                      <w:rFonts w:hint="eastAsia" w:ascii="宋体" w:hAnsi="宋体" w:eastAsia="宋体" w:cs="宋体"/>
                      <w:i w:val="0"/>
                      <w:iCs w:val="0"/>
                      <w:color w:val="auto"/>
                      <w:sz w:val="21"/>
                      <w:szCs w:val="21"/>
                      <w:u w:val="none"/>
                    </w:rPr>
                  </w:pPr>
                </w:p>
              </w:tc>
              <w:tc>
                <w:tcPr>
                  <w:tcW w:w="0" w:type="auto"/>
                  <w:shd w:val="clear" w:color="auto" w:fill="FFFFFF"/>
                  <w:vAlign w:val="center"/>
                </w:tcPr>
                <w:p w14:paraId="0427FD8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HCl</w:t>
                  </w:r>
                </w:p>
              </w:tc>
              <w:tc>
                <w:tcPr>
                  <w:tcW w:w="0" w:type="auto"/>
                  <w:gridSpan w:val="2"/>
                  <w:shd w:val="clear" w:color="auto" w:fill="FFFFFF"/>
                  <w:vAlign w:val="center"/>
                </w:tcPr>
                <w:p w14:paraId="274FF5F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0.0001</w:t>
                  </w:r>
                </w:p>
              </w:tc>
              <w:tc>
                <w:tcPr>
                  <w:tcW w:w="0" w:type="auto"/>
                  <w:gridSpan w:val="2"/>
                  <w:shd w:val="clear" w:color="auto" w:fill="FFFFFF"/>
                  <w:vAlign w:val="center"/>
                </w:tcPr>
                <w:p w14:paraId="6FC02D8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cs="Times New Roman"/>
                      <w:i w:val="0"/>
                      <w:iCs w:val="0"/>
                      <w:color w:val="auto"/>
                      <w:kern w:val="0"/>
                      <w:sz w:val="21"/>
                      <w:szCs w:val="21"/>
                      <w:u w:val="none"/>
                      <w:lang w:val="en-US" w:eastAsia="zh-CN" w:bidi="ar"/>
                    </w:rPr>
                    <w:t>0</w:t>
                  </w:r>
                </w:p>
              </w:tc>
              <w:tc>
                <w:tcPr>
                  <w:tcW w:w="0" w:type="auto"/>
                  <w:gridSpan w:val="2"/>
                  <w:shd w:val="clear" w:color="auto" w:fill="FFFFFF"/>
                  <w:vAlign w:val="center"/>
                </w:tcPr>
                <w:p w14:paraId="3B18CDA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2158" w:type="dxa"/>
                  <w:gridSpan w:val="2"/>
                  <w:shd w:val="clear" w:color="auto" w:fill="FFFFFF"/>
                  <w:vAlign w:val="center"/>
                </w:tcPr>
                <w:p w14:paraId="5196B73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0.0001</w:t>
                  </w:r>
                </w:p>
              </w:tc>
              <w:tc>
                <w:tcPr>
                  <w:tcW w:w="0" w:type="auto"/>
                  <w:gridSpan w:val="2"/>
                  <w:shd w:val="clear" w:color="auto" w:fill="FFFFFF"/>
                  <w:vAlign w:val="center"/>
                </w:tcPr>
                <w:p w14:paraId="655E500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cs="Times New Roman"/>
                      <w:i w:val="0"/>
                      <w:iCs w:val="0"/>
                      <w:color w:val="auto"/>
                      <w:kern w:val="0"/>
                      <w:sz w:val="21"/>
                      <w:szCs w:val="21"/>
                      <w:u w:val="none"/>
                      <w:lang w:val="en-US" w:eastAsia="zh-CN" w:bidi="ar"/>
                    </w:rPr>
                    <w:t>0</w:t>
                  </w:r>
                </w:p>
              </w:tc>
            </w:tr>
            <w:tr w14:paraId="5D24C0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0" w:type="auto"/>
                  <w:vMerge w:val="continue"/>
                  <w:shd w:val="clear" w:color="auto" w:fill="FFFFFF"/>
                  <w:vAlign w:val="center"/>
                </w:tcPr>
                <w:p w14:paraId="0A22B893">
                  <w:pPr>
                    <w:jc w:val="center"/>
                    <w:rPr>
                      <w:rFonts w:hint="eastAsia" w:ascii="宋体" w:hAnsi="宋体" w:eastAsia="宋体" w:cs="宋体"/>
                      <w:i w:val="0"/>
                      <w:iCs w:val="0"/>
                      <w:color w:val="auto"/>
                      <w:sz w:val="21"/>
                      <w:szCs w:val="21"/>
                      <w:u w:val="none"/>
                    </w:rPr>
                  </w:pPr>
                </w:p>
              </w:tc>
              <w:tc>
                <w:tcPr>
                  <w:tcW w:w="0" w:type="auto"/>
                  <w:vMerge w:val="continue"/>
                  <w:shd w:val="clear" w:color="auto" w:fill="FFFFFF"/>
                  <w:vAlign w:val="center"/>
                </w:tcPr>
                <w:p w14:paraId="4EA3CCCF">
                  <w:pPr>
                    <w:jc w:val="center"/>
                    <w:rPr>
                      <w:rFonts w:hint="eastAsia" w:ascii="宋体" w:hAnsi="宋体" w:eastAsia="宋体" w:cs="宋体"/>
                      <w:i w:val="0"/>
                      <w:iCs w:val="0"/>
                      <w:color w:val="auto"/>
                      <w:sz w:val="21"/>
                      <w:szCs w:val="21"/>
                      <w:u w:val="none"/>
                    </w:rPr>
                  </w:pPr>
                </w:p>
              </w:tc>
              <w:tc>
                <w:tcPr>
                  <w:tcW w:w="0" w:type="auto"/>
                  <w:shd w:val="clear" w:color="auto" w:fill="FFFFFF"/>
                  <w:vAlign w:val="center"/>
                </w:tcPr>
                <w:p w14:paraId="730D124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硫酸雾</w:t>
                  </w:r>
                </w:p>
              </w:tc>
              <w:tc>
                <w:tcPr>
                  <w:tcW w:w="0" w:type="auto"/>
                  <w:gridSpan w:val="2"/>
                  <w:shd w:val="clear" w:color="auto" w:fill="FFFFFF"/>
                  <w:vAlign w:val="center"/>
                </w:tcPr>
                <w:p w14:paraId="2E777FF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0.0022</w:t>
                  </w:r>
                </w:p>
              </w:tc>
              <w:tc>
                <w:tcPr>
                  <w:tcW w:w="0" w:type="auto"/>
                  <w:gridSpan w:val="2"/>
                  <w:shd w:val="clear" w:color="auto" w:fill="FFFFFF"/>
                  <w:vAlign w:val="center"/>
                </w:tcPr>
                <w:p w14:paraId="0742919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0.0002 </w:t>
                  </w:r>
                </w:p>
              </w:tc>
              <w:tc>
                <w:tcPr>
                  <w:tcW w:w="0" w:type="auto"/>
                  <w:gridSpan w:val="2"/>
                  <w:shd w:val="clear" w:color="auto" w:fill="FFFFFF"/>
                  <w:vAlign w:val="center"/>
                </w:tcPr>
                <w:p w14:paraId="12EAFCA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gridSpan w:val="2"/>
                  <w:shd w:val="clear" w:color="auto" w:fill="FFFFFF"/>
                  <w:vAlign w:val="center"/>
                </w:tcPr>
                <w:p w14:paraId="381E4BD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0.0024 </w:t>
                  </w:r>
                </w:p>
              </w:tc>
              <w:tc>
                <w:tcPr>
                  <w:tcW w:w="0" w:type="auto"/>
                  <w:gridSpan w:val="2"/>
                  <w:shd w:val="clear" w:color="auto" w:fill="FFFFFF"/>
                  <w:vAlign w:val="center"/>
                </w:tcPr>
                <w:p w14:paraId="3C785F1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0.0002 </w:t>
                  </w:r>
                </w:p>
              </w:tc>
            </w:tr>
            <w:tr w14:paraId="6BB1E8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0" w:type="auto"/>
                  <w:vMerge w:val="continue"/>
                  <w:shd w:val="clear" w:color="auto" w:fill="FFFFFF"/>
                  <w:vAlign w:val="center"/>
                </w:tcPr>
                <w:p w14:paraId="366C1652">
                  <w:pPr>
                    <w:jc w:val="center"/>
                    <w:rPr>
                      <w:rFonts w:hint="eastAsia" w:ascii="宋体" w:hAnsi="宋体" w:eastAsia="宋体" w:cs="宋体"/>
                      <w:i w:val="0"/>
                      <w:iCs w:val="0"/>
                      <w:color w:val="auto"/>
                      <w:sz w:val="21"/>
                      <w:szCs w:val="21"/>
                      <w:u w:val="none"/>
                    </w:rPr>
                  </w:pPr>
                </w:p>
              </w:tc>
              <w:tc>
                <w:tcPr>
                  <w:tcW w:w="0" w:type="auto"/>
                  <w:vMerge w:val="continue"/>
                  <w:shd w:val="clear" w:color="auto" w:fill="FFFFFF"/>
                  <w:vAlign w:val="center"/>
                </w:tcPr>
                <w:p w14:paraId="26BE213D">
                  <w:pPr>
                    <w:jc w:val="center"/>
                    <w:rPr>
                      <w:rFonts w:hint="eastAsia" w:ascii="宋体" w:hAnsi="宋体" w:eastAsia="宋体" w:cs="宋体"/>
                      <w:i w:val="0"/>
                      <w:iCs w:val="0"/>
                      <w:color w:val="auto"/>
                      <w:sz w:val="21"/>
                      <w:szCs w:val="21"/>
                      <w:u w:val="none"/>
                    </w:rPr>
                  </w:pPr>
                </w:p>
              </w:tc>
              <w:tc>
                <w:tcPr>
                  <w:tcW w:w="0" w:type="auto"/>
                  <w:shd w:val="clear" w:color="auto" w:fill="FFFFFF"/>
                  <w:vAlign w:val="center"/>
                </w:tcPr>
                <w:p w14:paraId="1565541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SO</w:t>
                  </w:r>
                  <w:r>
                    <w:rPr>
                      <w:rFonts w:hint="default" w:ascii="Times New Roman" w:hAnsi="Times New Roman" w:eastAsia="宋体" w:cs="Times New Roman"/>
                      <w:i w:val="0"/>
                      <w:iCs w:val="0"/>
                      <w:color w:val="auto"/>
                      <w:kern w:val="0"/>
                      <w:sz w:val="21"/>
                      <w:szCs w:val="21"/>
                      <w:u w:val="none"/>
                      <w:vertAlign w:val="subscript"/>
                      <w:lang w:val="en-US" w:eastAsia="zh-CN" w:bidi="ar"/>
                    </w:rPr>
                    <w:t>2</w:t>
                  </w:r>
                </w:p>
              </w:tc>
              <w:tc>
                <w:tcPr>
                  <w:tcW w:w="0" w:type="auto"/>
                  <w:gridSpan w:val="2"/>
                  <w:shd w:val="clear" w:color="auto" w:fill="FFFFFF"/>
                  <w:vAlign w:val="center"/>
                </w:tcPr>
                <w:p w14:paraId="1719B4D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0.0016</w:t>
                  </w:r>
                </w:p>
              </w:tc>
              <w:tc>
                <w:tcPr>
                  <w:tcW w:w="0" w:type="auto"/>
                  <w:gridSpan w:val="2"/>
                  <w:shd w:val="clear" w:color="auto" w:fill="FFFFFF"/>
                  <w:vAlign w:val="center"/>
                </w:tcPr>
                <w:p w14:paraId="6A071E2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gridSpan w:val="2"/>
                  <w:shd w:val="clear" w:color="auto" w:fill="FFFFFF"/>
                  <w:vAlign w:val="center"/>
                </w:tcPr>
                <w:p w14:paraId="4849047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gridSpan w:val="2"/>
                  <w:shd w:val="clear" w:color="auto" w:fill="FFFFFF"/>
                  <w:vAlign w:val="center"/>
                </w:tcPr>
                <w:p w14:paraId="10B4E91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0.0016 </w:t>
                  </w:r>
                </w:p>
              </w:tc>
              <w:tc>
                <w:tcPr>
                  <w:tcW w:w="0" w:type="auto"/>
                  <w:gridSpan w:val="2"/>
                  <w:shd w:val="clear" w:color="auto" w:fill="FFFFFF"/>
                  <w:vAlign w:val="center"/>
                </w:tcPr>
                <w:p w14:paraId="5EF699D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 </w:t>
                  </w:r>
                </w:p>
              </w:tc>
            </w:tr>
            <w:tr w14:paraId="7BEB38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trPr>
              <w:tc>
                <w:tcPr>
                  <w:tcW w:w="0" w:type="auto"/>
                  <w:vMerge w:val="continue"/>
                  <w:shd w:val="clear" w:color="auto" w:fill="FFFFFF"/>
                  <w:vAlign w:val="center"/>
                </w:tcPr>
                <w:p w14:paraId="167A78E2">
                  <w:pPr>
                    <w:jc w:val="center"/>
                    <w:rPr>
                      <w:rFonts w:hint="eastAsia" w:ascii="宋体" w:hAnsi="宋体" w:eastAsia="宋体" w:cs="宋体"/>
                      <w:i w:val="0"/>
                      <w:iCs w:val="0"/>
                      <w:color w:val="auto"/>
                      <w:sz w:val="21"/>
                      <w:szCs w:val="21"/>
                      <w:u w:val="none"/>
                    </w:rPr>
                  </w:pPr>
                </w:p>
              </w:tc>
              <w:tc>
                <w:tcPr>
                  <w:tcW w:w="0" w:type="auto"/>
                  <w:vMerge w:val="continue"/>
                  <w:shd w:val="clear" w:color="auto" w:fill="FFFFFF"/>
                  <w:vAlign w:val="center"/>
                </w:tcPr>
                <w:p w14:paraId="7376E34F">
                  <w:pPr>
                    <w:jc w:val="center"/>
                    <w:rPr>
                      <w:rFonts w:hint="eastAsia" w:ascii="宋体" w:hAnsi="宋体" w:eastAsia="宋体" w:cs="宋体"/>
                      <w:i w:val="0"/>
                      <w:iCs w:val="0"/>
                      <w:color w:val="auto"/>
                      <w:sz w:val="21"/>
                      <w:szCs w:val="21"/>
                      <w:u w:val="none"/>
                    </w:rPr>
                  </w:pPr>
                </w:p>
              </w:tc>
              <w:tc>
                <w:tcPr>
                  <w:tcW w:w="0" w:type="auto"/>
                  <w:shd w:val="clear" w:color="auto" w:fill="FFFFFF"/>
                  <w:vAlign w:val="center"/>
                </w:tcPr>
                <w:p w14:paraId="1C52CFB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粉尘</w:t>
                  </w:r>
                </w:p>
              </w:tc>
              <w:tc>
                <w:tcPr>
                  <w:tcW w:w="0" w:type="auto"/>
                  <w:gridSpan w:val="2"/>
                  <w:shd w:val="clear" w:color="auto" w:fill="FFFFFF"/>
                  <w:vAlign w:val="center"/>
                </w:tcPr>
                <w:p w14:paraId="44BBDD8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0.0202</w:t>
                  </w:r>
                </w:p>
              </w:tc>
              <w:tc>
                <w:tcPr>
                  <w:tcW w:w="0" w:type="auto"/>
                  <w:gridSpan w:val="2"/>
                  <w:shd w:val="clear" w:color="auto" w:fill="FFFFFF"/>
                  <w:vAlign w:val="center"/>
                </w:tcPr>
                <w:p w14:paraId="274BC70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gridSpan w:val="2"/>
                  <w:shd w:val="clear" w:color="auto" w:fill="FFFFFF"/>
                  <w:vAlign w:val="center"/>
                </w:tcPr>
                <w:p w14:paraId="53507F8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gridSpan w:val="2"/>
                  <w:shd w:val="clear" w:color="auto" w:fill="FFFFFF"/>
                  <w:vAlign w:val="center"/>
                </w:tcPr>
                <w:p w14:paraId="1945C0F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0.0202 </w:t>
                  </w:r>
                </w:p>
              </w:tc>
              <w:tc>
                <w:tcPr>
                  <w:tcW w:w="0" w:type="auto"/>
                  <w:gridSpan w:val="2"/>
                  <w:shd w:val="clear" w:color="auto" w:fill="FFFFFF"/>
                  <w:vAlign w:val="center"/>
                </w:tcPr>
                <w:p w14:paraId="2AA150F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 </w:t>
                  </w:r>
                </w:p>
              </w:tc>
            </w:tr>
            <w:tr w14:paraId="3AC3E0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0" w:type="auto"/>
                  <w:vMerge w:val="continue"/>
                  <w:shd w:val="clear" w:color="auto" w:fill="FFFFFF"/>
                  <w:vAlign w:val="center"/>
                </w:tcPr>
                <w:p w14:paraId="46040EB3">
                  <w:pPr>
                    <w:jc w:val="center"/>
                    <w:rPr>
                      <w:rFonts w:hint="eastAsia" w:ascii="宋体" w:hAnsi="宋体" w:eastAsia="宋体" w:cs="宋体"/>
                      <w:i w:val="0"/>
                      <w:iCs w:val="0"/>
                      <w:color w:val="auto"/>
                      <w:sz w:val="21"/>
                      <w:szCs w:val="21"/>
                      <w:u w:val="none"/>
                    </w:rPr>
                  </w:pPr>
                </w:p>
              </w:tc>
              <w:tc>
                <w:tcPr>
                  <w:tcW w:w="0" w:type="auto"/>
                  <w:vMerge w:val="continue"/>
                  <w:shd w:val="clear" w:color="auto" w:fill="FFFFFF"/>
                  <w:vAlign w:val="center"/>
                </w:tcPr>
                <w:p w14:paraId="2624566B">
                  <w:pPr>
                    <w:jc w:val="center"/>
                    <w:rPr>
                      <w:rFonts w:hint="eastAsia" w:ascii="宋体" w:hAnsi="宋体" w:eastAsia="宋体" w:cs="宋体"/>
                      <w:i w:val="0"/>
                      <w:iCs w:val="0"/>
                      <w:color w:val="auto"/>
                      <w:sz w:val="21"/>
                      <w:szCs w:val="21"/>
                      <w:u w:val="none"/>
                    </w:rPr>
                  </w:pPr>
                </w:p>
              </w:tc>
              <w:tc>
                <w:tcPr>
                  <w:tcW w:w="0" w:type="auto"/>
                  <w:shd w:val="clear" w:color="auto" w:fill="FFFFFF"/>
                  <w:vAlign w:val="center"/>
                </w:tcPr>
                <w:p w14:paraId="3D69659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氟化物</w:t>
                  </w:r>
                </w:p>
              </w:tc>
              <w:tc>
                <w:tcPr>
                  <w:tcW w:w="0" w:type="auto"/>
                  <w:gridSpan w:val="2"/>
                  <w:shd w:val="clear" w:color="auto" w:fill="FFFFFF"/>
                  <w:vAlign w:val="center"/>
                </w:tcPr>
                <w:p w14:paraId="6307AD8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0.0007</w:t>
                  </w:r>
                </w:p>
              </w:tc>
              <w:tc>
                <w:tcPr>
                  <w:tcW w:w="0" w:type="auto"/>
                  <w:gridSpan w:val="2"/>
                  <w:shd w:val="clear" w:color="auto" w:fill="FFFFFF"/>
                  <w:vAlign w:val="center"/>
                </w:tcPr>
                <w:p w14:paraId="638FA4F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gridSpan w:val="2"/>
                  <w:shd w:val="clear" w:color="auto" w:fill="FFFFFF"/>
                  <w:vAlign w:val="center"/>
                </w:tcPr>
                <w:p w14:paraId="6BCCD78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gridSpan w:val="2"/>
                  <w:shd w:val="clear" w:color="auto" w:fill="FFFFFF"/>
                  <w:vAlign w:val="center"/>
                </w:tcPr>
                <w:p w14:paraId="47FE44F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0.0007 </w:t>
                  </w:r>
                </w:p>
              </w:tc>
              <w:tc>
                <w:tcPr>
                  <w:tcW w:w="0" w:type="auto"/>
                  <w:gridSpan w:val="2"/>
                  <w:shd w:val="clear" w:color="auto" w:fill="FFFFFF"/>
                  <w:vAlign w:val="center"/>
                </w:tcPr>
                <w:p w14:paraId="4B872AC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 </w:t>
                  </w:r>
                </w:p>
              </w:tc>
            </w:tr>
            <w:tr w14:paraId="43EF9D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0" w:type="auto"/>
                  <w:vMerge w:val="continue"/>
                  <w:shd w:val="clear" w:color="auto" w:fill="FFFFFF"/>
                  <w:vAlign w:val="center"/>
                </w:tcPr>
                <w:p w14:paraId="48B4E8EA">
                  <w:pPr>
                    <w:jc w:val="center"/>
                    <w:rPr>
                      <w:rFonts w:hint="eastAsia" w:ascii="宋体" w:hAnsi="宋体" w:eastAsia="宋体" w:cs="宋体"/>
                      <w:i w:val="0"/>
                      <w:iCs w:val="0"/>
                      <w:color w:val="auto"/>
                      <w:sz w:val="21"/>
                      <w:szCs w:val="21"/>
                      <w:u w:val="none"/>
                    </w:rPr>
                  </w:pPr>
                </w:p>
              </w:tc>
              <w:tc>
                <w:tcPr>
                  <w:tcW w:w="0" w:type="auto"/>
                  <w:vMerge w:val="continue"/>
                  <w:shd w:val="clear" w:color="auto" w:fill="FFFFFF"/>
                  <w:vAlign w:val="center"/>
                </w:tcPr>
                <w:p w14:paraId="4589430E">
                  <w:pPr>
                    <w:jc w:val="center"/>
                    <w:rPr>
                      <w:rFonts w:hint="eastAsia" w:ascii="宋体" w:hAnsi="宋体" w:eastAsia="宋体" w:cs="宋体"/>
                      <w:i w:val="0"/>
                      <w:iCs w:val="0"/>
                      <w:color w:val="auto"/>
                      <w:sz w:val="21"/>
                      <w:szCs w:val="21"/>
                      <w:u w:val="none"/>
                    </w:rPr>
                  </w:pPr>
                </w:p>
              </w:tc>
              <w:tc>
                <w:tcPr>
                  <w:tcW w:w="0" w:type="auto"/>
                  <w:shd w:val="clear" w:color="auto" w:fill="FFFFFF"/>
                  <w:vAlign w:val="center"/>
                </w:tcPr>
                <w:p w14:paraId="27408FF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异丙醇</w:t>
                  </w:r>
                </w:p>
              </w:tc>
              <w:tc>
                <w:tcPr>
                  <w:tcW w:w="0" w:type="auto"/>
                  <w:gridSpan w:val="2"/>
                  <w:shd w:val="clear" w:color="auto" w:fill="FFFFFF"/>
                  <w:vAlign w:val="center"/>
                </w:tcPr>
                <w:p w14:paraId="4DE24A8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0.0002</w:t>
                  </w:r>
                </w:p>
              </w:tc>
              <w:tc>
                <w:tcPr>
                  <w:tcW w:w="0" w:type="auto"/>
                  <w:gridSpan w:val="2"/>
                  <w:shd w:val="clear" w:color="auto" w:fill="FFFFFF"/>
                  <w:vAlign w:val="center"/>
                </w:tcPr>
                <w:p w14:paraId="09160FA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gridSpan w:val="2"/>
                  <w:shd w:val="clear" w:color="auto" w:fill="FFFFFF"/>
                  <w:vAlign w:val="center"/>
                </w:tcPr>
                <w:p w14:paraId="6F03035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gridSpan w:val="2"/>
                  <w:shd w:val="clear" w:color="auto" w:fill="FFFFFF"/>
                  <w:vAlign w:val="center"/>
                </w:tcPr>
                <w:p w14:paraId="2466C8F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0.0002 </w:t>
                  </w:r>
                </w:p>
              </w:tc>
              <w:tc>
                <w:tcPr>
                  <w:tcW w:w="0" w:type="auto"/>
                  <w:gridSpan w:val="2"/>
                  <w:shd w:val="clear" w:color="auto" w:fill="FFFFFF"/>
                  <w:vAlign w:val="center"/>
                </w:tcPr>
                <w:p w14:paraId="60BA554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 </w:t>
                  </w:r>
                </w:p>
              </w:tc>
            </w:tr>
            <w:tr w14:paraId="37BB5D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0" w:type="auto"/>
                  <w:vMerge w:val="continue"/>
                  <w:shd w:val="clear" w:color="auto" w:fill="FFFFFF"/>
                  <w:vAlign w:val="center"/>
                </w:tcPr>
                <w:p w14:paraId="1181BBDA">
                  <w:pPr>
                    <w:jc w:val="center"/>
                    <w:rPr>
                      <w:rFonts w:hint="eastAsia" w:ascii="宋体" w:hAnsi="宋体" w:eastAsia="宋体" w:cs="宋体"/>
                      <w:i w:val="0"/>
                      <w:iCs w:val="0"/>
                      <w:color w:val="auto"/>
                      <w:sz w:val="21"/>
                      <w:szCs w:val="21"/>
                      <w:u w:val="none"/>
                    </w:rPr>
                  </w:pPr>
                </w:p>
              </w:tc>
              <w:tc>
                <w:tcPr>
                  <w:tcW w:w="0" w:type="auto"/>
                  <w:vMerge w:val="continue"/>
                  <w:shd w:val="clear" w:color="auto" w:fill="FFFFFF"/>
                  <w:vAlign w:val="center"/>
                </w:tcPr>
                <w:p w14:paraId="2BD0BE85">
                  <w:pPr>
                    <w:jc w:val="center"/>
                    <w:rPr>
                      <w:rFonts w:hint="eastAsia" w:ascii="宋体" w:hAnsi="宋体" w:eastAsia="宋体" w:cs="宋体"/>
                      <w:i w:val="0"/>
                      <w:iCs w:val="0"/>
                      <w:color w:val="auto"/>
                      <w:sz w:val="21"/>
                      <w:szCs w:val="21"/>
                      <w:u w:val="none"/>
                    </w:rPr>
                  </w:pPr>
                </w:p>
              </w:tc>
              <w:tc>
                <w:tcPr>
                  <w:tcW w:w="0" w:type="auto"/>
                  <w:shd w:val="clear" w:color="auto" w:fill="FFFFFF"/>
                  <w:vAlign w:val="center"/>
                </w:tcPr>
                <w:p w14:paraId="67DC6B4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甲醛</w:t>
                  </w:r>
                </w:p>
              </w:tc>
              <w:tc>
                <w:tcPr>
                  <w:tcW w:w="0" w:type="auto"/>
                  <w:gridSpan w:val="2"/>
                  <w:shd w:val="clear" w:color="auto" w:fill="FFFFFF"/>
                  <w:vAlign w:val="center"/>
                </w:tcPr>
                <w:p w14:paraId="745F04C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0.0001</w:t>
                  </w:r>
                </w:p>
              </w:tc>
              <w:tc>
                <w:tcPr>
                  <w:tcW w:w="0" w:type="auto"/>
                  <w:gridSpan w:val="2"/>
                  <w:shd w:val="clear" w:color="auto" w:fill="FFFFFF"/>
                  <w:vAlign w:val="center"/>
                </w:tcPr>
                <w:p w14:paraId="675C5FF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gridSpan w:val="2"/>
                  <w:shd w:val="clear" w:color="auto" w:fill="FFFFFF"/>
                  <w:vAlign w:val="center"/>
                </w:tcPr>
                <w:p w14:paraId="7A14229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gridSpan w:val="2"/>
                  <w:shd w:val="clear" w:color="auto" w:fill="FFFFFF"/>
                  <w:vAlign w:val="center"/>
                </w:tcPr>
                <w:p w14:paraId="3B5477D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0.0001 </w:t>
                  </w:r>
                </w:p>
              </w:tc>
              <w:tc>
                <w:tcPr>
                  <w:tcW w:w="0" w:type="auto"/>
                  <w:gridSpan w:val="2"/>
                  <w:shd w:val="clear" w:color="auto" w:fill="FFFFFF"/>
                  <w:vAlign w:val="center"/>
                </w:tcPr>
                <w:p w14:paraId="1FEFC09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 </w:t>
                  </w:r>
                </w:p>
              </w:tc>
            </w:tr>
            <w:tr w14:paraId="1FCFAE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trPr>
              <w:tc>
                <w:tcPr>
                  <w:tcW w:w="0" w:type="auto"/>
                  <w:vMerge w:val="continue"/>
                  <w:shd w:val="clear" w:color="auto" w:fill="FFFFFF"/>
                  <w:vAlign w:val="center"/>
                </w:tcPr>
                <w:p w14:paraId="04022551">
                  <w:pPr>
                    <w:jc w:val="center"/>
                    <w:rPr>
                      <w:rFonts w:hint="eastAsia" w:ascii="宋体" w:hAnsi="宋体" w:eastAsia="宋体" w:cs="宋体"/>
                      <w:i w:val="0"/>
                      <w:iCs w:val="0"/>
                      <w:color w:val="auto"/>
                      <w:sz w:val="21"/>
                      <w:szCs w:val="21"/>
                      <w:u w:val="none"/>
                    </w:rPr>
                  </w:pPr>
                </w:p>
              </w:tc>
              <w:tc>
                <w:tcPr>
                  <w:tcW w:w="0" w:type="auto"/>
                  <w:vMerge w:val="continue"/>
                  <w:shd w:val="clear" w:color="auto" w:fill="FFFFFF"/>
                  <w:vAlign w:val="center"/>
                </w:tcPr>
                <w:p w14:paraId="2A81DCBF">
                  <w:pPr>
                    <w:jc w:val="center"/>
                    <w:rPr>
                      <w:rFonts w:hint="eastAsia" w:ascii="宋体" w:hAnsi="宋体" w:eastAsia="宋体" w:cs="宋体"/>
                      <w:i w:val="0"/>
                      <w:iCs w:val="0"/>
                      <w:color w:val="auto"/>
                      <w:sz w:val="21"/>
                      <w:szCs w:val="21"/>
                      <w:u w:val="none"/>
                    </w:rPr>
                  </w:pPr>
                </w:p>
              </w:tc>
              <w:tc>
                <w:tcPr>
                  <w:tcW w:w="0" w:type="auto"/>
                  <w:shd w:val="clear" w:color="auto" w:fill="FFFFFF"/>
                  <w:vAlign w:val="center"/>
                </w:tcPr>
                <w:p w14:paraId="02E5195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NOx</w:t>
                  </w:r>
                </w:p>
              </w:tc>
              <w:tc>
                <w:tcPr>
                  <w:tcW w:w="0" w:type="auto"/>
                  <w:gridSpan w:val="2"/>
                  <w:shd w:val="clear" w:color="auto" w:fill="FFFFFF"/>
                  <w:vAlign w:val="center"/>
                </w:tcPr>
                <w:p w14:paraId="771A00F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0.00003</w:t>
                  </w:r>
                </w:p>
              </w:tc>
              <w:tc>
                <w:tcPr>
                  <w:tcW w:w="0" w:type="auto"/>
                  <w:gridSpan w:val="2"/>
                  <w:shd w:val="clear" w:color="auto" w:fill="FFFFFF"/>
                  <w:vAlign w:val="center"/>
                </w:tcPr>
                <w:p w14:paraId="34D2E0F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0.0001 </w:t>
                  </w:r>
                </w:p>
              </w:tc>
              <w:tc>
                <w:tcPr>
                  <w:tcW w:w="0" w:type="auto"/>
                  <w:gridSpan w:val="2"/>
                  <w:shd w:val="clear" w:color="auto" w:fill="FFFFFF"/>
                  <w:vAlign w:val="center"/>
                </w:tcPr>
                <w:p w14:paraId="021DDC3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gridSpan w:val="2"/>
                  <w:shd w:val="clear" w:color="auto" w:fill="FFFFFF"/>
                  <w:vAlign w:val="center"/>
                </w:tcPr>
                <w:p w14:paraId="12EF2CF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0.00013 </w:t>
                  </w:r>
                </w:p>
              </w:tc>
              <w:tc>
                <w:tcPr>
                  <w:tcW w:w="0" w:type="auto"/>
                  <w:gridSpan w:val="2"/>
                  <w:shd w:val="clear" w:color="auto" w:fill="FFFFFF"/>
                  <w:vAlign w:val="center"/>
                </w:tcPr>
                <w:p w14:paraId="02050EC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0.0001 </w:t>
                  </w:r>
                </w:p>
              </w:tc>
            </w:tr>
            <w:tr w14:paraId="068299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0" w:type="auto"/>
                  <w:vMerge w:val="continue"/>
                  <w:shd w:val="clear" w:color="auto" w:fill="FFFFFF"/>
                  <w:vAlign w:val="center"/>
                </w:tcPr>
                <w:p w14:paraId="63DC2C3F">
                  <w:pPr>
                    <w:jc w:val="center"/>
                    <w:rPr>
                      <w:rFonts w:hint="eastAsia" w:ascii="宋体" w:hAnsi="宋体" w:eastAsia="宋体" w:cs="宋体"/>
                      <w:i w:val="0"/>
                      <w:iCs w:val="0"/>
                      <w:color w:val="auto"/>
                      <w:sz w:val="21"/>
                      <w:szCs w:val="21"/>
                      <w:u w:val="none"/>
                    </w:rPr>
                  </w:pPr>
                </w:p>
              </w:tc>
              <w:tc>
                <w:tcPr>
                  <w:tcW w:w="0" w:type="auto"/>
                  <w:vMerge w:val="continue"/>
                  <w:shd w:val="clear" w:color="auto" w:fill="FFFFFF"/>
                  <w:vAlign w:val="center"/>
                </w:tcPr>
                <w:p w14:paraId="44131571">
                  <w:pPr>
                    <w:jc w:val="center"/>
                    <w:rPr>
                      <w:rFonts w:hint="eastAsia" w:ascii="宋体" w:hAnsi="宋体" w:eastAsia="宋体" w:cs="宋体"/>
                      <w:i w:val="0"/>
                      <w:iCs w:val="0"/>
                      <w:color w:val="auto"/>
                      <w:sz w:val="21"/>
                      <w:szCs w:val="21"/>
                      <w:u w:val="none"/>
                    </w:rPr>
                  </w:pPr>
                </w:p>
              </w:tc>
              <w:tc>
                <w:tcPr>
                  <w:tcW w:w="0" w:type="auto"/>
                  <w:shd w:val="clear" w:color="auto" w:fill="FFFFFF"/>
                  <w:vAlign w:val="center"/>
                </w:tcPr>
                <w:p w14:paraId="18BBEE2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甲醇</w:t>
                  </w:r>
                </w:p>
              </w:tc>
              <w:tc>
                <w:tcPr>
                  <w:tcW w:w="0" w:type="auto"/>
                  <w:gridSpan w:val="2"/>
                  <w:shd w:val="clear" w:color="auto" w:fill="FFFFFF"/>
                  <w:vAlign w:val="center"/>
                </w:tcPr>
                <w:p w14:paraId="7DA9100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gridSpan w:val="2"/>
                  <w:shd w:val="clear" w:color="auto" w:fill="FFFFFF"/>
                  <w:vAlign w:val="center"/>
                </w:tcPr>
                <w:p w14:paraId="7D45A42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0.0018 </w:t>
                  </w:r>
                </w:p>
              </w:tc>
              <w:tc>
                <w:tcPr>
                  <w:tcW w:w="0" w:type="auto"/>
                  <w:gridSpan w:val="2"/>
                  <w:shd w:val="clear" w:color="auto" w:fill="FFFFFF"/>
                  <w:vAlign w:val="center"/>
                </w:tcPr>
                <w:p w14:paraId="21FC674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gridSpan w:val="2"/>
                  <w:shd w:val="clear" w:color="auto" w:fill="FFFFFF"/>
                  <w:vAlign w:val="center"/>
                </w:tcPr>
                <w:p w14:paraId="188BBE6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0.0018 </w:t>
                  </w:r>
                </w:p>
              </w:tc>
              <w:tc>
                <w:tcPr>
                  <w:tcW w:w="0" w:type="auto"/>
                  <w:gridSpan w:val="2"/>
                  <w:shd w:val="clear" w:color="auto" w:fill="FFFFFF"/>
                  <w:vAlign w:val="center"/>
                </w:tcPr>
                <w:p w14:paraId="4FFC947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0.0018 </w:t>
                  </w:r>
                </w:p>
              </w:tc>
            </w:tr>
            <w:tr w14:paraId="03A090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trPr>
              <w:tc>
                <w:tcPr>
                  <w:tcW w:w="0" w:type="auto"/>
                  <w:vMerge w:val="continue"/>
                  <w:shd w:val="clear" w:color="auto" w:fill="FFFFFF"/>
                  <w:vAlign w:val="center"/>
                </w:tcPr>
                <w:p w14:paraId="526050C9">
                  <w:pPr>
                    <w:jc w:val="center"/>
                    <w:rPr>
                      <w:rFonts w:hint="eastAsia" w:ascii="宋体" w:hAnsi="宋体" w:eastAsia="宋体" w:cs="宋体"/>
                      <w:i w:val="0"/>
                      <w:iCs w:val="0"/>
                      <w:color w:val="auto"/>
                      <w:sz w:val="21"/>
                      <w:szCs w:val="21"/>
                      <w:u w:val="none"/>
                    </w:rPr>
                  </w:pPr>
                </w:p>
              </w:tc>
              <w:tc>
                <w:tcPr>
                  <w:tcW w:w="0" w:type="auto"/>
                  <w:vMerge w:val="continue"/>
                  <w:shd w:val="clear" w:color="auto" w:fill="FFFFFF"/>
                  <w:vAlign w:val="center"/>
                </w:tcPr>
                <w:p w14:paraId="6DB34282">
                  <w:pPr>
                    <w:jc w:val="center"/>
                    <w:rPr>
                      <w:rFonts w:hint="eastAsia" w:ascii="宋体" w:hAnsi="宋体" w:eastAsia="宋体" w:cs="宋体"/>
                      <w:i w:val="0"/>
                      <w:iCs w:val="0"/>
                      <w:color w:val="auto"/>
                      <w:sz w:val="21"/>
                      <w:szCs w:val="21"/>
                      <w:u w:val="none"/>
                    </w:rPr>
                  </w:pPr>
                </w:p>
              </w:tc>
              <w:tc>
                <w:tcPr>
                  <w:tcW w:w="0" w:type="auto"/>
                  <w:shd w:val="clear" w:color="auto" w:fill="FFFFFF"/>
                  <w:vAlign w:val="center"/>
                </w:tcPr>
                <w:p w14:paraId="079F5DF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乙二醇</w:t>
                  </w:r>
                </w:p>
              </w:tc>
              <w:tc>
                <w:tcPr>
                  <w:tcW w:w="0" w:type="auto"/>
                  <w:gridSpan w:val="2"/>
                  <w:shd w:val="clear" w:color="auto" w:fill="FFFFFF"/>
                  <w:vAlign w:val="center"/>
                </w:tcPr>
                <w:p w14:paraId="121CF39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gridSpan w:val="2"/>
                  <w:shd w:val="clear" w:color="auto" w:fill="FFFFFF"/>
                  <w:vAlign w:val="center"/>
                </w:tcPr>
                <w:p w14:paraId="55A2E82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0.0010 </w:t>
                  </w:r>
                </w:p>
              </w:tc>
              <w:tc>
                <w:tcPr>
                  <w:tcW w:w="0" w:type="auto"/>
                  <w:gridSpan w:val="2"/>
                  <w:shd w:val="clear" w:color="auto" w:fill="FFFFFF"/>
                  <w:vAlign w:val="center"/>
                </w:tcPr>
                <w:p w14:paraId="2CAEABD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gridSpan w:val="2"/>
                  <w:shd w:val="clear" w:color="auto" w:fill="FFFFFF"/>
                  <w:vAlign w:val="center"/>
                </w:tcPr>
                <w:p w14:paraId="7864D47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0.0010 </w:t>
                  </w:r>
                </w:p>
              </w:tc>
              <w:tc>
                <w:tcPr>
                  <w:tcW w:w="0" w:type="auto"/>
                  <w:gridSpan w:val="2"/>
                  <w:shd w:val="clear" w:color="auto" w:fill="FFFFFF"/>
                  <w:vAlign w:val="center"/>
                </w:tcPr>
                <w:p w14:paraId="1542029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0.0010 </w:t>
                  </w:r>
                </w:p>
              </w:tc>
            </w:tr>
            <w:tr w14:paraId="24F6FF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0" w:type="auto"/>
                  <w:vMerge w:val="continue"/>
                  <w:shd w:val="clear" w:color="auto" w:fill="FFFFFF"/>
                  <w:vAlign w:val="center"/>
                </w:tcPr>
                <w:p w14:paraId="6CC0B97E">
                  <w:pPr>
                    <w:jc w:val="center"/>
                    <w:rPr>
                      <w:rFonts w:hint="eastAsia" w:ascii="宋体" w:hAnsi="宋体" w:eastAsia="宋体" w:cs="宋体"/>
                      <w:i w:val="0"/>
                      <w:iCs w:val="0"/>
                      <w:color w:val="auto"/>
                      <w:sz w:val="21"/>
                      <w:szCs w:val="21"/>
                      <w:u w:val="none"/>
                    </w:rPr>
                  </w:pPr>
                </w:p>
              </w:tc>
              <w:tc>
                <w:tcPr>
                  <w:tcW w:w="0" w:type="auto"/>
                  <w:vMerge w:val="continue"/>
                  <w:shd w:val="clear" w:color="auto" w:fill="FFFFFF"/>
                  <w:vAlign w:val="center"/>
                </w:tcPr>
                <w:p w14:paraId="3237C4BC">
                  <w:pPr>
                    <w:jc w:val="center"/>
                    <w:rPr>
                      <w:rFonts w:hint="eastAsia" w:ascii="宋体" w:hAnsi="宋体" w:eastAsia="宋体" w:cs="宋体"/>
                      <w:i w:val="0"/>
                      <w:iCs w:val="0"/>
                      <w:color w:val="auto"/>
                      <w:sz w:val="21"/>
                      <w:szCs w:val="21"/>
                      <w:u w:val="none"/>
                    </w:rPr>
                  </w:pPr>
                </w:p>
              </w:tc>
              <w:tc>
                <w:tcPr>
                  <w:tcW w:w="0" w:type="auto"/>
                  <w:shd w:val="clear" w:color="auto" w:fill="FFFFFF"/>
                  <w:vAlign w:val="center"/>
                </w:tcPr>
                <w:p w14:paraId="34A0937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四氯化碳</w:t>
                  </w:r>
                </w:p>
              </w:tc>
              <w:tc>
                <w:tcPr>
                  <w:tcW w:w="0" w:type="auto"/>
                  <w:gridSpan w:val="2"/>
                  <w:shd w:val="clear" w:color="auto" w:fill="FFFFFF"/>
                  <w:vAlign w:val="center"/>
                </w:tcPr>
                <w:p w14:paraId="0BDA692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gridSpan w:val="2"/>
                  <w:shd w:val="clear" w:color="auto" w:fill="FFFFFF"/>
                  <w:vAlign w:val="center"/>
                </w:tcPr>
                <w:p w14:paraId="56DF734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0.000008 </w:t>
                  </w:r>
                </w:p>
              </w:tc>
              <w:tc>
                <w:tcPr>
                  <w:tcW w:w="0" w:type="auto"/>
                  <w:gridSpan w:val="2"/>
                  <w:shd w:val="clear" w:color="auto" w:fill="FFFFFF"/>
                  <w:vAlign w:val="center"/>
                </w:tcPr>
                <w:p w14:paraId="747B213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gridSpan w:val="2"/>
                  <w:shd w:val="clear" w:color="auto" w:fill="FFFFFF"/>
                  <w:vAlign w:val="center"/>
                </w:tcPr>
                <w:p w14:paraId="34E3C77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0.000008 </w:t>
                  </w:r>
                </w:p>
              </w:tc>
              <w:tc>
                <w:tcPr>
                  <w:tcW w:w="0" w:type="auto"/>
                  <w:gridSpan w:val="2"/>
                  <w:shd w:val="clear" w:color="auto" w:fill="FFFFFF"/>
                  <w:vAlign w:val="center"/>
                </w:tcPr>
                <w:p w14:paraId="015D446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0.000008 </w:t>
                  </w:r>
                </w:p>
              </w:tc>
            </w:tr>
            <w:tr w14:paraId="740CC7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0" w:type="auto"/>
                  <w:vMerge w:val="continue"/>
                  <w:shd w:val="clear" w:color="auto" w:fill="FFFFFF"/>
                  <w:vAlign w:val="center"/>
                </w:tcPr>
                <w:p w14:paraId="1340D0DA">
                  <w:pPr>
                    <w:jc w:val="center"/>
                    <w:rPr>
                      <w:rFonts w:hint="eastAsia" w:ascii="宋体" w:hAnsi="宋体" w:eastAsia="宋体" w:cs="宋体"/>
                      <w:i w:val="0"/>
                      <w:iCs w:val="0"/>
                      <w:color w:val="auto"/>
                      <w:sz w:val="21"/>
                      <w:szCs w:val="21"/>
                      <w:u w:val="none"/>
                    </w:rPr>
                  </w:pPr>
                </w:p>
              </w:tc>
              <w:tc>
                <w:tcPr>
                  <w:tcW w:w="0" w:type="auto"/>
                  <w:vMerge w:val="continue"/>
                  <w:shd w:val="clear" w:color="auto" w:fill="FFFFFF"/>
                  <w:vAlign w:val="center"/>
                </w:tcPr>
                <w:p w14:paraId="3705396C">
                  <w:pPr>
                    <w:jc w:val="center"/>
                    <w:rPr>
                      <w:rFonts w:hint="eastAsia" w:ascii="宋体" w:hAnsi="宋体" w:eastAsia="宋体" w:cs="宋体"/>
                      <w:i w:val="0"/>
                      <w:iCs w:val="0"/>
                      <w:color w:val="auto"/>
                      <w:sz w:val="21"/>
                      <w:szCs w:val="21"/>
                      <w:u w:val="none"/>
                    </w:rPr>
                  </w:pPr>
                </w:p>
              </w:tc>
              <w:tc>
                <w:tcPr>
                  <w:tcW w:w="0" w:type="auto"/>
                  <w:shd w:val="clear" w:color="auto" w:fill="FFFFFF"/>
                  <w:vAlign w:val="center"/>
                </w:tcPr>
                <w:p w14:paraId="3883F73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VOCs</w:t>
                  </w:r>
                  <w:r>
                    <w:rPr>
                      <w:rFonts w:hint="eastAsia" w:ascii="宋体" w:hAnsi="宋体" w:eastAsia="宋体" w:cs="宋体"/>
                      <w:i w:val="0"/>
                      <w:iCs w:val="0"/>
                      <w:color w:val="auto"/>
                      <w:kern w:val="0"/>
                      <w:sz w:val="21"/>
                      <w:szCs w:val="21"/>
                      <w:u w:val="none"/>
                      <w:lang w:val="en-US" w:eastAsia="zh-CN" w:bidi="ar"/>
                    </w:rPr>
                    <w:t>（以非甲烷总烃计）</w:t>
                  </w:r>
                </w:p>
              </w:tc>
              <w:tc>
                <w:tcPr>
                  <w:tcW w:w="0" w:type="auto"/>
                  <w:gridSpan w:val="2"/>
                  <w:shd w:val="clear" w:color="auto" w:fill="FFFFFF"/>
                  <w:vAlign w:val="center"/>
                </w:tcPr>
                <w:p w14:paraId="396D2FF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0.3021</w:t>
                  </w:r>
                </w:p>
              </w:tc>
              <w:tc>
                <w:tcPr>
                  <w:tcW w:w="0" w:type="auto"/>
                  <w:gridSpan w:val="2"/>
                  <w:shd w:val="clear" w:color="auto" w:fill="FFFFFF"/>
                  <w:vAlign w:val="center"/>
                </w:tcPr>
                <w:p w14:paraId="5EB0819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0.0029 </w:t>
                  </w:r>
                </w:p>
              </w:tc>
              <w:tc>
                <w:tcPr>
                  <w:tcW w:w="0" w:type="auto"/>
                  <w:gridSpan w:val="2"/>
                  <w:shd w:val="clear" w:color="auto" w:fill="FFFFFF"/>
                  <w:vAlign w:val="center"/>
                </w:tcPr>
                <w:p w14:paraId="50BF5A4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gridSpan w:val="2"/>
                  <w:shd w:val="clear" w:color="auto" w:fill="FFFFFF"/>
                  <w:vAlign w:val="center"/>
                </w:tcPr>
                <w:p w14:paraId="0FEBF82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0.3050 </w:t>
                  </w:r>
                </w:p>
              </w:tc>
              <w:tc>
                <w:tcPr>
                  <w:tcW w:w="0" w:type="auto"/>
                  <w:gridSpan w:val="2"/>
                  <w:shd w:val="clear" w:color="auto" w:fill="FFFFFF"/>
                  <w:vAlign w:val="center"/>
                </w:tcPr>
                <w:p w14:paraId="1820DB1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0.0029 </w:t>
                  </w:r>
                </w:p>
              </w:tc>
            </w:tr>
            <w:tr w14:paraId="43B617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0" w:type="auto"/>
                  <w:vMerge w:val="continue"/>
                  <w:shd w:val="clear" w:color="auto" w:fill="FFFFFF"/>
                  <w:vAlign w:val="center"/>
                </w:tcPr>
                <w:p w14:paraId="64318216">
                  <w:pPr>
                    <w:jc w:val="center"/>
                    <w:rPr>
                      <w:rFonts w:hint="eastAsia" w:ascii="宋体" w:hAnsi="宋体" w:eastAsia="宋体" w:cs="宋体"/>
                      <w:i w:val="0"/>
                      <w:iCs w:val="0"/>
                      <w:color w:val="auto"/>
                      <w:sz w:val="21"/>
                      <w:szCs w:val="21"/>
                      <w:u w:val="none"/>
                    </w:rPr>
                  </w:pPr>
                </w:p>
              </w:tc>
              <w:tc>
                <w:tcPr>
                  <w:tcW w:w="0" w:type="auto"/>
                  <w:vMerge w:val="continue"/>
                  <w:shd w:val="clear" w:color="auto" w:fill="FFFFFF"/>
                  <w:vAlign w:val="center"/>
                </w:tcPr>
                <w:p w14:paraId="7C7AF322">
                  <w:pPr>
                    <w:jc w:val="center"/>
                    <w:rPr>
                      <w:rFonts w:hint="eastAsia" w:ascii="宋体" w:hAnsi="宋体" w:eastAsia="宋体" w:cs="宋体"/>
                      <w:i w:val="0"/>
                      <w:iCs w:val="0"/>
                      <w:color w:val="auto"/>
                      <w:sz w:val="21"/>
                      <w:szCs w:val="21"/>
                      <w:u w:val="none"/>
                    </w:rPr>
                  </w:pPr>
                </w:p>
              </w:tc>
              <w:tc>
                <w:tcPr>
                  <w:tcW w:w="0" w:type="auto"/>
                  <w:shd w:val="clear" w:color="auto" w:fill="FFFFFF"/>
                  <w:vAlign w:val="center"/>
                </w:tcPr>
                <w:p w14:paraId="1F7167B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油烟</w:t>
                  </w:r>
                </w:p>
              </w:tc>
              <w:tc>
                <w:tcPr>
                  <w:tcW w:w="0" w:type="auto"/>
                  <w:gridSpan w:val="2"/>
                  <w:shd w:val="clear" w:color="auto" w:fill="FFFFFF"/>
                  <w:vAlign w:val="center"/>
                </w:tcPr>
                <w:p w14:paraId="5D56A94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0.0055</w:t>
                  </w:r>
                </w:p>
              </w:tc>
              <w:tc>
                <w:tcPr>
                  <w:tcW w:w="0" w:type="auto"/>
                  <w:gridSpan w:val="2"/>
                  <w:shd w:val="clear" w:color="auto" w:fill="FFFFFF"/>
                  <w:vAlign w:val="center"/>
                </w:tcPr>
                <w:p w14:paraId="73DC3FB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gridSpan w:val="2"/>
                  <w:shd w:val="clear" w:color="auto" w:fill="FFFFFF"/>
                  <w:vAlign w:val="center"/>
                </w:tcPr>
                <w:p w14:paraId="6C2D0B7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gridSpan w:val="2"/>
                  <w:shd w:val="clear" w:color="auto" w:fill="FFFFFF"/>
                  <w:vAlign w:val="center"/>
                </w:tcPr>
                <w:p w14:paraId="409156C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0.0055</w:t>
                  </w:r>
                </w:p>
              </w:tc>
              <w:tc>
                <w:tcPr>
                  <w:tcW w:w="0" w:type="auto"/>
                  <w:gridSpan w:val="2"/>
                  <w:shd w:val="clear" w:color="auto" w:fill="FFFFFF"/>
                  <w:vAlign w:val="center"/>
                </w:tcPr>
                <w:p w14:paraId="7BA4409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 </w:t>
                  </w:r>
                </w:p>
              </w:tc>
            </w:tr>
            <w:tr w14:paraId="2D27A2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0" w:type="auto"/>
                  <w:gridSpan w:val="2"/>
                  <w:vMerge w:val="restart"/>
                  <w:shd w:val="clear" w:color="auto" w:fill="FFFFFF"/>
                  <w:vAlign w:val="center"/>
                </w:tcPr>
                <w:p w14:paraId="3470952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生产污水</w:t>
                  </w:r>
                </w:p>
              </w:tc>
              <w:tc>
                <w:tcPr>
                  <w:tcW w:w="0" w:type="auto"/>
                  <w:shd w:val="clear" w:color="auto" w:fill="FFFFFF"/>
                  <w:noWrap/>
                  <w:vAlign w:val="center"/>
                </w:tcPr>
                <w:p w14:paraId="255E2B7E">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水量</w:t>
                  </w:r>
                </w:p>
              </w:tc>
              <w:tc>
                <w:tcPr>
                  <w:tcW w:w="0" w:type="auto"/>
                  <w:shd w:val="clear" w:color="auto" w:fill="FFFFFF"/>
                  <w:noWrap/>
                  <w:vAlign w:val="center"/>
                </w:tcPr>
                <w:p w14:paraId="77CF689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40297</w:t>
                  </w:r>
                </w:p>
              </w:tc>
              <w:tc>
                <w:tcPr>
                  <w:tcW w:w="0" w:type="auto"/>
                  <w:shd w:val="clear" w:color="auto" w:fill="FFFFFF"/>
                  <w:noWrap/>
                  <w:vAlign w:val="center"/>
                </w:tcPr>
                <w:p w14:paraId="50CFA78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12089.1</w:t>
                  </w:r>
                </w:p>
              </w:tc>
              <w:tc>
                <w:tcPr>
                  <w:tcW w:w="0" w:type="auto"/>
                  <w:shd w:val="clear" w:color="auto" w:fill="FFFFFF"/>
                  <w:noWrap/>
                  <w:vAlign w:val="center"/>
                </w:tcPr>
                <w:p w14:paraId="3B6A1F7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1768.9</w:t>
                  </w:r>
                </w:p>
              </w:tc>
              <w:tc>
                <w:tcPr>
                  <w:tcW w:w="0" w:type="auto"/>
                  <w:shd w:val="clear" w:color="auto" w:fill="FFFFFF"/>
                  <w:vAlign w:val="center"/>
                </w:tcPr>
                <w:p w14:paraId="415EEA9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530.67</w:t>
                  </w:r>
                </w:p>
              </w:tc>
              <w:tc>
                <w:tcPr>
                  <w:tcW w:w="0" w:type="auto"/>
                  <w:shd w:val="clear" w:color="auto" w:fill="FFFFFF"/>
                  <w:noWrap/>
                  <w:vAlign w:val="center"/>
                </w:tcPr>
                <w:p w14:paraId="66C8F9D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1768.9</w:t>
                  </w:r>
                </w:p>
              </w:tc>
              <w:tc>
                <w:tcPr>
                  <w:tcW w:w="0" w:type="auto"/>
                  <w:shd w:val="clear" w:color="auto" w:fill="FFFFFF"/>
                  <w:noWrap/>
                  <w:vAlign w:val="center"/>
                </w:tcPr>
                <w:p w14:paraId="0B06CE2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530.67</w:t>
                  </w:r>
                </w:p>
              </w:tc>
              <w:tc>
                <w:tcPr>
                  <w:tcW w:w="0" w:type="auto"/>
                  <w:shd w:val="clear" w:color="auto" w:fill="FFFFFF"/>
                  <w:noWrap/>
                  <w:vAlign w:val="center"/>
                </w:tcPr>
                <w:p w14:paraId="552B112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40297.0 </w:t>
                  </w:r>
                </w:p>
              </w:tc>
              <w:tc>
                <w:tcPr>
                  <w:tcW w:w="0" w:type="auto"/>
                  <w:shd w:val="clear" w:color="auto" w:fill="FFFFFF"/>
                  <w:noWrap/>
                  <w:vAlign w:val="center"/>
                </w:tcPr>
                <w:p w14:paraId="6078E83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12089.10 </w:t>
                  </w:r>
                </w:p>
              </w:tc>
              <w:tc>
                <w:tcPr>
                  <w:tcW w:w="0" w:type="auto"/>
                  <w:shd w:val="clear" w:color="auto" w:fill="FFFFFF"/>
                  <w:noWrap/>
                  <w:vAlign w:val="center"/>
                </w:tcPr>
                <w:p w14:paraId="46D7F18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4859E0A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r>
            <w:tr w14:paraId="30BAED1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trPr>
              <w:tc>
                <w:tcPr>
                  <w:tcW w:w="0" w:type="auto"/>
                  <w:gridSpan w:val="2"/>
                  <w:vMerge w:val="continue"/>
                  <w:shd w:val="clear" w:color="auto" w:fill="FFFFFF"/>
                  <w:vAlign w:val="center"/>
                </w:tcPr>
                <w:p w14:paraId="276569D3">
                  <w:pPr>
                    <w:jc w:val="center"/>
                    <w:rPr>
                      <w:rFonts w:hint="eastAsia" w:ascii="宋体" w:hAnsi="宋体" w:eastAsia="宋体" w:cs="宋体"/>
                      <w:i w:val="0"/>
                      <w:iCs w:val="0"/>
                      <w:color w:val="auto"/>
                      <w:sz w:val="21"/>
                      <w:szCs w:val="21"/>
                      <w:u w:val="none"/>
                    </w:rPr>
                  </w:pPr>
                </w:p>
              </w:tc>
              <w:tc>
                <w:tcPr>
                  <w:tcW w:w="0" w:type="auto"/>
                  <w:shd w:val="clear" w:color="auto" w:fill="FFFFFF"/>
                  <w:noWrap/>
                  <w:vAlign w:val="center"/>
                </w:tcPr>
                <w:p w14:paraId="49F84A71">
                  <w:pPr>
                    <w:keepNext w:val="0"/>
                    <w:keepLines w:val="0"/>
                    <w:widowControl/>
                    <w:suppressLineNumbers w:val="0"/>
                    <w:jc w:val="left"/>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COD</w:t>
                  </w:r>
                </w:p>
              </w:tc>
              <w:tc>
                <w:tcPr>
                  <w:tcW w:w="0" w:type="auto"/>
                  <w:shd w:val="clear" w:color="auto" w:fill="FFFFFF"/>
                  <w:noWrap/>
                  <w:vAlign w:val="center"/>
                </w:tcPr>
                <w:p w14:paraId="3404C20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8.164</w:t>
                  </w:r>
                </w:p>
              </w:tc>
              <w:tc>
                <w:tcPr>
                  <w:tcW w:w="0" w:type="auto"/>
                  <w:shd w:val="clear" w:color="auto" w:fill="FFFFFF"/>
                  <w:noWrap/>
                  <w:vAlign w:val="center"/>
                </w:tcPr>
                <w:p w14:paraId="7482B63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0.4836</w:t>
                  </w:r>
                </w:p>
              </w:tc>
              <w:tc>
                <w:tcPr>
                  <w:tcW w:w="0" w:type="auto"/>
                  <w:shd w:val="clear" w:color="auto" w:fill="FFFFFF"/>
                  <w:noWrap/>
                  <w:vAlign w:val="center"/>
                </w:tcPr>
                <w:p w14:paraId="6A7FBDC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0.3538 </w:t>
                  </w:r>
                </w:p>
              </w:tc>
              <w:tc>
                <w:tcPr>
                  <w:tcW w:w="0" w:type="auto"/>
                  <w:shd w:val="clear" w:color="auto" w:fill="FFFFFF"/>
                  <w:vAlign w:val="center"/>
                </w:tcPr>
                <w:p w14:paraId="36BE68A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0.0212 </w:t>
                  </w:r>
                </w:p>
              </w:tc>
              <w:tc>
                <w:tcPr>
                  <w:tcW w:w="0" w:type="auto"/>
                  <w:shd w:val="clear" w:color="auto" w:fill="FFFFFF"/>
                  <w:noWrap/>
                  <w:vAlign w:val="center"/>
                </w:tcPr>
                <w:p w14:paraId="1E4E766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0.3538 </w:t>
                  </w:r>
                </w:p>
              </w:tc>
              <w:tc>
                <w:tcPr>
                  <w:tcW w:w="0" w:type="auto"/>
                  <w:shd w:val="clear" w:color="auto" w:fill="FFFFFF"/>
                  <w:noWrap/>
                  <w:vAlign w:val="center"/>
                </w:tcPr>
                <w:p w14:paraId="2ED2D95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0.0212 </w:t>
                  </w:r>
                </w:p>
              </w:tc>
              <w:tc>
                <w:tcPr>
                  <w:tcW w:w="0" w:type="auto"/>
                  <w:shd w:val="clear" w:color="auto" w:fill="FFFFFF"/>
                  <w:noWrap/>
                  <w:vAlign w:val="center"/>
                </w:tcPr>
                <w:p w14:paraId="2658429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8.1640 </w:t>
                  </w:r>
                </w:p>
              </w:tc>
              <w:tc>
                <w:tcPr>
                  <w:tcW w:w="0" w:type="auto"/>
                  <w:shd w:val="clear" w:color="auto" w:fill="FFFFFF"/>
                  <w:noWrap/>
                  <w:vAlign w:val="center"/>
                </w:tcPr>
                <w:p w14:paraId="5E98FD0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0.4836 </w:t>
                  </w:r>
                </w:p>
              </w:tc>
              <w:tc>
                <w:tcPr>
                  <w:tcW w:w="0" w:type="auto"/>
                  <w:shd w:val="clear" w:color="auto" w:fill="FFFFFF"/>
                  <w:noWrap/>
                  <w:vAlign w:val="center"/>
                </w:tcPr>
                <w:p w14:paraId="4A61FD6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41DCA19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r>
            <w:tr w14:paraId="534CF9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trPr>
              <w:tc>
                <w:tcPr>
                  <w:tcW w:w="0" w:type="auto"/>
                  <w:gridSpan w:val="2"/>
                  <w:vMerge w:val="continue"/>
                  <w:shd w:val="clear" w:color="auto" w:fill="FFFFFF"/>
                  <w:vAlign w:val="center"/>
                </w:tcPr>
                <w:p w14:paraId="2846324A">
                  <w:pPr>
                    <w:jc w:val="center"/>
                    <w:rPr>
                      <w:rFonts w:hint="eastAsia" w:ascii="宋体" w:hAnsi="宋体" w:eastAsia="宋体" w:cs="宋体"/>
                      <w:i w:val="0"/>
                      <w:iCs w:val="0"/>
                      <w:color w:val="auto"/>
                      <w:sz w:val="21"/>
                      <w:szCs w:val="21"/>
                      <w:u w:val="none"/>
                    </w:rPr>
                  </w:pPr>
                </w:p>
              </w:tc>
              <w:tc>
                <w:tcPr>
                  <w:tcW w:w="0" w:type="auto"/>
                  <w:shd w:val="clear" w:color="auto" w:fill="FFFFFF"/>
                  <w:noWrap/>
                  <w:vAlign w:val="center"/>
                </w:tcPr>
                <w:p w14:paraId="2AEDE6F8">
                  <w:pPr>
                    <w:keepNext w:val="0"/>
                    <w:keepLines w:val="0"/>
                    <w:widowControl/>
                    <w:suppressLineNumbers w:val="0"/>
                    <w:jc w:val="left"/>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SS</w:t>
                  </w:r>
                </w:p>
              </w:tc>
              <w:tc>
                <w:tcPr>
                  <w:tcW w:w="0" w:type="auto"/>
                  <w:shd w:val="clear" w:color="auto" w:fill="FFFFFF"/>
                  <w:noWrap/>
                  <w:vAlign w:val="center"/>
                </w:tcPr>
                <w:p w14:paraId="6014DEF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4.886</w:t>
                  </w:r>
                </w:p>
              </w:tc>
              <w:tc>
                <w:tcPr>
                  <w:tcW w:w="0" w:type="auto"/>
                  <w:shd w:val="clear" w:color="auto" w:fill="FFFFFF"/>
                  <w:noWrap/>
                  <w:vAlign w:val="center"/>
                </w:tcPr>
                <w:p w14:paraId="32D9EEA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0.121</w:t>
                  </w:r>
                </w:p>
              </w:tc>
              <w:tc>
                <w:tcPr>
                  <w:tcW w:w="0" w:type="auto"/>
                  <w:shd w:val="clear" w:color="auto" w:fill="FFFFFF"/>
                  <w:noWrap/>
                  <w:vAlign w:val="center"/>
                </w:tcPr>
                <w:p w14:paraId="4A41138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0.1769 </w:t>
                  </w:r>
                </w:p>
              </w:tc>
              <w:tc>
                <w:tcPr>
                  <w:tcW w:w="0" w:type="auto"/>
                  <w:shd w:val="clear" w:color="auto" w:fill="FFFFFF"/>
                  <w:vAlign w:val="center"/>
                </w:tcPr>
                <w:p w14:paraId="2560427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0.0053 </w:t>
                  </w:r>
                </w:p>
              </w:tc>
              <w:tc>
                <w:tcPr>
                  <w:tcW w:w="0" w:type="auto"/>
                  <w:shd w:val="clear" w:color="auto" w:fill="FFFFFF"/>
                  <w:noWrap/>
                  <w:vAlign w:val="center"/>
                </w:tcPr>
                <w:p w14:paraId="743DD21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0.1769 </w:t>
                  </w:r>
                </w:p>
              </w:tc>
              <w:tc>
                <w:tcPr>
                  <w:tcW w:w="0" w:type="auto"/>
                  <w:shd w:val="clear" w:color="auto" w:fill="FFFFFF"/>
                  <w:noWrap/>
                  <w:vAlign w:val="center"/>
                </w:tcPr>
                <w:p w14:paraId="0E9AD69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0.0053 </w:t>
                  </w:r>
                </w:p>
              </w:tc>
              <w:tc>
                <w:tcPr>
                  <w:tcW w:w="0" w:type="auto"/>
                  <w:shd w:val="clear" w:color="auto" w:fill="FFFFFF"/>
                  <w:noWrap/>
                  <w:vAlign w:val="center"/>
                </w:tcPr>
                <w:p w14:paraId="7BC34CB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4.8860 </w:t>
                  </w:r>
                </w:p>
              </w:tc>
              <w:tc>
                <w:tcPr>
                  <w:tcW w:w="0" w:type="auto"/>
                  <w:shd w:val="clear" w:color="auto" w:fill="FFFFFF"/>
                  <w:noWrap/>
                  <w:vAlign w:val="center"/>
                </w:tcPr>
                <w:p w14:paraId="2BD76EE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0.1210 </w:t>
                  </w:r>
                </w:p>
              </w:tc>
              <w:tc>
                <w:tcPr>
                  <w:tcW w:w="0" w:type="auto"/>
                  <w:shd w:val="clear" w:color="auto" w:fill="FFFFFF"/>
                  <w:noWrap/>
                  <w:vAlign w:val="center"/>
                </w:tcPr>
                <w:p w14:paraId="606289C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4BB032E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r>
            <w:tr w14:paraId="627EAE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0" w:type="auto"/>
                  <w:gridSpan w:val="2"/>
                  <w:vMerge w:val="continue"/>
                  <w:shd w:val="clear" w:color="auto" w:fill="FFFFFF"/>
                  <w:vAlign w:val="center"/>
                </w:tcPr>
                <w:p w14:paraId="3DE49474">
                  <w:pPr>
                    <w:jc w:val="center"/>
                    <w:rPr>
                      <w:rFonts w:hint="eastAsia" w:ascii="宋体" w:hAnsi="宋体" w:eastAsia="宋体" w:cs="宋体"/>
                      <w:i w:val="0"/>
                      <w:iCs w:val="0"/>
                      <w:color w:val="auto"/>
                      <w:sz w:val="21"/>
                      <w:szCs w:val="21"/>
                      <w:u w:val="none"/>
                    </w:rPr>
                  </w:pPr>
                </w:p>
              </w:tc>
              <w:tc>
                <w:tcPr>
                  <w:tcW w:w="0" w:type="auto"/>
                  <w:shd w:val="clear" w:color="auto" w:fill="FFFFFF"/>
                  <w:noWrap/>
                  <w:vAlign w:val="center"/>
                </w:tcPr>
                <w:p w14:paraId="1323D79F">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氨氮</w:t>
                  </w:r>
                </w:p>
              </w:tc>
              <w:tc>
                <w:tcPr>
                  <w:tcW w:w="0" w:type="auto"/>
                  <w:shd w:val="clear" w:color="auto" w:fill="FFFFFF"/>
                  <w:noWrap/>
                  <w:vAlign w:val="center"/>
                </w:tcPr>
                <w:p w14:paraId="25EA08A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1.407</w:t>
                  </w:r>
                </w:p>
              </w:tc>
              <w:tc>
                <w:tcPr>
                  <w:tcW w:w="0" w:type="auto"/>
                  <w:shd w:val="clear" w:color="auto" w:fill="FFFFFF"/>
                  <w:noWrap/>
                  <w:vAlign w:val="center"/>
                </w:tcPr>
                <w:p w14:paraId="02AA58D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0.0602</w:t>
                  </w:r>
                </w:p>
              </w:tc>
              <w:tc>
                <w:tcPr>
                  <w:tcW w:w="0" w:type="auto"/>
                  <w:shd w:val="clear" w:color="auto" w:fill="FFFFFF"/>
                  <w:noWrap/>
                  <w:vAlign w:val="center"/>
                </w:tcPr>
                <w:p w14:paraId="19320C3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0.0088 </w:t>
                  </w:r>
                </w:p>
              </w:tc>
              <w:tc>
                <w:tcPr>
                  <w:tcW w:w="0" w:type="auto"/>
                  <w:shd w:val="clear" w:color="auto" w:fill="FFFFFF"/>
                  <w:vAlign w:val="center"/>
                </w:tcPr>
                <w:p w14:paraId="5FC212D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0.0027 </w:t>
                  </w:r>
                </w:p>
              </w:tc>
              <w:tc>
                <w:tcPr>
                  <w:tcW w:w="0" w:type="auto"/>
                  <w:shd w:val="clear" w:color="auto" w:fill="FFFFFF"/>
                  <w:noWrap/>
                  <w:vAlign w:val="center"/>
                </w:tcPr>
                <w:p w14:paraId="768A598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0.0088 </w:t>
                  </w:r>
                </w:p>
              </w:tc>
              <w:tc>
                <w:tcPr>
                  <w:tcW w:w="0" w:type="auto"/>
                  <w:shd w:val="clear" w:color="auto" w:fill="FFFFFF"/>
                  <w:noWrap/>
                  <w:vAlign w:val="center"/>
                </w:tcPr>
                <w:p w14:paraId="29EA8A6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0.0027 </w:t>
                  </w:r>
                </w:p>
              </w:tc>
              <w:tc>
                <w:tcPr>
                  <w:tcW w:w="0" w:type="auto"/>
                  <w:shd w:val="clear" w:color="auto" w:fill="FFFFFF"/>
                  <w:noWrap/>
                  <w:vAlign w:val="center"/>
                </w:tcPr>
                <w:p w14:paraId="6FE3B0E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1.4070 </w:t>
                  </w:r>
                </w:p>
              </w:tc>
              <w:tc>
                <w:tcPr>
                  <w:tcW w:w="0" w:type="auto"/>
                  <w:shd w:val="clear" w:color="auto" w:fill="FFFFFF"/>
                  <w:noWrap/>
                  <w:vAlign w:val="center"/>
                </w:tcPr>
                <w:p w14:paraId="46F998C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0.0602 </w:t>
                  </w:r>
                </w:p>
              </w:tc>
              <w:tc>
                <w:tcPr>
                  <w:tcW w:w="0" w:type="auto"/>
                  <w:shd w:val="clear" w:color="auto" w:fill="FFFFFF"/>
                  <w:noWrap/>
                  <w:vAlign w:val="center"/>
                </w:tcPr>
                <w:p w14:paraId="1F9C284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76CC8DB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r>
            <w:tr w14:paraId="1C2AA2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0" w:type="auto"/>
                  <w:gridSpan w:val="2"/>
                  <w:vMerge w:val="continue"/>
                  <w:shd w:val="clear" w:color="auto" w:fill="FFFFFF"/>
                  <w:vAlign w:val="center"/>
                </w:tcPr>
                <w:p w14:paraId="5D3DE228">
                  <w:pPr>
                    <w:jc w:val="center"/>
                    <w:rPr>
                      <w:rFonts w:hint="eastAsia" w:ascii="宋体" w:hAnsi="宋体" w:eastAsia="宋体" w:cs="宋体"/>
                      <w:i w:val="0"/>
                      <w:iCs w:val="0"/>
                      <w:color w:val="auto"/>
                      <w:sz w:val="21"/>
                      <w:szCs w:val="21"/>
                      <w:u w:val="none"/>
                    </w:rPr>
                  </w:pPr>
                </w:p>
              </w:tc>
              <w:tc>
                <w:tcPr>
                  <w:tcW w:w="0" w:type="auto"/>
                  <w:shd w:val="clear" w:color="auto" w:fill="FFFFFF"/>
                  <w:noWrap/>
                  <w:vAlign w:val="center"/>
                </w:tcPr>
                <w:p w14:paraId="4AD8950A">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总氮</w:t>
                  </w:r>
                </w:p>
              </w:tc>
              <w:tc>
                <w:tcPr>
                  <w:tcW w:w="0" w:type="auto"/>
                  <w:shd w:val="clear" w:color="auto" w:fill="FFFFFF"/>
                  <w:noWrap/>
                  <w:vAlign w:val="center"/>
                </w:tcPr>
                <w:p w14:paraId="659A125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1.691</w:t>
                  </w:r>
                </w:p>
              </w:tc>
              <w:tc>
                <w:tcPr>
                  <w:tcW w:w="0" w:type="auto"/>
                  <w:shd w:val="clear" w:color="auto" w:fill="FFFFFF"/>
                  <w:noWrap/>
                  <w:vAlign w:val="center"/>
                </w:tcPr>
                <w:p w14:paraId="70B79A3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0.1813</w:t>
                  </w:r>
                </w:p>
              </w:tc>
              <w:tc>
                <w:tcPr>
                  <w:tcW w:w="0" w:type="auto"/>
                  <w:shd w:val="clear" w:color="auto" w:fill="FFFFFF"/>
                  <w:noWrap/>
                  <w:vAlign w:val="center"/>
                </w:tcPr>
                <w:p w14:paraId="558A4B9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0.0177 </w:t>
                  </w:r>
                </w:p>
              </w:tc>
              <w:tc>
                <w:tcPr>
                  <w:tcW w:w="0" w:type="auto"/>
                  <w:shd w:val="clear" w:color="auto" w:fill="FFFFFF"/>
                  <w:vAlign w:val="center"/>
                </w:tcPr>
                <w:p w14:paraId="50C0255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0.0080 </w:t>
                  </w:r>
                </w:p>
              </w:tc>
              <w:tc>
                <w:tcPr>
                  <w:tcW w:w="0" w:type="auto"/>
                  <w:shd w:val="clear" w:color="auto" w:fill="FFFFFF"/>
                  <w:noWrap/>
                  <w:vAlign w:val="center"/>
                </w:tcPr>
                <w:p w14:paraId="47E3D27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0.0177 </w:t>
                  </w:r>
                </w:p>
              </w:tc>
              <w:tc>
                <w:tcPr>
                  <w:tcW w:w="0" w:type="auto"/>
                  <w:shd w:val="clear" w:color="auto" w:fill="FFFFFF"/>
                  <w:noWrap/>
                  <w:vAlign w:val="center"/>
                </w:tcPr>
                <w:p w14:paraId="7353571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0.0080 </w:t>
                  </w:r>
                </w:p>
              </w:tc>
              <w:tc>
                <w:tcPr>
                  <w:tcW w:w="0" w:type="auto"/>
                  <w:shd w:val="clear" w:color="auto" w:fill="FFFFFF"/>
                  <w:noWrap/>
                  <w:vAlign w:val="center"/>
                </w:tcPr>
                <w:p w14:paraId="6DC21EB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1.6910 </w:t>
                  </w:r>
                </w:p>
              </w:tc>
              <w:tc>
                <w:tcPr>
                  <w:tcW w:w="0" w:type="auto"/>
                  <w:shd w:val="clear" w:color="auto" w:fill="FFFFFF"/>
                  <w:noWrap/>
                  <w:vAlign w:val="center"/>
                </w:tcPr>
                <w:p w14:paraId="08345D2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0.1813 </w:t>
                  </w:r>
                </w:p>
              </w:tc>
              <w:tc>
                <w:tcPr>
                  <w:tcW w:w="0" w:type="auto"/>
                  <w:shd w:val="clear" w:color="auto" w:fill="FFFFFF"/>
                  <w:noWrap/>
                  <w:vAlign w:val="center"/>
                </w:tcPr>
                <w:p w14:paraId="2415D5D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6E3E144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r>
            <w:tr w14:paraId="7E2CB4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trPr>
              <w:tc>
                <w:tcPr>
                  <w:tcW w:w="0" w:type="auto"/>
                  <w:gridSpan w:val="2"/>
                  <w:vMerge w:val="continue"/>
                  <w:shd w:val="clear" w:color="auto" w:fill="FFFFFF"/>
                  <w:vAlign w:val="center"/>
                </w:tcPr>
                <w:p w14:paraId="23AE64B9">
                  <w:pPr>
                    <w:jc w:val="center"/>
                    <w:rPr>
                      <w:rFonts w:hint="eastAsia" w:ascii="宋体" w:hAnsi="宋体" w:eastAsia="宋体" w:cs="宋体"/>
                      <w:i w:val="0"/>
                      <w:iCs w:val="0"/>
                      <w:color w:val="auto"/>
                      <w:sz w:val="21"/>
                      <w:szCs w:val="21"/>
                      <w:u w:val="none"/>
                    </w:rPr>
                  </w:pPr>
                </w:p>
              </w:tc>
              <w:tc>
                <w:tcPr>
                  <w:tcW w:w="0" w:type="auto"/>
                  <w:shd w:val="clear" w:color="auto" w:fill="FFFFFF"/>
                  <w:noWrap/>
                  <w:vAlign w:val="center"/>
                </w:tcPr>
                <w:p w14:paraId="32F60B5B">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总磷</w:t>
                  </w:r>
                </w:p>
              </w:tc>
              <w:tc>
                <w:tcPr>
                  <w:tcW w:w="0" w:type="auto"/>
                  <w:shd w:val="clear" w:color="auto" w:fill="FFFFFF"/>
                  <w:noWrap/>
                  <w:vAlign w:val="center"/>
                </w:tcPr>
                <w:p w14:paraId="68DAF1C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0.025</w:t>
                  </w:r>
                </w:p>
              </w:tc>
              <w:tc>
                <w:tcPr>
                  <w:tcW w:w="0" w:type="auto"/>
                  <w:shd w:val="clear" w:color="auto" w:fill="FFFFFF"/>
                  <w:noWrap/>
                  <w:vAlign w:val="center"/>
                </w:tcPr>
                <w:p w14:paraId="15D31AC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0.006</w:t>
                  </w:r>
                </w:p>
              </w:tc>
              <w:tc>
                <w:tcPr>
                  <w:tcW w:w="0" w:type="auto"/>
                  <w:shd w:val="clear" w:color="auto" w:fill="FFFFFF"/>
                  <w:noWrap/>
                  <w:vAlign w:val="center"/>
                </w:tcPr>
                <w:p w14:paraId="7A30C1A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1719DDD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4023288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71D4F03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34AB402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0.025 </w:t>
                  </w:r>
                </w:p>
              </w:tc>
              <w:tc>
                <w:tcPr>
                  <w:tcW w:w="0" w:type="auto"/>
                  <w:shd w:val="clear" w:color="auto" w:fill="FFFFFF"/>
                  <w:noWrap/>
                  <w:vAlign w:val="center"/>
                </w:tcPr>
                <w:p w14:paraId="2032764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0.006 </w:t>
                  </w:r>
                </w:p>
              </w:tc>
              <w:tc>
                <w:tcPr>
                  <w:tcW w:w="0" w:type="auto"/>
                  <w:shd w:val="clear" w:color="auto" w:fill="FFFFFF"/>
                  <w:noWrap/>
                  <w:vAlign w:val="center"/>
                </w:tcPr>
                <w:p w14:paraId="6582647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6506F20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r>
            <w:tr w14:paraId="0EBD0F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trPr>
              <w:tc>
                <w:tcPr>
                  <w:tcW w:w="0" w:type="auto"/>
                  <w:gridSpan w:val="2"/>
                  <w:vMerge w:val="continue"/>
                  <w:shd w:val="clear" w:color="auto" w:fill="FFFFFF"/>
                  <w:vAlign w:val="center"/>
                </w:tcPr>
                <w:p w14:paraId="46B2B763">
                  <w:pPr>
                    <w:jc w:val="center"/>
                    <w:rPr>
                      <w:rFonts w:hint="eastAsia" w:ascii="宋体" w:hAnsi="宋体" w:eastAsia="宋体" w:cs="宋体"/>
                      <w:i w:val="0"/>
                      <w:iCs w:val="0"/>
                      <w:color w:val="auto"/>
                      <w:sz w:val="21"/>
                      <w:szCs w:val="21"/>
                      <w:u w:val="none"/>
                    </w:rPr>
                  </w:pPr>
                </w:p>
              </w:tc>
              <w:tc>
                <w:tcPr>
                  <w:tcW w:w="0" w:type="auto"/>
                  <w:shd w:val="clear" w:color="auto" w:fill="FFFFFF"/>
                  <w:noWrap/>
                  <w:vAlign w:val="center"/>
                </w:tcPr>
                <w:p w14:paraId="34233805">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盐分</w:t>
                  </w:r>
                </w:p>
              </w:tc>
              <w:tc>
                <w:tcPr>
                  <w:tcW w:w="0" w:type="auto"/>
                  <w:shd w:val="clear" w:color="auto" w:fill="FFFFFF"/>
                  <w:noWrap/>
                  <w:vAlign w:val="center"/>
                </w:tcPr>
                <w:p w14:paraId="1DA14EE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35.214</w:t>
                  </w:r>
                </w:p>
              </w:tc>
              <w:tc>
                <w:tcPr>
                  <w:tcW w:w="0" w:type="auto"/>
                  <w:shd w:val="clear" w:color="auto" w:fill="FFFFFF"/>
                  <w:noWrap/>
                  <w:vAlign w:val="center"/>
                </w:tcPr>
                <w:p w14:paraId="3953426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35.214</w:t>
                  </w:r>
                </w:p>
              </w:tc>
              <w:tc>
                <w:tcPr>
                  <w:tcW w:w="0" w:type="auto"/>
                  <w:shd w:val="clear" w:color="auto" w:fill="FFFFFF"/>
                  <w:noWrap/>
                  <w:vAlign w:val="center"/>
                </w:tcPr>
                <w:p w14:paraId="678B44B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0.1769 </w:t>
                  </w:r>
                </w:p>
              </w:tc>
              <w:tc>
                <w:tcPr>
                  <w:tcW w:w="0" w:type="auto"/>
                  <w:shd w:val="clear" w:color="auto" w:fill="FFFFFF"/>
                  <w:noWrap/>
                  <w:vAlign w:val="center"/>
                </w:tcPr>
                <w:p w14:paraId="5E80698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0.1769 </w:t>
                  </w:r>
                </w:p>
              </w:tc>
              <w:tc>
                <w:tcPr>
                  <w:tcW w:w="0" w:type="auto"/>
                  <w:shd w:val="clear" w:color="auto" w:fill="FFFFFF"/>
                  <w:noWrap/>
                  <w:vAlign w:val="center"/>
                </w:tcPr>
                <w:p w14:paraId="7587B7F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0.1769 </w:t>
                  </w:r>
                </w:p>
              </w:tc>
              <w:tc>
                <w:tcPr>
                  <w:tcW w:w="0" w:type="auto"/>
                  <w:shd w:val="clear" w:color="auto" w:fill="FFFFFF"/>
                  <w:noWrap/>
                  <w:vAlign w:val="center"/>
                </w:tcPr>
                <w:p w14:paraId="45F1C09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0.1769 </w:t>
                  </w:r>
                </w:p>
              </w:tc>
              <w:tc>
                <w:tcPr>
                  <w:tcW w:w="0" w:type="auto"/>
                  <w:shd w:val="clear" w:color="auto" w:fill="FFFFFF"/>
                  <w:noWrap/>
                  <w:vAlign w:val="center"/>
                </w:tcPr>
                <w:p w14:paraId="58AE7E2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35.2140 </w:t>
                  </w:r>
                </w:p>
              </w:tc>
              <w:tc>
                <w:tcPr>
                  <w:tcW w:w="0" w:type="auto"/>
                  <w:shd w:val="clear" w:color="auto" w:fill="FFFFFF"/>
                  <w:noWrap/>
                  <w:vAlign w:val="center"/>
                </w:tcPr>
                <w:p w14:paraId="1CF4011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35.2140 </w:t>
                  </w:r>
                </w:p>
              </w:tc>
              <w:tc>
                <w:tcPr>
                  <w:tcW w:w="0" w:type="auto"/>
                  <w:shd w:val="clear" w:color="auto" w:fill="FFFFFF"/>
                  <w:noWrap/>
                  <w:vAlign w:val="center"/>
                </w:tcPr>
                <w:p w14:paraId="0CCF071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6083B2A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r>
            <w:tr w14:paraId="5142FA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0" w:type="auto"/>
                  <w:gridSpan w:val="2"/>
                  <w:vMerge w:val="continue"/>
                  <w:shd w:val="clear" w:color="auto" w:fill="FFFFFF"/>
                  <w:vAlign w:val="center"/>
                </w:tcPr>
                <w:p w14:paraId="550E3AE5">
                  <w:pPr>
                    <w:jc w:val="center"/>
                    <w:rPr>
                      <w:rFonts w:hint="eastAsia" w:ascii="宋体" w:hAnsi="宋体" w:eastAsia="宋体" w:cs="宋体"/>
                      <w:i w:val="0"/>
                      <w:iCs w:val="0"/>
                      <w:color w:val="auto"/>
                      <w:sz w:val="21"/>
                      <w:szCs w:val="21"/>
                      <w:u w:val="none"/>
                    </w:rPr>
                  </w:pPr>
                </w:p>
              </w:tc>
              <w:tc>
                <w:tcPr>
                  <w:tcW w:w="0" w:type="auto"/>
                  <w:shd w:val="clear" w:color="auto" w:fill="FFFFFF"/>
                  <w:noWrap/>
                  <w:vAlign w:val="center"/>
                </w:tcPr>
                <w:p w14:paraId="7FDAE2BE">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总铬</w:t>
                  </w:r>
                </w:p>
              </w:tc>
              <w:tc>
                <w:tcPr>
                  <w:tcW w:w="0" w:type="auto"/>
                  <w:shd w:val="clear" w:color="auto" w:fill="FFFFFF"/>
                  <w:noWrap/>
                  <w:vAlign w:val="center"/>
                </w:tcPr>
                <w:p w14:paraId="08969B9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0.000014</w:t>
                  </w:r>
                </w:p>
              </w:tc>
              <w:tc>
                <w:tcPr>
                  <w:tcW w:w="0" w:type="auto"/>
                  <w:shd w:val="clear" w:color="auto" w:fill="FFFFFF"/>
                  <w:noWrap/>
                  <w:vAlign w:val="center"/>
                </w:tcPr>
                <w:p w14:paraId="77B1DAB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0.000014</w:t>
                  </w:r>
                </w:p>
              </w:tc>
              <w:tc>
                <w:tcPr>
                  <w:tcW w:w="0" w:type="auto"/>
                  <w:shd w:val="clear" w:color="auto" w:fill="FFFFFF"/>
                  <w:noWrap/>
                  <w:vAlign w:val="center"/>
                </w:tcPr>
                <w:p w14:paraId="3BFAA04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vAlign w:val="center"/>
                </w:tcPr>
                <w:p w14:paraId="6833349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51636E3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6E09316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3E33C54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0.000014</w:t>
                  </w:r>
                </w:p>
              </w:tc>
              <w:tc>
                <w:tcPr>
                  <w:tcW w:w="0" w:type="auto"/>
                  <w:shd w:val="clear" w:color="auto" w:fill="FFFFFF"/>
                  <w:noWrap/>
                  <w:vAlign w:val="center"/>
                </w:tcPr>
                <w:p w14:paraId="2F7B76B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0.000014</w:t>
                  </w:r>
                </w:p>
              </w:tc>
              <w:tc>
                <w:tcPr>
                  <w:tcW w:w="0" w:type="auto"/>
                  <w:shd w:val="clear" w:color="auto" w:fill="FFFFFF"/>
                  <w:noWrap/>
                  <w:vAlign w:val="center"/>
                </w:tcPr>
                <w:p w14:paraId="0377F9F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4790172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r>
            <w:tr w14:paraId="102E01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0" w:type="auto"/>
                  <w:gridSpan w:val="2"/>
                  <w:vMerge w:val="continue"/>
                  <w:shd w:val="clear" w:color="auto" w:fill="FFFFFF"/>
                  <w:vAlign w:val="center"/>
                </w:tcPr>
                <w:p w14:paraId="7362A783">
                  <w:pPr>
                    <w:jc w:val="center"/>
                    <w:rPr>
                      <w:rFonts w:hint="eastAsia" w:ascii="宋体" w:hAnsi="宋体" w:eastAsia="宋体" w:cs="宋体"/>
                      <w:i w:val="0"/>
                      <w:iCs w:val="0"/>
                      <w:color w:val="auto"/>
                      <w:sz w:val="21"/>
                      <w:szCs w:val="21"/>
                      <w:u w:val="none"/>
                    </w:rPr>
                  </w:pPr>
                </w:p>
              </w:tc>
              <w:tc>
                <w:tcPr>
                  <w:tcW w:w="0" w:type="auto"/>
                  <w:shd w:val="clear" w:color="auto" w:fill="FFFFFF"/>
                  <w:noWrap/>
                  <w:vAlign w:val="center"/>
                </w:tcPr>
                <w:p w14:paraId="2DDAF794">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总镍</w:t>
                  </w:r>
                </w:p>
              </w:tc>
              <w:tc>
                <w:tcPr>
                  <w:tcW w:w="0" w:type="auto"/>
                  <w:shd w:val="clear" w:color="auto" w:fill="FFFFFF"/>
                  <w:noWrap/>
                  <w:vAlign w:val="center"/>
                </w:tcPr>
                <w:p w14:paraId="5B68C15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0.000081</w:t>
                  </w:r>
                </w:p>
              </w:tc>
              <w:tc>
                <w:tcPr>
                  <w:tcW w:w="0" w:type="auto"/>
                  <w:shd w:val="clear" w:color="auto" w:fill="FFFFFF"/>
                  <w:noWrap/>
                  <w:vAlign w:val="center"/>
                </w:tcPr>
                <w:p w14:paraId="0EDB463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0.000081</w:t>
                  </w:r>
                </w:p>
              </w:tc>
              <w:tc>
                <w:tcPr>
                  <w:tcW w:w="0" w:type="auto"/>
                  <w:shd w:val="clear" w:color="auto" w:fill="FFFFFF"/>
                  <w:noWrap/>
                  <w:vAlign w:val="center"/>
                </w:tcPr>
                <w:p w14:paraId="2EECC16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vAlign w:val="center"/>
                </w:tcPr>
                <w:p w14:paraId="5B28AB5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2B96833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6081700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54B4963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0.000081</w:t>
                  </w:r>
                </w:p>
              </w:tc>
              <w:tc>
                <w:tcPr>
                  <w:tcW w:w="0" w:type="auto"/>
                  <w:shd w:val="clear" w:color="auto" w:fill="FFFFFF"/>
                  <w:noWrap/>
                  <w:vAlign w:val="center"/>
                </w:tcPr>
                <w:p w14:paraId="5C98E3C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0.000081</w:t>
                  </w:r>
                </w:p>
              </w:tc>
              <w:tc>
                <w:tcPr>
                  <w:tcW w:w="0" w:type="auto"/>
                  <w:shd w:val="clear" w:color="auto" w:fill="FFFFFF"/>
                  <w:noWrap/>
                  <w:vAlign w:val="center"/>
                </w:tcPr>
                <w:p w14:paraId="16CAA5A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21E9192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r>
            <w:tr w14:paraId="14AE26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0" w:type="auto"/>
                  <w:gridSpan w:val="2"/>
                  <w:vMerge w:val="continue"/>
                  <w:shd w:val="clear" w:color="auto" w:fill="FFFFFF"/>
                  <w:vAlign w:val="center"/>
                </w:tcPr>
                <w:p w14:paraId="4A1C44A5">
                  <w:pPr>
                    <w:jc w:val="center"/>
                    <w:rPr>
                      <w:rFonts w:hint="eastAsia" w:ascii="宋体" w:hAnsi="宋体" w:eastAsia="宋体" w:cs="宋体"/>
                      <w:i w:val="0"/>
                      <w:iCs w:val="0"/>
                      <w:color w:val="auto"/>
                      <w:sz w:val="21"/>
                      <w:szCs w:val="21"/>
                      <w:u w:val="none"/>
                    </w:rPr>
                  </w:pPr>
                </w:p>
              </w:tc>
              <w:tc>
                <w:tcPr>
                  <w:tcW w:w="0" w:type="auto"/>
                  <w:shd w:val="clear" w:color="auto" w:fill="FFFFFF"/>
                  <w:noWrap/>
                  <w:vAlign w:val="center"/>
                </w:tcPr>
                <w:p w14:paraId="1F7ECB88">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总银</w:t>
                  </w:r>
                </w:p>
              </w:tc>
              <w:tc>
                <w:tcPr>
                  <w:tcW w:w="0" w:type="auto"/>
                  <w:shd w:val="clear" w:color="auto" w:fill="FFFFFF"/>
                  <w:noWrap/>
                  <w:vAlign w:val="center"/>
                </w:tcPr>
                <w:p w14:paraId="1C644A6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0.000011</w:t>
                  </w:r>
                </w:p>
              </w:tc>
              <w:tc>
                <w:tcPr>
                  <w:tcW w:w="0" w:type="auto"/>
                  <w:shd w:val="clear" w:color="auto" w:fill="FFFFFF"/>
                  <w:noWrap/>
                  <w:vAlign w:val="center"/>
                </w:tcPr>
                <w:p w14:paraId="5E78C99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0.000011</w:t>
                  </w:r>
                </w:p>
              </w:tc>
              <w:tc>
                <w:tcPr>
                  <w:tcW w:w="0" w:type="auto"/>
                  <w:shd w:val="clear" w:color="auto" w:fill="FFFFFF"/>
                  <w:noWrap/>
                  <w:vAlign w:val="center"/>
                </w:tcPr>
                <w:p w14:paraId="097551A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vAlign w:val="center"/>
                </w:tcPr>
                <w:p w14:paraId="64FD1EA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23CA075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71E1402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1B5EB84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0.000011</w:t>
                  </w:r>
                </w:p>
              </w:tc>
              <w:tc>
                <w:tcPr>
                  <w:tcW w:w="0" w:type="auto"/>
                  <w:shd w:val="clear" w:color="auto" w:fill="FFFFFF"/>
                  <w:noWrap/>
                  <w:vAlign w:val="center"/>
                </w:tcPr>
                <w:p w14:paraId="412F515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0.000011</w:t>
                  </w:r>
                </w:p>
              </w:tc>
              <w:tc>
                <w:tcPr>
                  <w:tcW w:w="0" w:type="auto"/>
                  <w:shd w:val="clear" w:color="auto" w:fill="FFFFFF"/>
                  <w:noWrap/>
                  <w:vAlign w:val="center"/>
                </w:tcPr>
                <w:p w14:paraId="04A55E0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64229FF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r>
            <w:tr w14:paraId="6DE4FC5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trPr>
              <w:tc>
                <w:tcPr>
                  <w:tcW w:w="0" w:type="auto"/>
                  <w:gridSpan w:val="2"/>
                  <w:vMerge w:val="continue"/>
                  <w:shd w:val="clear" w:color="auto" w:fill="FFFFFF"/>
                  <w:vAlign w:val="center"/>
                </w:tcPr>
                <w:p w14:paraId="6A4448D0">
                  <w:pPr>
                    <w:jc w:val="center"/>
                    <w:rPr>
                      <w:rFonts w:hint="eastAsia" w:ascii="宋体" w:hAnsi="宋体" w:eastAsia="宋体" w:cs="宋体"/>
                      <w:i w:val="0"/>
                      <w:iCs w:val="0"/>
                      <w:color w:val="auto"/>
                      <w:sz w:val="21"/>
                      <w:szCs w:val="21"/>
                      <w:u w:val="none"/>
                    </w:rPr>
                  </w:pPr>
                </w:p>
              </w:tc>
              <w:tc>
                <w:tcPr>
                  <w:tcW w:w="0" w:type="auto"/>
                  <w:shd w:val="clear" w:color="auto" w:fill="FFFFFF"/>
                  <w:noWrap/>
                  <w:vAlign w:val="center"/>
                </w:tcPr>
                <w:p w14:paraId="6BCB9A27">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总铜</w:t>
                  </w:r>
                </w:p>
              </w:tc>
              <w:tc>
                <w:tcPr>
                  <w:tcW w:w="0" w:type="auto"/>
                  <w:shd w:val="clear" w:color="auto" w:fill="FFFFFF"/>
                  <w:noWrap/>
                  <w:vAlign w:val="center"/>
                </w:tcPr>
                <w:p w14:paraId="7580870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0.000304</w:t>
                  </w:r>
                </w:p>
              </w:tc>
              <w:tc>
                <w:tcPr>
                  <w:tcW w:w="0" w:type="auto"/>
                  <w:shd w:val="clear" w:color="auto" w:fill="FFFFFF"/>
                  <w:noWrap/>
                  <w:vAlign w:val="center"/>
                </w:tcPr>
                <w:p w14:paraId="5338D2B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0.000304</w:t>
                  </w:r>
                </w:p>
              </w:tc>
              <w:tc>
                <w:tcPr>
                  <w:tcW w:w="0" w:type="auto"/>
                  <w:shd w:val="clear" w:color="auto" w:fill="FFFFFF"/>
                  <w:noWrap/>
                  <w:vAlign w:val="center"/>
                </w:tcPr>
                <w:p w14:paraId="5407340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vAlign w:val="center"/>
                </w:tcPr>
                <w:p w14:paraId="3738801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0B33582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23429FA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7F8040B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0.000304</w:t>
                  </w:r>
                </w:p>
              </w:tc>
              <w:tc>
                <w:tcPr>
                  <w:tcW w:w="0" w:type="auto"/>
                  <w:shd w:val="clear" w:color="auto" w:fill="FFFFFF"/>
                  <w:noWrap/>
                  <w:vAlign w:val="center"/>
                </w:tcPr>
                <w:p w14:paraId="3E5C08D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0.000304</w:t>
                  </w:r>
                </w:p>
              </w:tc>
              <w:tc>
                <w:tcPr>
                  <w:tcW w:w="0" w:type="auto"/>
                  <w:shd w:val="clear" w:color="auto" w:fill="FFFFFF"/>
                  <w:noWrap/>
                  <w:vAlign w:val="center"/>
                </w:tcPr>
                <w:p w14:paraId="3015BD1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6C8F843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r>
            <w:tr w14:paraId="515175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trPr>
              <w:tc>
                <w:tcPr>
                  <w:tcW w:w="0" w:type="auto"/>
                  <w:gridSpan w:val="2"/>
                  <w:vMerge w:val="continue"/>
                  <w:shd w:val="clear" w:color="auto" w:fill="FFFFFF"/>
                  <w:vAlign w:val="center"/>
                </w:tcPr>
                <w:p w14:paraId="771E0A73">
                  <w:pPr>
                    <w:jc w:val="center"/>
                    <w:rPr>
                      <w:rFonts w:hint="eastAsia" w:ascii="宋体" w:hAnsi="宋体" w:eastAsia="宋体" w:cs="宋体"/>
                      <w:i w:val="0"/>
                      <w:iCs w:val="0"/>
                      <w:color w:val="auto"/>
                      <w:sz w:val="21"/>
                      <w:szCs w:val="21"/>
                      <w:u w:val="none"/>
                    </w:rPr>
                  </w:pPr>
                </w:p>
              </w:tc>
              <w:tc>
                <w:tcPr>
                  <w:tcW w:w="0" w:type="auto"/>
                  <w:shd w:val="clear" w:color="auto" w:fill="FFFFFF"/>
                  <w:noWrap/>
                  <w:vAlign w:val="center"/>
                </w:tcPr>
                <w:p w14:paraId="247AE48E">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总锌</w:t>
                  </w:r>
                </w:p>
              </w:tc>
              <w:tc>
                <w:tcPr>
                  <w:tcW w:w="0" w:type="auto"/>
                  <w:shd w:val="clear" w:color="auto" w:fill="FFFFFF"/>
                  <w:noWrap/>
                  <w:vAlign w:val="center"/>
                </w:tcPr>
                <w:p w14:paraId="209930D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0.000022</w:t>
                  </w:r>
                </w:p>
              </w:tc>
              <w:tc>
                <w:tcPr>
                  <w:tcW w:w="0" w:type="auto"/>
                  <w:shd w:val="clear" w:color="auto" w:fill="FFFFFF"/>
                  <w:noWrap/>
                  <w:vAlign w:val="center"/>
                </w:tcPr>
                <w:p w14:paraId="746808C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0.000022</w:t>
                  </w:r>
                </w:p>
              </w:tc>
              <w:tc>
                <w:tcPr>
                  <w:tcW w:w="0" w:type="auto"/>
                  <w:shd w:val="clear" w:color="auto" w:fill="FFFFFF"/>
                  <w:noWrap/>
                  <w:vAlign w:val="center"/>
                </w:tcPr>
                <w:p w14:paraId="53EF0C4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vAlign w:val="center"/>
                </w:tcPr>
                <w:p w14:paraId="6843F0F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01B5979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49BF9D9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16EC64B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0.000022</w:t>
                  </w:r>
                </w:p>
              </w:tc>
              <w:tc>
                <w:tcPr>
                  <w:tcW w:w="0" w:type="auto"/>
                  <w:shd w:val="clear" w:color="auto" w:fill="FFFFFF"/>
                  <w:noWrap/>
                  <w:vAlign w:val="center"/>
                </w:tcPr>
                <w:p w14:paraId="2F478D5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0.000022</w:t>
                  </w:r>
                </w:p>
              </w:tc>
              <w:tc>
                <w:tcPr>
                  <w:tcW w:w="0" w:type="auto"/>
                  <w:shd w:val="clear" w:color="auto" w:fill="FFFFFF"/>
                  <w:noWrap/>
                  <w:vAlign w:val="center"/>
                </w:tcPr>
                <w:p w14:paraId="38C503A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1DF4B2F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r>
            <w:tr w14:paraId="69C384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trPr>
              <w:tc>
                <w:tcPr>
                  <w:tcW w:w="0" w:type="auto"/>
                  <w:gridSpan w:val="2"/>
                  <w:vMerge w:val="continue"/>
                  <w:shd w:val="clear" w:color="auto" w:fill="FFFFFF"/>
                  <w:vAlign w:val="center"/>
                </w:tcPr>
                <w:p w14:paraId="2D9B80D1">
                  <w:pPr>
                    <w:jc w:val="center"/>
                    <w:rPr>
                      <w:rFonts w:hint="eastAsia" w:ascii="宋体" w:hAnsi="宋体" w:eastAsia="宋体" w:cs="宋体"/>
                      <w:i w:val="0"/>
                      <w:iCs w:val="0"/>
                      <w:color w:val="auto"/>
                      <w:sz w:val="21"/>
                      <w:szCs w:val="21"/>
                      <w:u w:val="none"/>
                    </w:rPr>
                  </w:pPr>
                </w:p>
              </w:tc>
              <w:tc>
                <w:tcPr>
                  <w:tcW w:w="0" w:type="auto"/>
                  <w:shd w:val="clear" w:color="auto" w:fill="FFFFFF"/>
                  <w:noWrap/>
                  <w:vAlign w:val="center"/>
                </w:tcPr>
                <w:p w14:paraId="3AB625AA">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总锰</w:t>
                  </w:r>
                </w:p>
              </w:tc>
              <w:tc>
                <w:tcPr>
                  <w:tcW w:w="0" w:type="auto"/>
                  <w:shd w:val="clear" w:color="auto" w:fill="FFFFFF"/>
                  <w:noWrap/>
                  <w:vAlign w:val="center"/>
                </w:tcPr>
                <w:p w14:paraId="59C9BB0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0.000006</w:t>
                  </w:r>
                </w:p>
              </w:tc>
              <w:tc>
                <w:tcPr>
                  <w:tcW w:w="0" w:type="auto"/>
                  <w:shd w:val="clear" w:color="auto" w:fill="FFFFFF"/>
                  <w:noWrap/>
                  <w:vAlign w:val="center"/>
                </w:tcPr>
                <w:p w14:paraId="6E4D9FC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0.000006</w:t>
                  </w:r>
                </w:p>
              </w:tc>
              <w:tc>
                <w:tcPr>
                  <w:tcW w:w="0" w:type="auto"/>
                  <w:shd w:val="clear" w:color="auto" w:fill="FFFFFF"/>
                  <w:noWrap/>
                  <w:vAlign w:val="center"/>
                </w:tcPr>
                <w:p w14:paraId="4EE55C6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vAlign w:val="center"/>
                </w:tcPr>
                <w:p w14:paraId="4C073A6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7410BD6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0D257D5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7692012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0.000006</w:t>
                  </w:r>
                </w:p>
              </w:tc>
              <w:tc>
                <w:tcPr>
                  <w:tcW w:w="0" w:type="auto"/>
                  <w:shd w:val="clear" w:color="auto" w:fill="FFFFFF"/>
                  <w:noWrap/>
                  <w:vAlign w:val="center"/>
                </w:tcPr>
                <w:p w14:paraId="20D6D06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0.000006</w:t>
                  </w:r>
                </w:p>
              </w:tc>
              <w:tc>
                <w:tcPr>
                  <w:tcW w:w="0" w:type="auto"/>
                  <w:shd w:val="clear" w:color="auto" w:fill="FFFFFF"/>
                  <w:noWrap/>
                  <w:vAlign w:val="center"/>
                </w:tcPr>
                <w:p w14:paraId="67DE2FF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0EB591C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r>
            <w:tr w14:paraId="0BAB04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trPr>
              <w:tc>
                <w:tcPr>
                  <w:tcW w:w="0" w:type="auto"/>
                  <w:gridSpan w:val="2"/>
                  <w:vMerge w:val="continue"/>
                  <w:shd w:val="clear" w:color="auto" w:fill="FFFFFF"/>
                  <w:vAlign w:val="center"/>
                </w:tcPr>
                <w:p w14:paraId="693E3A98">
                  <w:pPr>
                    <w:jc w:val="center"/>
                    <w:rPr>
                      <w:rFonts w:hint="eastAsia" w:ascii="宋体" w:hAnsi="宋体" w:eastAsia="宋体" w:cs="宋体"/>
                      <w:i w:val="0"/>
                      <w:iCs w:val="0"/>
                      <w:color w:val="auto"/>
                      <w:sz w:val="21"/>
                      <w:szCs w:val="21"/>
                      <w:u w:val="none"/>
                    </w:rPr>
                  </w:pPr>
                </w:p>
              </w:tc>
              <w:tc>
                <w:tcPr>
                  <w:tcW w:w="0" w:type="auto"/>
                  <w:shd w:val="clear" w:color="auto" w:fill="FFFFFF"/>
                  <w:noWrap/>
                  <w:vAlign w:val="center"/>
                </w:tcPr>
                <w:p w14:paraId="3C8B2CF4">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总钴</w:t>
                  </w:r>
                </w:p>
              </w:tc>
              <w:tc>
                <w:tcPr>
                  <w:tcW w:w="0" w:type="auto"/>
                  <w:shd w:val="clear" w:color="auto" w:fill="FFFFFF"/>
                  <w:noWrap/>
                  <w:vAlign w:val="center"/>
                </w:tcPr>
                <w:p w14:paraId="763C4EF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0.000008</w:t>
                  </w:r>
                </w:p>
              </w:tc>
              <w:tc>
                <w:tcPr>
                  <w:tcW w:w="0" w:type="auto"/>
                  <w:shd w:val="clear" w:color="auto" w:fill="FFFFFF"/>
                  <w:noWrap/>
                  <w:vAlign w:val="center"/>
                </w:tcPr>
                <w:p w14:paraId="5713225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0.000008</w:t>
                  </w:r>
                </w:p>
              </w:tc>
              <w:tc>
                <w:tcPr>
                  <w:tcW w:w="0" w:type="auto"/>
                  <w:shd w:val="clear" w:color="auto" w:fill="FFFFFF"/>
                  <w:noWrap/>
                  <w:vAlign w:val="center"/>
                </w:tcPr>
                <w:p w14:paraId="3A691B8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vAlign w:val="center"/>
                </w:tcPr>
                <w:p w14:paraId="67ECBF3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308E7C3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57ABDA1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2D00F2F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0.000008</w:t>
                  </w:r>
                </w:p>
              </w:tc>
              <w:tc>
                <w:tcPr>
                  <w:tcW w:w="0" w:type="auto"/>
                  <w:shd w:val="clear" w:color="auto" w:fill="FFFFFF"/>
                  <w:noWrap/>
                  <w:vAlign w:val="center"/>
                </w:tcPr>
                <w:p w14:paraId="10B5676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0.000008</w:t>
                  </w:r>
                </w:p>
              </w:tc>
              <w:tc>
                <w:tcPr>
                  <w:tcW w:w="0" w:type="auto"/>
                  <w:shd w:val="clear" w:color="auto" w:fill="FFFFFF"/>
                  <w:noWrap/>
                  <w:vAlign w:val="center"/>
                </w:tcPr>
                <w:p w14:paraId="4831B53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0E4A963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r>
            <w:tr w14:paraId="280E8D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trPr>
              <w:tc>
                <w:tcPr>
                  <w:tcW w:w="0" w:type="auto"/>
                  <w:gridSpan w:val="2"/>
                  <w:vMerge w:val="continue"/>
                  <w:shd w:val="clear" w:color="auto" w:fill="FFFFFF"/>
                  <w:vAlign w:val="center"/>
                </w:tcPr>
                <w:p w14:paraId="5F050A1A">
                  <w:pPr>
                    <w:jc w:val="center"/>
                    <w:rPr>
                      <w:rFonts w:hint="eastAsia" w:ascii="宋体" w:hAnsi="宋体" w:eastAsia="宋体" w:cs="宋体"/>
                      <w:i w:val="0"/>
                      <w:iCs w:val="0"/>
                      <w:color w:val="auto"/>
                      <w:sz w:val="21"/>
                      <w:szCs w:val="21"/>
                      <w:u w:val="none"/>
                    </w:rPr>
                  </w:pPr>
                </w:p>
              </w:tc>
              <w:tc>
                <w:tcPr>
                  <w:tcW w:w="0" w:type="auto"/>
                  <w:shd w:val="clear" w:color="auto" w:fill="FFFFFF"/>
                  <w:noWrap/>
                  <w:vAlign w:val="center"/>
                </w:tcPr>
                <w:p w14:paraId="4A78FFF1">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氟化物</w:t>
                  </w:r>
                </w:p>
              </w:tc>
              <w:tc>
                <w:tcPr>
                  <w:tcW w:w="0" w:type="auto"/>
                  <w:shd w:val="clear" w:color="auto" w:fill="FFFFFF"/>
                  <w:noWrap/>
                  <w:vAlign w:val="center"/>
                </w:tcPr>
                <w:p w14:paraId="30907AB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0.012802</w:t>
                  </w:r>
                </w:p>
              </w:tc>
              <w:tc>
                <w:tcPr>
                  <w:tcW w:w="0" w:type="auto"/>
                  <w:shd w:val="clear" w:color="auto" w:fill="FFFFFF"/>
                  <w:noWrap/>
                  <w:vAlign w:val="center"/>
                </w:tcPr>
                <w:p w14:paraId="250B7CB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0.012802</w:t>
                  </w:r>
                </w:p>
              </w:tc>
              <w:tc>
                <w:tcPr>
                  <w:tcW w:w="0" w:type="auto"/>
                  <w:shd w:val="clear" w:color="auto" w:fill="FFFFFF"/>
                  <w:noWrap/>
                  <w:vAlign w:val="center"/>
                </w:tcPr>
                <w:p w14:paraId="4A7D4DC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vAlign w:val="center"/>
                </w:tcPr>
                <w:p w14:paraId="57A7B0C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5E1EEF2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52A3B55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558A67D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0.012802</w:t>
                  </w:r>
                </w:p>
              </w:tc>
              <w:tc>
                <w:tcPr>
                  <w:tcW w:w="0" w:type="auto"/>
                  <w:shd w:val="clear" w:color="auto" w:fill="FFFFFF"/>
                  <w:noWrap/>
                  <w:vAlign w:val="center"/>
                </w:tcPr>
                <w:p w14:paraId="79A7CC4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0.012802</w:t>
                  </w:r>
                </w:p>
              </w:tc>
              <w:tc>
                <w:tcPr>
                  <w:tcW w:w="0" w:type="auto"/>
                  <w:shd w:val="clear" w:color="auto" w:fill="FFFFFF"/>
                  <w:noWrap/>
                  <w:vAlign w:val="center"/>
                </w:tcPr>
                <w:p w14:paraId="713DC95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0DC5122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r>
            <w:tr w14:paraId="2DF174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0" w:type="auto"/>
                  <w:gridSpan w:val="2"/>
                  <w:vMerge w:val="continue"/>
                  <w:shd w:val="clear" w:color="auto" w:fill="FFFFFF"/>
                  <w:vAlign w:val="center"/>
                </w:tcPr>
                <w:p w14:paraId="349CDFDE">
                  <w:pPr>
                    <w:jc w:val="center"/>
                    <w:rPr>
                      <w:rFonts w:hint="eastAsia" w:ascii="宋体" w:hAnsi="宋体" w:eastAsia="宋体" w:cs="宋体"/>
                      <w:i w:val="0"/>
                      <w:iCs w:val="0"/>
                      <w:color w:val="auto"/>
                      <w:sz w:val="21"/>
                      <w:szCs w:val="21"/>
                      <w:u w:val="none"/>
                    </w:rPr>
                  </w:pPr>
                </w:p>
              </w:tc>
              <w:tc>
                <w:tcPr>
                  <w:tcW w:w="0" w:type="auto"/>
                  <w:shd w:val="clear" w:color="auto" w:fill="FFFFFF"/>
                  <w:noWrap/>
                  <w:vAlign w:val="center"/>
                </w:tcPr>
                <w:p w14:paraId="4A2506B3">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甲醛</w:t>
                  </w:r>
                </w:p>
              </w:tc>
              <w:tc>
                <w:tcPr>
                  <w:tcW w:w="0" w:type="auto"/>
                  <w:shd w:val="clear" w:color="auto" w:fill="FFFFFF"/>
                  <w:noWrap/>
                  <w:vAlign w:val="center"/>
                </w:tcPr>
                <w:p w14:paraId="145C2FC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0.00185</w:t>
                  </w:r>
                </w:p>
              </w:tc>
              <w:tc>
                <w:tcPr>
                  <w:tcW w:w="0" w:type="auto"/>
                  <w:shd w:val="clear" w:color="auto" w:fill="FFFFFF"/>
                  <w:noWrap/>
                  <w:vAlign w:val="center"/>
                </w:tcPr>
                <w:p w14:paraId="34AD420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0.00185</w:t>
                  </w:r>
                </w:p>
              </w:tc>
              <w:tc>
                <w:tcPr>
                  <w:tcW w:w="0" w:type="auto"/>
                  <w:shd w:val="clear" w:color="auto" w:fill="FFFFFF"/>
                  <w:noWrap/>
                  <w:vAlign w:val="center"/>
                </w:tcPr>
                <w:p w14:paraId="74E90D7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vAlign w:val="center"/>
                </w:tcPr>
                <w:p w14:paraId="1786209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65E52D5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4DDEB8B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6D7E86C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0.00185</w:t>
                  </w:r>
                </w:p>
              </w:tc>
              <w:tc>
                <w:tcPr>
                  <w:tcW w:w="0" w:type="auto"/>
                  <w:shd w:val="clear" w:color="auto" w:fill="FFFFFF"/>
                  <w:noWrap/>
                  <w:vAlign w:val="center"/>
                </w:tcPr>
                <w:p w14:paraId="729EBB7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0.00185</w:t>
                  </w:r>
                </w:p>
              </w:tc>
              <w:tc>
                <w:tcPr>
                  <w:tcW w:w="0" w:type="auto"/>
                  <w:shd w:val="clear" w:color="auto" w:fill="FFFFFF"/>
                  <w:noWrap/>
                  <w:vAlign w:val="center"/>
                </w:tcPr>
                <w:p w14:paraId="67C2806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01E32CE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r>
            <w:tr w14:paraId="10A216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0" w:type="auto"/>
                  <w:gridSpan w:val="2"/>
                  <w:vMerge w:val="restart"/>
                  <w:shd w:val="clear" w:color="auto" w:fill="FFFFFF"/>
                  <w:vAlign w:val="center"/>
                </w:tcPr>
                <w:p w14:paraId="3642D15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生产废水</w:t>
                  </w:r>
                </w:p>
              </w:tc>
              <w:tc>
                <w:tcPr>
                  <w:tcW w:w="0" w:type="auto"/>
                  <w:shd w:val="clear" w:color="auto" w:fill="FFFFFF"/>
                  <w:noWrap/>
                  <w:vAlign w:val="center"/>
                </w:tcPr>
                <w:p w14:paraId="017C5CB7">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水量</w:t>
                  </w:r>
                </w:p>
              </w:tc>
              <w:tc>
                <w:tcPr>
                  <w:tcW w:w="0" w:type="auto"/>
                  <w:shd w:val="clear" w:color="auto" w:fill="FFFFFF"/>
                  <w:noWrap/>
                  <w:vAlign w:val="center"/>
                </w:tcPr>
                <w:p w14:paraId="12FA626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8875</w:t>
                  </w:r>
                </w:p>
              </w:tc>
              <w:tc>
                <w:tcPr>
                  <w:tcW w:w="0" w:type="auto"/>
                  <w:shd w:val="clear" w:color="auto" w:fill="FFFFFF"/>
                  <w:noWrap/>
                  <w:vAlign w:val="center"/>
                </w:tcPr>
                <w:p w14:paraId="3E07BCC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2662.5</w:t>
                  </w:r>
                </w:p>
              </w:tc>
              <w:tc>
                <w:tcPr>
                  <w:tcW w:w="0" w:type="auto"/>
                  <w:shd w:val="clear" w:color="auto" w:fill="FFFFFF"/>
                  <w:noWrap/>
                  <w:vAlign w:val="center"/>
                </w:tcPr>
                <w:p w14:paraId="22062EC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vAlign w:val="center"/>
                </w:tcPr>
                <w:p w14:paraId="77ED929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2707E70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5C5CEB8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4A15EF8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8875</w:t>
                  </w:r>
                </w:p>
              </w:tc>
              <w:tc>
                <w:tcPr>
                  <w:tcW w:w="0" w:type="auto"/>
                  <w:shd w:val="clear" w:color="auto" w:fill="FFFFFF"/>
                  <w:noWrap/>
                  <w:vAlign w:val="center"/>
                </w:tcPr>
                <w:p w14:paraId="22B03A6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2662.5</w:t>
                  </w:r>
                </w:p>
              </w:tc>
              <w:tc>
                <w:tcPr>
                  <w:tcW w:w="0" w:type="auto"/>
                  <w:shd w:val="clear" w:color="auto" w:fill="FFFFFF"/>
                  <w:noWrap/>
                  <w:vAlign w:val="center"/>
                </w:tcPr>
                <w:p w14:paraId="607B3C7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7BA2DC7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r>
            <w:tr w14:paraId="3886A4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0" w:type="auto"/>
                  <w:gridSpan w:val="2"/>
                  <w:vMerge w:val="continue"/>
                  <w:shd w:val="clear" w:color="auto" w:fill="FFFFFF"/>
                  <w:vAlign w:val="center"/>
                </w:tcPr>
                <w:p w14:paraId="529B1767">
                  <w:pPr>
                    <w:jc w:val="center"/>
                    <w:rPr>
                      <w:rFonts w:hint="eastAsia" w:ascii="宋体" w:hAnsi="宋体" w:eastAsia="宋体" w:cs="宋体"/>
                      <w:i w:val="0"/>
                      <w:iCs w:val="0"/>
                      <w:color w:val="auto"/>
                      <w:sz w:val="21"/>
                      <w:szCs w:val="21"/>
                      <w:u w:val="none"/>
                    </w:rPr>
                  </w:pPr>
                </w:p>
              </w:tc>
              <w:tc>
                <w:tcPr>
                  <w:tcW w:w="0" w:type="auto"/>
                  <w:shd w:val="clear" w:color="auto" w:fill="FFFFFF"/>
                  <w:noWrap/>
                  <w:vAlign w:val="center"/>
                </w:tcPr>
                <w:p w14:paraId="08A99B70">
                  <w:pPr>
                    <w:keepNext w:val="0"/>
                    <w:keepLines w:val="0"/>
                    <w:widowControl/>
                    <w:suppressLineNumbers w:val="0"/>
                    <w:jc w:val="left"/>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COD</w:t>
                  </w:r>
                </w:p>
              </w:tc>
              <w:tc>
                <w:tcPr>
                  <w:tcW w:w="0" w:type="auto"/>
                  <w:shd w:val="clear" w:color="auto" w:fill="FFFFFF"/>
                  <w:noWrap/>
                  <w:vAlign w:val="center"/>
                </w:tcPr>
                <w:p w14:paraId="52CC977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1.043</w:t>
                  </w:r>
                </w:p>
              </w:tc>
              <w:tc>
                <w:tcPr>
                  <w:tcW w:w="0" w:type="auto"/>
                  <w:shd w:val="clear" w:color="auto" w:fill="FFFFFF"/>
                  <w:noWrap/>
                  <w:vAlign w:val="center"/>
                </w:tcPr>
                <w:p w14:paraId="09A0B9E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0.0804</w:t>
                  </w:r>
                </w:p>
              </w:tc>
              <w:tc>
                <w:tcPr>
                  <w:tcW w:w="0" w:type="auto"/>
                  <w:shd w:val="clear" w:color="auto" w:fill="FFFFFF"/>
                  <w:noWrap/>
                  <w:vAlign w:val="center"/>
                </w:tcPr>
                <w:p w14:paraId="560313A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vAlign w:val="center"/>
                </w:tcPr>
                <w:p w14:paraId="11590D5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4C02429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598C14F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725D89E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1.043</w:t>
                  </w:r>
                </w:p>
              </w:tc>
              <w:tc>
                <w:tcPr>
                  <w:tcW w:w="0" w:type="auto"/>
                  <w:shd w:val="clear" w:color="auto" w:fill="FFFFFF"/>
                  <w:noWrap/>
                  <w:vAlign w:val="center"/>
                </w:tcPr>
                <w:p w14:paraId="44BBE51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0.0804</w:t>
                  </w:r>
                </w:p>
              </w:tc>
              <w:tc>
                <w:tcPr>
                  <w:tcW w:w="0" w:type="auto"/>
                  <w:shd w:val="clear" w:color="auto" w:fill="FFFFFF"/>
                  <w:noWrap/>
                  <w:vAlign w:val="center"/>
                </w:tcPr>
                <w:p w14:paraId="29A3D36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4FDADED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r>
            <w:tr w14:paraId="55E129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trPr>
              <w:tc>
                <w:tcPr>
                  <w:tcW w:w="0" w:type="auto"/>
                  <w:gridSpan w:val="2"/>
                  <w:vMerge w:val="continue"/>
                  <w:shd w:val="clear" w:color="auto" w:fill="FFFFFF"/>
                  <w:vAlign w:val="center"/>
                </w:tcPr>
                <w:p w14:paraId="5EF64132">
                  <w:pPr>
                    <w:jc w:val="center"/>
                    <w:rPr>
                      <w:rFonts w:hint="eastAsia" w:ascii="宋体" w:hAnsi="宋体" w:eastAsia="宋体" w:cs="宋体"/>
                      <w:i w:val="0"/>
                      <w:iCs w:val="0"/>
                      <w:color w:val="auto"/>
                      <w:sz w:val="21"/>
                      <w:szCs w:val="21"/>
                      <w:u w:val="none"/>
                    </w:rPr>
                  </w:pPr>
                </w:p>
              </w:tc>
              <w:tc>
                <w:tcPr>
                  <w:tcW w:w="0" w:type="auto"/>
                  <w:shd w:val="clear" w:color="auto" w:fill="FFFFFF"/>
                  <w:noWrap/>
                  <w:vAlign w:val="center"/>
                </w:tcPr>
                <w:p w14:paraId="1C997944">
                  <w:pPr>
                    <w:keepNext w:val="0"/>
                    <w:keepLines w:val="0"/>
                    <w:widowControl/>
                    <w:suppressLineNumbers w:val="0"/>
                    <w:jc w:val="left"/>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SS</w:t>
                  </w:r>
                </w:p>
              </w:tc>
              <w:tc>
                <w:tcPr>
                  <w:tcW w:w="0" w:type="auto"/>
                  <w:shd w:val="clear" w:color="auto" w:fill="FFFFFF"/>
                  <w:noWrap/>
                  <w:vAlign w:val="center"/>
                </w:tcPr>
                <w:p w14:paraId="5547623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0.344</w:t>
                  </w:r>
                </w:p>
              </w:tc>
              <w:tc>
                <w:tcPr>
                  <w:tcW w:w="0" w:type="auto"/>
                  <w:shd w:val="clear" w:color="auto" w:fill="FFFFFF"/>
                  <w:noWrap/>
                  <w:vAlign w:val="center"/>
                </w:tcPr>
                <w:p w14:paraId="4C68E62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0.0266</w:t>
                  </w:r>
                </w:p>
              </w:tc>
              <w:tc>
                <w:tcPr>
                  <w:tcW w:w="0" w:type="auto"/>
                  <w:shd w:val="clear" w:color="auto" w:fill="FFFFFF"/>
                  <w:noWrap/>
                  <w:vAlign w:val="center"/>
                </w:tcPr>
                <w:p w14:paraId="2AC2F25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vAlign w:val="center"/>
                </w:tcPr>
                <w:p w14:paraId="3EDE474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24C5755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1C040FB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3F70DBA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0.344</w:t>
                  </w:r>
                </w:p>
              </w:tc>
              <w:tc>
                <w:tcPr>
                  <w:tcW w:w="0" w:type="auto"/>
                  <w:shd w:val="clear" w:color="auto" w:fill="FFFFFF"/>
                  <w:noWrap/>
                  <w:vAlign w:val="center"/>
                </w:tcPr>
                <w:p w14:paraId="51F02A9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0.0266</w:t>
                  </w:r>
                </w:p>
              </w:tc>
              <w:tc>
                <w:tcPr>
                  <w:tcW w:w="0" w:type="auto"/>
                  <w:shd w:val="clear" w:color="auto" w:fill="FFFFFF"/>
                  <w:noWrap/>
                  <w:vAlign w:val="center"/>
                </w:tcPr>
                <w:p w14:paraId="293007E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6116917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r>
            <w:tr w14:paraId="0B80DE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trPr>
              <w:tc>
                <w:tcPr>
                  <w:tcW w:w="0" w:type="auto"/>
                  <w:gridSpan w:val="2"/>
                  <w:vMerge w:val="continue"/>
                  <w:shd w:val="clear" w:color="auto" w:fill="FFFFFF"/>
                  <w:vAlign w:val="center"/>
                </w:tcPr>
                <w:p w14:paraId="3FD656DF">
                  <w:pPr>
                    <w:jc w:val="center"/>
                    <w:rPr>
                      <w:rFonts w:hint="eastAsia" w:ascii="宋体" w:hAnsi="宋体" w:eastAsia="宋体" w:cs="宋体"/>
                      <w:i w:val="0"/>
                      <w:iCs w:val="0"/>
                      <w:color w:val="auto"/>
                      <w:sz w:val="21"/>
                      <w:szCs w:val="21"/>
                      <w:u w:val="none"/>
                    </w:rPr>
                  </w:pPr>
                </w:p>
              </w:tc>
              <w:tc>
                <w:tcPr>
                  <w:tcW w:w="0" w:type="auto"/>
                  <w:shd w:val="clear" w:color="auto" w:fill="FFFFFF"/>
                  <w:noWrap/>
                  <w:vAlign w:val="center"/>
                </w:tcPr>
                <w:p w14:paraId="1F0A1AEE">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盐分</w:t>
                  </w:r>
                </w:p>
              </w:tc>
              <w:tc>
                <w:tcPr>
                  <w:tcW w:w="0" w:type="auto"/>
                  <w:shd w:val="clear" w:color="auto" w:fill="FFFFFF"/>
                  <w:noWrap/>
                  <w:vAlign w:val="center"/>
                </w:tcPr>
                <w:p w14:paraId="124CA6E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18.668</w:t>
                  </w:r>
                </w:p>
              </w:tc>
              <w:tc>
                <w:tcPr>
                  <w:tcW w:w="0" w:type="auto"/>
                  <w:shd w:val="clear" w:color="auto" w:fill="FFFFFF"/>
                  <w:noWrap/>
                  <w:vAlign w:val="center"/>
                </w:tcPr>
                <w:p w14:paraId="250C84C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18.668</w:t>
                  </w:r>
                </w:p>
              </w:tc>
              <w:tc>
                <w:tcPr>
                  <w:tcW w:w="0" w:type="auto"/>
                  <w:shd w:val="clear" w:color="auto" w:fill="FFFFFF"/>
                  <w:noWrap/>
                  <w:vAlign w:val="center"/>
                </w:tcPr>
                <w:p w14:paraId="43084BF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vAlign w:val="center"/>
                </w:tcPr>
                <w:p w14:paraId="58B1537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5D7C5C0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27A0E1D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013CAF1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18.668</w:t>
                  </w:r>
                </w:p>
              </w:tc>
              <w:tc>
                <w:tcPr>
                  <w:tcW w:w="0" w:type="auto"/>
                  <w:shd w:val="clear" w:color="auto" w:fill="FFFFFF"/>
                  <w:noWrap/>
                  <w:vAlign w:val="center"/>
                </w:tcPr>
                <w:p w14:paraId="77F6DB0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18.668</w:t>
                  </w:r>
                </w:p>
              </w:tc>
              <w:tc>
                <w:tcPr>
                  <w:tcW w:w="0" w:type="auto"/>
                  <w:shd w:val="clear" w:color="auto" w:fill="FFFFFF"/>
                  <w:noWrap/>
                  <w:vAlign w:val="center"/>
                </w:tcPr>
                <w:p w14:paraId="29B8B3F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2CD5A71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r>
            <w:tr w14:paraId="7FC295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0" w:type="auto"/>
                  <w:gridSpan w:val="2"/>
                  <w:vMerge w:val="restart"/>
                  <w:shd w:val="clear" w:color="auto" w:fill="auto"/>
                  <w:vAlign w:val="center"/>
                </w:tcPr>
                <w:p w14:paraId="72095C8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废水合计</w:t>
                  </w:r>
                </w:p>
              </w:tc>
              <w:tc>
                <w:tcPr>
                  <w:tcW w:w="0" w:type="auto"/>
                  <w:shd w:val="clear" w:color="auto" w:fill="FFFFFF"/>
                  <w:noWrap/>
                  <w:vAlign w:val="center"/>
                </w:tcPr>
                <w:p w14:paraId="6173A315">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水量</w:t>
                  </w:r>
                </w:p>
              </w:tc>
              <w:tc>
                <w:tcPr>
                  <w:tcW w:w="0" w:type="auto"/>
                  <w:shd w:val="clear" w:color="auto" w:fill="FFFFFF"/>
                  <w:noWrap/>
                  <w:vAlign w:val="center"/>
                </w:tcPr>
                <w:p w14:paraId="1701F38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49172</w:t>
                  </w:r>
                </w:p>
              </w:tc>
              <w:tc>
                <w:tcPr>
                  <w:tcW w:w="0" w:type="auto"/>
                  <w:shd w:val="clear" w:color="auto" w:fill="FFFFFF"/>
                  <w:noWrap/>
                  <w:vAlign w:val="center"/>
                </w:tcPr>
                <w:p w14:paraId="453AD83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14751.6</w:t>
                  </w:r>
                </w:p>
              </w:tc>
              <w:tc>
                <w:tcPr>
                  <w:tcW w:w="0" w:type="auto"/>
                  <w:shd w:val="clear" w:color="auto" w:fill="FFFFFF"/>
                  <w:noWrap/>
                  <w:vAlign w:val="center"/>
                </w:tcPr>
                <w:p w14:paraId="08ECCB8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1768.9</w:t>
                  </w:r>
                </w:p>
              </w:tc>
              <w:tc>
                <w:tcPr>
                  <w:tcW w:w="0" w:type="auto"/>
                  <w:shd w:val="clear" w:color="auto" w:fill="FFFFFF"/>
                  <w:vAlign w:val="center"/>
                </w:tcPr>
                <w:p w14:paraId="5658F81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530.67</w:t>
                  </w:r>
                </w:p>
              </w:tc>
              <w:tc>
                <w:tcPr>
                  <w:tcW w:w="0" w:type="auto"/>
                  <w:shd w:val="clear" w:color="auto" w:fill="FFFFFF"/>
                  <w:noWrap/>
                  <w:vAlign w:val="center"/>
                </w:tcPr>
                <w:p w14:paraId="27F3AF1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1768.9</w:t>
                  </w:r>
                </w:p>
              </w:tc>
              <w:tc>
                <w:tcPr>
                  <w:tcW w:w="0" w:type="auto"/>
                  <w:shd w:val="clear" w:color="auto" w:fill="FFFFFF"/>
                  <w:noWrap/>
                  <w:vAlign w:val="center"/>
                </w:tcPr>
                <w:p w14:paraId="0D9323B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530.67</w:t>
                  </w:r>
                </w:p>
              </w:tc>
              <w:tc>
                <w:tcPr>
                  <w:tcW w:w="0" w:type="auto"/>
                  <w:shd w:val="clear" w:color="auto" w:fill="FFFFFF"/>
                  <w:noWrap/>
                  <w:vAlign w:val="center"/>
                </w:tcPr>
                <w:p w14:paraId="2195522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49172.0 </w:t>
                  </w:r>
                </w:p>
              </w:tc>
              <w:tc>
                <w:tcPr>
                  <w:tcW w:w="0" w:type="auto"/>
                  <w:shd w:val="clear" w:color="auto" w:fill="FFFFFF"/>
                  <w:noWrap/>
                  <w:vAlign w:val="center"/>
                </w:tcPr>
                <w:p w14:paraId="205A836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14751.60 </w:t>
                  </w:r>
                </w:p>
              </w:tc>
              <w:tc>
                <w:tcPr>
                  <w:tcW w:w="0" w:type="auto"/>
                  <w:shd w:val="clear" w:color="auto" w:fill="FFFFFF"/>
                  <w:noWrap/>
                  <w:vAlign w:val="center"/>
                </w:tcPr>
                <w:p w14:paraId="5AF03AE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377632E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r>
            <w:tr w14:paraId="3E82E1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trPr>
              <w:tc>
                <w:tcPr>
                  <w:tcW w:w="0" w:type="auto"/>
                  <w:gridSpan w:val="2"/>
                  <w:vMerge w:val="continue"/>
                  <w:shd w:val="clear" w:color="auto" w:fill="auto"/>
                  <w:vAlign w:val="center"/>
                </w:tcPr>
                <w:p w14:paraId="3B248C47">
                  <w:pPr>
                    <w:jc w:val="center"/>
                    <w:rPr>
                      <w:rFonts w:hint="eastAsia" w:ascii="宋体" w:hAnsi="宋体" w:eastAsia="宋体" w:cs="宋体"/>
                      <w:i w:val="0"/>
                      <w:iCs w:val="0"/>
                      <w:color w:val="auto"/>
                      <w:sz w:val="21"/>
                      <w:szCs w:val="21"/>
                      <w:u w:val="none"/>
                    </w:rPr>
                  </w:pPr>
                </w:p>
              </w:tc>
              <w:tc>
                <w:tcPr>
                  <w:tcW w:w="0" w:type="auto"/>
                  <w:shd w:val="clear" w:color="auto" w:fill="FFFFFF"/>
                  <w:noWrap/>
                  <w:vAlign w:val="center"/>
                </w:tcPr>
                <w:p w14:paraId="6661F563">
                  <w:pPr>
                    <w:keepNext w:val="0"/>
                    <w:keepLines w:val="0"/>
                    <w:widowControl/>
                    <w:suppressLineNumbers w:val="0"/>
                    <w:jc w:val="left"/>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COD</w:t>
                  </w:r>
                </w:p>
              </w:tc>
              <w:tc>
                <w:tcPr>
                  <w:tcW w:w="0" w:type="auto"/>
                  <w:shd w:val="clear" w:color="auto" w:fill="FFFFFF"/>
                  <w:noWrap/>
                  <w:vAlign w:val="center"/>
                </w:tcPr>
                <w:p w14:paraId="36E6D46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9.207</w:t>
                  </w:r>
                </w:p>
              </w:tc>
              <w:tc>
                <w:tcPr>
                  <w:tcW w:w="0" w:type="auto"/>
                  <w:shd w:val="clear" w:color="auto" w:fill="FFFFFF"/>
                  <w:noWrap/>
                  <w:vAlign w:val="center"/>
                </w:tcPr>
                <w:p w14:paraId="529FF99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0.564</w:t>
                  </w:r>
                </w:p>
              </w:tc>
              <w:tc>
                <w:tcPr>
                  <w:tcW w:w="0" w:type="auto"/>
                  <w:shd w:val="clear" w:color="auto" w:fill="FFFFFF"/>
                  <w:noWrap/>
                  <w:vAlign w:val="center"/>
                </w:tcPr>
                <w:p w14:paraId="5912B52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0.3538 </w:t>
                  </w:r>
                </w:p>
              </w:tc>
              <w:tc>
                <w:tcPr>
                  <w:tcW w:w="0" w:type="auto"/>
                  <w:shd w:val="clear" w:color="auto" w:fill="FFFFFF"/>
                  <w:vAlign w:val="center"/>
                </w:tcPr>
                <w:p w14:paraId="73F2092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0.0212 </w:t>
                  </w:r>
                </w:p>
              </w:tc>
              <w:tc>
                <w:tcPr>
                  <w:tcW w:w="0" w:type="auto"/>
                  <w:shd w:val="clear" w:color="auto" w:fill="FFFFFF"/>
                  <w:noWrap/>
                  <w:vAlign w:val="center"/>
                </w:tcPr>
                <w:p w14:paraId="4462425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0.3538 </w:t>
                  </w:r>
                </w:p>
              </w:tc>
              <w:tc>
                <w:tcPr>
                  <w:tcW w:w="0" w:type="auto"/>
                  <w:shd w:val="clear" w:color="auto" w:fill="FFFFFF"/>
                  <w:noWrap/>
                  <w:vAlign w:val="center"/>
                </w:tcPr>
                <w:p w14:paraId="64B2DFB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0.0212 </w:t>
                  </w:r>
                </w:p>
              </w:tc>
              <w:tc>
                <w:tcPr>
                  <w:tcW w:w="0" w:type="auto"/>
                  <w:shd w:val="clear" w:color="auto" w:fill="FFFFFF"/>
                  <w:noWrap/>
                  <w:vAlign w:val="center"/>
                </w:tcPr>
                <w:p w14:paraId="4BD9082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9.2070 </w:t>
                  </w:r>
                </w:p>
              </w:tc>
              <w:tc>
                <w:tcPr>
                  <w:tcW w:w="0" w:type="auto"/>
                  <w:shd w:val="clear" w:color="auto" w:fill="FFFFFF"/>
                  <w:noWrap/>
                  <w:vAlign w:val="center"/>
                </w:tcPr>
                <w:p w14:paraId="321C6AB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0.5640 </w:t>
                  </w:r>
                </w:p>
              </w:tc>
              <w:tc>
                <w:tcPr>
                  <w:tcW w:w="0" w:type="auto"/>
                  <w:shd w:val="clear" w:color="auto" w:fill="FFFFFF"/>
                  <w:noWrap/>
                  <w:vAlign w:val="center"/>
                </w:tcPr>
                <w:p w14:paraId="7C9060F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1AEF411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r>
            <w:tr w14:paraId="2D39A6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trPr>
              <w:tc>
                <w:tcPr>
                  <w:tcW w:w="0" w:type="auto"/>
                  <w:gridSpan w:val="2"/>
                  <w:vMerge w:val="continue"/>
                  <w:shd w:val="clear" w:color="auto" w:fill="auto"/>
                  <w:vAlign w:val="center"/>
                </w:tcPr>
                <w:p w14:paraId="58AD5AB5">
                  <w:pPr>
                    <w:jc w:val="center"/>
                    <w:rPr>
                      <w:rFonts w:hint="eastAsia" w:ascii="宋体" w:hAnsi="宋体" w:eastAsia="宋体" w:cs="宋体"/>
                      <w:i w:val="0"/>
                      <w:iCs w:val="0"/>
                      <w:color w:val="auto"/>
                      <w:sz w:val="21"/>
                      <w:szCs w:val="21"/>
                      <w:u w:val="none"/>
                    </w:rPr>
                  </w:pPr>
                </w:p>
              </w:tc>
              <w:tc>
                <w:tcPr>
                  <w:tcW w:w="0" w:type="auto"/>
                  <w:shd w:val="clear" w:color="auto" w:fill="FFFFFF"/>
                  <w:noWrap/>
                  <w:vAlign w:val="center"/>
                </w:tcPr>
                <w:p w14:paraId="5DAF7102">
                  <w:pPr>
                    <w:keepNext w:val="0"/>
                    <w:keepLines w:val="0"/>
                    <w:widowControl/>
                    <w:suppressLineNumbers w:val="0"/>
                    <w:jc w:val="left"/>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SS</w:t>
                  </w:r>
                </w:p>
              </w:tc>
              <w:tc>
                <w:tcPr>
                  <w:tcW w:w="0" w:type="auto"/>
                  <w:shd w:val="clear" w:color="auto" w:fill="FFFFFF"/>
                  <w:noWrap/>
                  <w:vAlign w:val="center"/>
                </w:tcPr>
                <w:p w14:paraId="20238F6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5.23</w:t>
                  </w:r>
                </w:p>
              </w:tc>
              <w:tc>
                <w:tcPr>
                  <w:tcW w:w="0" w:type="auto"/>
                  <w:shd w:val="clear" w:color="auto" w:fill="FFFFFF"/>
                  <w:noWrap/>
                  <w:vAlign w:val="center"/>
                </w:tcPr>
                <w:p w14:paraId="79BBBCF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0.1476</w:t>
                  </w:r>
                </w:p>
              </w:tc>
              <w:tc>
                <w:tcPr>
                  <w:tcW w:w="0" w:type="auto"/>
                  <w:shd w:val="clear" w:color="auto" w:fill="FFFFFF"/>
                  <w:noWrap/>
                  <w:vAlign w:val="center"/>
                </w:tcPr>
                <w:p w14:paraId="2C26D52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0.1769 </w:t>
                  </w:r>
                </w:p>
              </w:tc>
              <w:tc>
                <w:tcPr>
                  <w:tcW w:w="0" w:type="auto"/>
                  <w:shd w:val="clear" w:color="auto" w:fill="FFFFFF"/>
                  <w:vAlign w:val="center"/>
                </w:tcPr>
                <w:p w14:paraId="438E909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0.0053 </w:t>
                  </w:r>
                </w:p>
              </w:tc>
              <w:tc>
                <w:tcPr>
                  <w:tcW w:w="0" w:type="auto"/>
                  <w:shd w:val="clear" w:color="auto" w:fill="FFFFFF"/>
                  <w:noWrap/>
                  <w:vAlign w:val="center"/>
                </w:tcPr>
                <w:p w14:paraId="365E00B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0.1769 </w:t>
                  </w:r>
                </w:p>
              </w:tc>
              <w:tc>
                <w:tcPr>
                  <w:tcW w:w="0" w:type="auto"/>
                  <w:shd w:val="clear" w:color="auto" w:fill="FFFFFF"/>
                  <w:noWrap/>
                  <w:vAlign w:val="center"/>
                </w:tcPr>
                <w:p w14:paraId="019A049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0.0053 </w:t>
                  </w:r>
                </w:p>
              </w:tc>
              <w:tc>
                <w:tcPr>
                  <w:tcW w:w="0" w:type="auto"/>
                  <w:shd w:val="clear" w:color="auto" w:fill="FFFFFF"/>
                  <w:noWrap/>
                  <w:vAlign w:val="center"/>
                </w:tcPr>
                <w:p w14:paraId="3A363B5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5.2300 </w:t>
                  </w:r>
                </w:p>
              </w:tc>
              <w:tc>
                <w:tcPr>
                  <w:tcW w:w="0" w:type="auto"/>
                  <w:shd w:val="clear" w:color="auto" w:fill="FFFFFF"/>
                  <w:noWrap/>
                  <w:vAlign w:val="center"/>
                </w:tcPr>
                <w:p w14:paraId="011DF46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0.1476 </w:t>
                  </w:r>
                </w:p>
              </w:tc>
              <w:tc>
                <w:tcPr>
                  <w:tcW w:w="0" w:type="auto"/>
                  <w:shd w:val="clear" w:color="auto" w:fill="FFFFFF"/>
                  <w:noWrap/>
                  <w:vAlign w:val="center"/>
                </w:tcPr>
                <w:p w14:paraId="3D1B5D4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37324BB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r>
            <w:tr w14:paraId="37EFA7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0" w:type="auto"/>
                  <w:gridSpan w:val="2"/>
                  <w:vMerge w:val="continue"/>
                  <w:shd w:val="clear" w:color="auto" w:fill="auto"/>
                  <w:vAlign w:val="center"/>
                </w:tcPr>
                <w:p w14:paraId="44DF7EB1">
                  <w:pPr>
                    <w:jc w:val="center"/>
                    <w:rPr>
                      <w:rFonts w:hint="eastAsia" w:ascii="宋体" w:hAnsi="宋体" w:eastAsia="宋体" w:cs="宋体"/>
                      <w:i w:val="0"/>
                      <w:iCs w:val="0"/>
                      <w:color w:val="auto"/>
                      <w:sz w:val="21"/>
                      <w:szCs w:val="21"/>
                      <w:u w:val="none"/>
                    </w:rPr>
                  </w:pPr>
                </w:p>
              </w:tc>
              <w:tc>
                <w:tcPr>
                  <w:tcW w:w="0" w:type="auto"/>
                  <w:shd w:val="clear" w:color="auto" w:fill="FFFFFF"/>
                  <w:noWrap/>
                  <w:vAlign w:val="center"/>
                </w:tcPr>
                <w:p w14:paraId="5874F96F">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氨氮</w:t>
                  </w:r>
                </w:p>
              </w:tc>
              <w:tc>
                <w:tcPr>
                  <w:tcW w:w="0" w:type="auto"/>
                  <w:shd w:val="clear" w:color="auto" w:fill="FFFFFF"/>
                  <w:noWrap/>
                  <w:vAlign w:val="center"/>
                </w:tcPr>
                <w:p w14:paraId="2CE393B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1.407</w:t>
                  </w:r>
                </w:p>
              </w:tc>
              <w:tc>
                <w:tcPr>
                  <w:tcW w:w="0" w:type="auto"/>
                  <w:shd w:val="clear" w:color="auto" w:fill="FFFFFF"/>
                  <w:noWrap/>
                  <w:vAlign w:val="center"/>
                </w:tcPr>
                <w:p w14:paraId="4A2FAC9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0.0602</w:t>
                  </w:r>
                </w:p>
              </w:tc>
              <w:tc>
                <w:tcPr>
                  <w:tcW w:w="0" w:type="auto"/>
                  <w:shd w:val="clear" w:color="auto" w:fill="FFFFFF"/>
                  <w:noWrap/>
                  <w:vAlign w:val="center"/>
                </w:tcPr>
                <w:p w14:paraId="00CBC2D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0.0088 </w:t>
                  </w:r>
                </w:p>
              </w:tc>
              <w:tc>
                <w:tcPr>
                  <w:tcW w:w="0" w:type="auto"/>
                  <w:shd w:val="clear" w:color="auto" w:fill="FFFFFF"/>
                  <w:vAlign w:val="center"/>
                </w:tcPr>
                <w:p w14:paraId="3BE8D80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0.0027 </w:t>
                  </w:r>
                </w:p>
              </w:tc>
              <w:tc>
                <w:tcPr>
                  <w:tcW w:w="0" w:type="auto"/>
                  <w:shd w:val="clear" w:color="auto" w:fill="FFFFFF"/>
                  <w:noWrap/>
                  <w:vAlign w:val="center"/>
                </w:tcPr>
                <w:p w14:paraId="783865F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0.0088 </w:t>
                  </w:r>
                </w:p>
              </w:tc>
              <w:tc>
                <w:tcPr>
                  <w:tcW w:w="0" w:type="auto"/>
                  <w:shd w:val="clear" w:color="auto" w:fill="FFFFFF"/>
                  <w:noWrap/>
                  <w:vAlign w:val="center"/>
                </w:tcPr>
                <w:p w14:paraId="59128E1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0.0027 </w:t>
                  </w:r>
                </w:p>
              </w:tc>
              <w:tc>
                <w:tcPr>
                  <w:tcW w:w="0" w:type="auto"/>
                  <w:shd w:val="clear" w:color="auto" w:fill="FFFFFF"/>
                  <w:noWrap/>
                  <w:vAlign w:val="center"/>
                </w:tcPr>
                <w:p w14:paraId="5880265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1.4070 </w:t>
                  </w:r>
                </w:p>
              </w:tc>
              <w:tc>
                <w:tcPr>
                  <w:tcW w:w="0" w:type="auto"/>
                  <w:shd w:val="clear" w:color="auto" w:fill="FFFFFF"/>
                  <w:noWrap/>
                  <w:vAlign w:val="center"/>
                </w:tcPr>
                <w:p w14:paraId="32E0867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0.0602 </w:t>
                  </w:r>
                </w:p>
              </w:tc>
              <w:tc>
                <w:tcPr>
                  <w:tcW w:w="0" w:type="auto"/>
                  <w:shd w:val="clear" w:color="auto" w:fill="FFFFFF"/>
                  <w:noWrap/>
                  <w:vAlign w:val="center"/>
                </w:tcPr>
                <w:p w14:paraId="70207D7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151EDFE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r>
            <w:tr w14:paraId="14019B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0" w:type="auto"/>
                  <w:gridSpan w:val="2"/>
                  <w:vMerge w:val="continue"/>
                  <w:shd w:val="clear" w:color="auto" w:fill="auto"/>
                  <w:vAlign w:val="center"/>
                </w:tcPr>
                <w:p w14:paraId="73CA39BC">
                  <w:pPr>
                    <w:jc w:val="center"/>
                    <w:rPr>
                      <w:rFonts w:hint="eastAsia" w:ascii="宋体" w:hAnsi="宋体" w:eastAsia="宋体" w:cs="宋体"/>
                      <w:i w:val="0"/>
                      <w:iCs w:val="0"/>
                      <w:color w:val="auto"/>
                      <w:sz w:val="21"/>
                      <w:szCs w:val="21"/>
                      <w:u w:val="none"/>
                    </w:rPr>
                  </w:pPr>
                </w:p>
              </w:tc>
              <w:tc>
                <w:tcPr>
                  <w:tcW w:w="0" w:type="auto"/>
                  <w:shd w:val="clear" w:color="auto" w:fill="FFFFFF"/>
                  <w:noWrap/>
                  <w:vAlign w:val="center"/>
                </w:tcPr>
                <w:p w14:paraId="372393D9">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总氮</w:t>
                  </w:r>
                </w:p>
              </w:tc>
              <w:tc>
                <w:tcPr>
                  <w:tcW w:w="0" w:type="auto"/>
                  <w:shd w:val="clear" w:color="auto" w:fill="FFFFFF"/>
                  <w:noWrap/>
                  <w:vAlign w:val="center"/>
                </w:tcPr>
                <w:p w14:paraId="0A50242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1.691</w:t>
                  </w:r>
                </w:p>
              </w:tc>
              <w:tc>
                <w:tcPr>
                  <w:tcW w:w="0" w:type="auto"/>
                  <w:shd w:val="clear" w:color="auto" w:fill="FFFFFF"/>
                  <w:noWrap/>
                  <w:vAlign w:val="center"/>
                </w:tcPr>
                <w:p w14:paraId="27B0A32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0.1813</w:t>
                  </w:r>
                </w:p>
              </w:tc>
              <w:tc>
                <w:tcPr>
                  <w:tcW w:w="0" w:type="auto"/>
                  <w:shd w:val="clear" w:color="auto" w:fill="FFFFFF"/>
                  <w:noWrap/>
                  <w:vAlign w:val="center"/>
                </w:tcPr>
                <w:p w14:paraId="7C24E3B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0.0177 </w:t>
                  </w:r>
                </w:p>
              </w:tc>
              <w:tc>
                <w:tcPr>
                  <w:tcW w:w="0" w:type="auto"/>
                  <w:shd w:val="clear" w:color="auto" w:fill="FFFFFF"/>
                  <w:vAlign w:val="center"/>
                </w:tcPr>
                <w:p w14:paraId="11DA436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0.0080 </w:t>
                  </w:r>
                </w:p>
              </w:tc>
              <w:tc>
                <w:tcPr>
                  <w:tcW w:w="0" w:type="auto"/>
                  <w:shd w:val="clear" w:color="auto" w:fill="FFFFFF"/>
                  <w:noWrap/>
                  <w:vAlign w:val="center"/>
                </w:tcPr>
                <w:p w14:paraId="0093E19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0.0177 </w:t>
                  </w:r>
                </w:p>
              </w:tc>
              <w:tc>
                <w:tcPr>
                  <w:tcW w:w="0" w:type="auto"/>
                  <w:shd w:val="clear" w:color="auto" w:fill="FFFFFF"/>
                  <w:noWrap/>
                  <w:vAlign w:val="center"/>
                </w:tcPr>
                <w:p w14:paraId="5ECFA1B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0.0080 </w:t>
                  </w:r>
                </w:p>
              </w:tc>
              <w:tc>
                <w:tcPr>
                  <w:tcW w:w="0" w:type="auto"/>
                  <w:shd w:val="clear" w:color="auto" w:fill="FFFFFF"/>
                  <w:noWrap/>
                  <w:vAlign w:val="center"/>
                </w:tcPr>
                <w:p w14:paraId="0EC7A14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1.6910 </w:t>
                  </w:r>
                </w:p>
              </w:tc>
              <w:tc>
                <w:tcPr>
                  <w:tcW w:w="0" w:type="auto"/>
                  <w:shd w:val="clear" w:color="auto" w:fill="FFFFFF"/>
                  <w:noWrap/>
                  <w:vAlign w:val="center"/>
                </w:tcPr>
                <w:p w14:paraId="6D94E27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0.1813 </w:t>
                  </w:r>
                </w:p>
              </w:tc>
              <w:tc>
                <w:tcPr>
                  <w:tcW w:w="0" w:type="auto"/>
                  <w:shd w:val="clear" w:color="auto" w:fill="FFFFFF"/>
                  <w:noWrap/>
                  <w:vAlign w:val="center"/>
                </w:tcPr>
                <w:p w14:paraId="23B36D0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31B27E8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r>
            <w:tr w14:paraId="3E25E9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trPr>
              <w:tc>
                <w:tcPr>
                  <w:tcW w:w="0" w:type="auto"/>
                  <w:gridSpan w:val="2"/>
                  <w:vMerge w:val="continue"/>
                  <w:shd w:val="clear" w:color="auto" w:fill="auto"/>
                  <w:vAlign w:val="center"/>
                </w:tcPr>
                <w:p w14:paraId="3AFB8935">
                  <w:pPr>
                    <w:jc w:val="center"/>
                    <w:rPr>
                      <w:rFonts w:hint="eastAsia" w:ascii="宋体" w:hAnsi="宋体" w:eastAsia="宋体" w:cs="宋体"/>
                      <w:i w:val="0"/>
                      <w:iCs w:val="0"/>
                      <w:color w:val="auto"/>
                      <w:sz w:val="21"/>
                      <w:szCs w:val="21"/>
                      <w:u w:val="none"/>
                    </w:rPr>
                  </w:pPr>
                </w:p>
              </w:tc>
              <w:tc>
                <w:tcPr>
                  <w:tcW w:w="0" w:type="auto"/>
                  <w:shd w:val="clear" w:color="auto" w:fill="FFFFFF"/>
                  <w:noWrap/>
                  <w:vAlign w:val="center"/>
                </w:tcPr>
                <w:p w14:paraId="60383178">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总磷</w:t>
                  </w:r>
                </w:p>
              </w:tc>
              <w:tc>
                <w:tcPr>
                  <w:tcW w:w="0" w:type="auto"/>
                  <w:shd w:val="clear" w:color="auto" w:fill="FFFFFF"/>
                  <w:noWrap/>
                  <w:vAlign w:val="center"/>
                </w:tcPr>
                <w:p w14:paraId="4BEAEEA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0.025</w:t>
                  </w:r>
                </w:p>
              </w:tc>
              <w:tc>
                <w:tcPr>
                  <w:tcW w:w="0" w:type="auto"/>
                  <w:shd w:val="clear" w:color="auto" w:fill="FFFFFF"/>
                  <w:noWrap/>
                  <w:vAlign w:val="center"/>
                </w:tcPr>
                <w:p w14:paraId="6FFECF6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0.006</w:t>
                  </w:r>
                </w:p>
              </w:tc>
              <w:tc>
                <w:tcPr>
                  <w:tcW w:w="0" w:type="auto"/>
                  <w:shd w:val="clear" w:color="auto" w:fill="FFFFFF"/>
                  <w:noWrap/>
                  <w:vAlign w:val="center"/>
                </w:tcPr>
                <w:p w14:paraId="6E17095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vAlign w:val="center"/>
                </w:tcPr>
                <w:p w14:paraId="5BEDBCC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21C82F1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6928E42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06A364C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0.025</w:t>
                  </w:r>
                </w:p>
              </w:tc>
              <w:tc>
                <w:tcPr>
                  <w:tcW w:w="0" w:type="auto"/>
                  <w:shd w:val="clear" w:color="auto" w:fill="FFFFFF"/>
                  <w:noWrap/>
                  <w:vAlign w:val="center"/>
                </w:tcPr>
                <w:p w14:paraId="61BD199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0.006</w:t>
                  </w:r>
                </w:p>
              </w:tc>
              <w:tc>
                <w:tcPr>
                  <w:tcW w:w="0" w:type="auto"/>
                  <w:shd w:val="clear" w:color="auto" w:fill="FFFFFF"/>
                  <w:noWrap/>
                  <w:vAlign w:val="center"/>
                </w:tcPr>
                <w:p w14:paraId="2D765EF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7D43F8A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r>
            <w:tr w14:paraId="4782C7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trPr>
              <w:tc>
                <w:tcPr>
                  <w:tcW w:w="0" w:type="auto"/>
                  <w:gridSpan w:val="2"/>
                  <w:vMerge w:val="continue"/>
                  <w:shd w:val="clear" w:color="auto" w:fill="auto"/>
                  <w:vAlign w:val="center"/>
                </w:tcPr>
                <w:p w14:paraId="155D4200">
                  <w:pPr>
                    <w:jc w:val="center"/>
                    <w:rPr>
                      <w:rFonts w:hint="eastAsia" w:ascii="宋体" w:hAnsi="宋体" w:eastAsia="宋体" w:cs="宋体"/>
                      <w:i w:val="0"/>
                      <w:iCs w:val="0"/>
                      <w:color w:val="auto"/>
                      <w:sz w:val="21"/>
                      <w:szCs w:val="21"/>
                      <w:u w:val="none"/>
                    </w:rPr>
                  </w:pPr>
                </w:p>
              </w:tc>
              <w:tc>
                <w:tcPr>
                  <w:tcW w:w="0" w:type="auto"/>
                  <w:shd w:val="clear" w:color="auto" w:fill="FFFFFF"/>
                  <w:noWrap/>
                  <w:vAlign w:val="center"/>
                </w:tcPr>
                <w:p w14:paraId="578328E0">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盐分</w:t>
                  </w:r>
                </w:p>
              </w:tc>
              <w:tc>
                <w:tcPr>
                  <w:tcW w:w="0" w:type="auto"/>
                  <w:shd w:val="clear" w:color="auto" w:fill="FFFFFF"/>
                  <w:noWrap/>
                  <w:vAlign w:val="center"/>
                </w:tcPr>
                <w:p w14:paraId="7434F29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53.882</w:t>
                  </w:r>
                </w:p>
              </w:tc>
              <w:tc>
                <w:tcPr>
                  <w:tcW w:w="0" w:type="auto"/>
                  <w:shd w:val="clear" w:color="auto" w:fill="FFFFFF"/>
                  <w:noWrap/>
                  <w:vAlign w:val="center"/>
                </w:tcPr>
                <w:p w14:paraId="28EDEE9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53.882</w:t>
                  </w:r>
                </w:p>
              </w:tc>
              <w:tc>
                <w:tcPr>
                  <w:tcW w:w="0" w:type="auto"/>
                  <w:shd w:val="clear" w:color="auto" w:fill="FFFFFF"/>
                  <w:noWrap/>
                  <w:vAlign w:val="center"/>
                </w:tcPr>
                <w:p w14:paraId="3176558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0.1769 </w:t>
                  </w:r>
                </w:p>
              </w:tc>
              <w:tc>
                <w:tcPr>
                  <w:tcW w:w="0" w:type="auto"/>
                  <w:shd w:val="clear" w:color="auto" w:fill="FFFFFF"/>
                  <w:vAlign w:val="center"/>
                </w:tcPr>
                <w:p w14:paraId="6CEB17C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0.1769 </w:t>
                  </w:r>
                </w:p>
              </w:tc>
              <w:tc>
                <w:tcPr>
                  <w:tcW w:w="0" w:type="auto"/>
                  <w:shd w:val="clear" w:color="auto" w:fill="FFFFFF"/>
                  <w:noWrap/>
                  <w:vAlign w:val="center"/>
                </w:tcPr>
                <w:p w14:paraId="52D15B2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0.1769 </w:t>
                  </w:r>
                </w:p>
              </w:tc>
              <w:tc>
                <w:tcPr>
                  <w:tcW w:w="0" w:type="auto"/>
                  <w:shd w:val="clear" w:color="auto" w:fill="FFFFFF"/>
                  <w:noWrap/>
                  <w:vAlign w:val="center"/>
                </w:tcPr>
                <w:p w14:paraId="1819030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0.1769 </w:t>
                  </w:r>
                </w:p>
              </w:tc>
              <w:tc>
                <w:tcPr>
                  <w:tcW w:w="0" w:type="auto"/>
                  <w:shd w:val="clear" w:color="auto" w:fill="FFFFFF"/>
                  <w:noWrap/>
                  <w:vAlign w:val="center"/>
                </w:tcPr>
                <w:p w14:paraId="188F2EB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53.8820 </w:t>
                  </w:r>
                </w:p>
              </w:tc>
              <w:tc>
                <w:tcPr>
                  <w:tcW w:w="0" w:type="auto"/>
                  <w:shd w:val="clear" w:color="auto" w:fill="FFFFFF"/>
                  <w:noWrap/>
                  <w:vAlign w:val="center"/>
                </w:tcPr>
                <w:p w14:paraId="2ED30E4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53.8820 </w:t>
                  </w:r>
                </w:p>
              </w:tc>
              <w:tc>
                <w:tcPr>
                  <w:tcW w:w="0" w:type="auto"/>
                  <w:shd w:val="clear" w:color="auto" w:fill="FFFFFF"/>
                  <w:noWrap/>
                  <w:vAlign w:val="center"/>
                </w:tcPr>
                <w:p w14:paraId="7E6A4E2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71CA876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r>
            <w:tr w14:paraId="5660DD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0" w:type="auto"/>
                  <w:gridSpan w:val="2"/>
                  <w:vMerge w:val="continue"/>
                  <w:shd w:val="clear" w:color="auto" w:fill="auto"/>
                  <w:vAlign w:val="center"/>
                </w:tcPr>
                <w:p w14:paraId="2481ED30">
                  <w:pPr>
                    <w:jc w:val="center"/>
                    <w:rPr>
                      <w:rFonts w:hint="eastAsia" w:ascii="宋体" w:hAnsi="宋体" w:eastAsia="宋体" w:cs="宋体"/>
                      <w:i w:val="0"/>
                      <w:iCs w:val="0"/>
                      <w:color w:val="auto"/>
                      <w:sz w:val="21"/>
                      <w:szCs w:val="21"/>
                      <w:u w:val="none"/>
                    </w:rPr>
                  </w:pPr>
                </w:p>
              </w:tc>
              <w:tc>
                <w:tcPr>
                  <w:tcW w:w="0" w:type="auto"/>
                  <w:shd w:val="clear" w:color="auto" w:fill="FFFFFF"/>
                  <w:noWrap/>
                  <w:vAlign w:val="center"/>
                </w:tcPr>
                <w:p w14:paraId="23E99DEA">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总铬</w:t>
                  </w:r>
                </w:p>
              </w:tc>
              <w:tc>
                <w:tcPr>
                  <w:tcW w:w="0" w:type="auto"/>
                  <w:shd w:val="clear" w:color="auto" w:fill="FFFFFF"/>
                  <w:noWrap/>
                  <w:vAlign w:val="center"/>
                </w:tcPr>
                <w:p w14:paraId="2889B00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0.000014</w:t>
                  </w:r>
                </w:p>
              </w:tc>
              <w:tc>
                <w:tcPr>
                  <w:tcW w:w="0" w:type="auto"/>
                  <w:shd w:val="clear" w:color="auto" w:fill="FFFFFF"/>
                  <w:noWrap/>
                  <w:vAlign w:val="center"/>
                </w:tcPr>
                <w:p w14:paraId="2B3C683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0.000014</w:t>
                  </w:r>
                </w:p>
              </w:tc>
              <w:tc>
                <w:tcPr>
                  <w:tcW w:w="0" w:type="auto"/>
                  <w:shd w:val="clear" w:color="auto" w:fill="FFFFFF"/>
                  <w:noWrap/>
                  <w:vAlign w:val="center"/>
                </w:tcPr>
                <w:p w14:paraId="48833D9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vAlign w:val="center"/>
                </w:tcPr>
                <w:p w14:paraId="6D66474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5C744A4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46FA705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10AC8D9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0.000014</w:t>
                  </w:r>
                </w:p>
              </w:tc>
              <w:tc>
                <w:tcPr>
                  <w:tcW w:w="0" w:type="auto"/>
                  <w:shd w:val="clear" w:color="auto" w:fill="FFFFFF"/>
                  <w:noWrap/>
                  <w:vAlign w:val="center"/>
                </w:tcPr>
                <w:p w14:paraId="532CC21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0.000014</w:t>
                  </w:r>
                </w:p>
              </w:tc>
              <w:tc>
                <w:tcPr>
                  <w:tcW w:w="0" w:type="auto"/>
                  <w:shd w:val="clear" w:color="auto" w:fill="FFFFFF"/>
                  <w:noWrap/>
                  <w:vAlign w:val="center"/>
                </w:tcPr>
                <w:p w14:paraId="1738297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737FBC5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r>
            <w:tr w14:paraId="0DD4F1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0" w:type="auto"/>
                  <w:gridSpan w:val="2"/>
                  <w:vMerge w:val="continue"/>
                  <w:shd w:val="clear" w:color="auto" w:fill="auto"/>
                  <w:vAlign w:val="center"/>
                </w:tcPr>
                <w:p w14:paraId="3A94E9AE">
                  <w:pPr>
                    <w:jc w:val="center"/>
                    <w:rPr>
                      <w:rFonts w:hint="eastAsia" w:ascii="宋体" w:hAnsi="宋体" w:eastAsia="宋体" w:cs="宋体"/>
                      <w:i w:val="0"/>
                      <w:iCs w:val="0"/>
                      <w:color w:val="auto"/>
                      <w:sz w:val="21"/>
                      <w:szCs w:val="21"/>
                      <w:u w:val="none"/>
                    </w:rPr>
                  </w:pPr>
                </w:p>
              </w:tc>
              <w:tc>
                <w:tcPr>
                  <w:tcW w:w="0" w:type="auto"/>
                  <w:shd w:val="clear" w:color="auto" w:fill="FFFFFF"/>
                  <w:noWrap/>
                  <w:vAlign w:val="center"/>
                </w:tcPr>
                <w:p w14:paraId="627C6652">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总镍</w:t>
                  </w:r>
                </w:p>
              </w:tc>
              <w:tc>
                <w:tcPr>
                  <w:tcW w:w="0" w:type="auto"/>
                  <w:shd w:val="clear" w:color="auto" w:fill="FFFFFF"/>
                  <w:noWrap/>
                  <w:vAlign w:val="center"/>
                </w:tcPr>
                <w:p w14:paraId="201D683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0.000081</w:t>
                  </w:r>
                </w:p>
              </w:tc>
              <w:tc>
                <w:tcPr>
                  <w:tcW w:w="0" w:type="auto"/>
                  <w:shd w:val="clear" w:color="auto" w:fill="FFFFFF"/>
                  <w:noWrap/>
                  <w:vAlign w:val="center"/>
                </w:tcPr>
                <w:p w14:paraId="576E776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0.000081</w:t>
                  </w:r>
                </w:p>
              </w:tc>
              <w:tc>
                <w:tcPr>
                  <w:tcW w:w="0" w:type="auto"/>
                  <w:shd w:val="clear" w:color="auto" w:fill="FFFFFF"/>
                  <w:noWrap/>
                  <w:vAlign w:val="center"/>
                </w:tcPr>
                <w:p w14:paraId="0218397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vAlign w:val="center"/>
                </w:tcPr>
                <w:p w14:paraId="134180D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6F52255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4D1BA3F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6B986C5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0.000081</w:t>
                  </w:r>
                </w:p>
              </w:tc>
              <w:tc>
                <w:tcPr>
                  <w:tcW w:w="0" w:type="auto"/>
                  <w:shd w:val="clear" w:color="auto" w:fill="FFFFFF"/>
                  <w:noWrap/>
                  <w:vAlign w:val="center"/>
                </w:tcPr>
                <w:p w14:paraId="54D2A75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0.000081</w:t>
                  </w:r>
                </w:p>
              </w:tc>
              <w:tc>
                <w:tcPr>
                  <w:tcW w:w="0" w:type="auto"/>
                  <w:shd w:val="clear" w:color="auto" w:fill="FFFFFF"/>
                  <w:noWrap/>
                  <w:vAlign w:val="center"/>
                </w:tcPr>
                <w:p w14:paraId="763298F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2F32430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r>
            <w:tr w14:paraId="48C0FF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0" w:type="auto"/>
                  <w:gridSpan w:val="2"/>
                  <w:vMerge w:val="continue"/>
                  <w:shd w:val="clear" w:color="auto" w:fill="auto"/>
                  <w:vAlign w:val="center"/>
                </w:tcPr>
                <w:p w14:paraId="789413C2">
                  <w:pPr>
                    <w:jc w:val="center"/>
                    <w:rPr>
                      <w:rFonts w:hint="eastAsia" w:ascii="宋体" w:hAnsi="宋体" w:eastAsia="宋体" w:cs="宋体"/>
                      <w:i w:val="0"/>
                      <w:iCs w:val="0"/>
                      <w:color w:val="auto"/>
                      <w:sz w:val="21"/>
                      <w:szCs w:val="21"/>
                      <w:u w:val="none"/>
                    </w:rPr>
                  </w:pPr>
                </w:p>
              </w:tc>
              <w:tc>
                <w:tcPr>
                  <w:tcW w:w="0" w:type="auto"/>
                  <w:shd w:val="clear" w:color="auto" w:fill="FFFFFF"/>
                  <w:noWrap/>
                  <w:vAlign w:val="center"/>
                </w:tcPr>
                <w:p w14:paraId="571FE0DF">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总银</w:t>
                  </w:r>
                </w:p>
              </w:tc>
              <w:tc>
                <w:tcPr>
                  <w:tcW w:w="0" w:type="auto"/>
                  <w:shd w:val="clear" w:color="auto" w:fill="FFFFFF"/>
                  <w:noWrap/>
                  <w:vAlign w:val="center"/>
                </w:tcPr>
                <w:p w14:paraId="49B7E80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0.000011</w:t>
                  </w:r>
                </w:p>
              </w:tc>
              <w:tc>
                <w:tcPr>
                  <w:tcW w:w="0" w:type="auto"/>
                  <w:shd w:val="clear" w:color="auto" w:fill="FFFFFF"/>
                  <w:noWrap/>
                  <w:vAlign w:val="center"/>
                </w:tcPr>
                <w:p w14:paraId="760966D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0.000011</w:t>
                  </w:r>
                </w:p>
              </w:tc>
              <w:tc>
                <w:tcPr>
                  <w:tcW w:w="0" w:type="auto"/>
                  <w:shd w:val="clear" w:color="auto" w:fill="FFFFFF"/>
                  <w:noWrap/>
                  <w:vAlign w:val="center"/>
                </w:tcPr>
                <w:p w14:paraId="142CB66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vAlign w:val="center"/>
                </w:tcPr>
                <w:p w14:paraId="51B5CB8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0476115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517F63D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2B17EAE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0.000011</w:t>
                  </w:r>
                </w:p>
              </w:tc>
              <w:tc>
                <w:tcPr>
                  <w:tcW w:w="0" w:type="auto"/>
                  <w:shd w:val="clear" w:color="auto" w:fill="FFFFFF"/>
                  <w:noWrap/>
                  <w:vAlign w:val="center"/>
                </w:tcPr>
                <w:p w14:paraId="3BC56BC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0.000011</w:t>
                  </w:r>
                </w:p>
              </w:tc>
              <w:tc>
                <w:tcPr>
                  <w:tcW w:w="0" w:type="auto"/>
                  <w:shd w:val="clear" w:color="auto" w:fill="FFFFFF"/>
                  <w:noWrap/>
                  <w:vAlign w:val="center"/>
                </w:tcPr>
                <w:p w14:paraId="18A4A0F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38A7448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r>
            <w:tr w14:paraId="5134E1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trPr>
              <w:tc>
                <w:tcPr>
                  <w:tcW w:w="0" w:type="auto"/>
                  <w:gridSpan w:val="2"/>
                  <w:vMerge w:val="continue"/>
                  <w:shd w:val="clear" w:color="auto" w:fill="auto"/>
                  <w:vAlign w:val="center"/>
                </w:tcPr>
                <w:p w14:paraId="4B9F6C51">
                  <w:pPr>
                    <w:jc w:val="center"/>
                    <w:rPr>
                      <w:rFonts w:hint="eastAsia" w:ascii="宋体" w:hAnsi="宋体" w:eastAsia="宋体" w:cs="宋体"/>
                      <w:i w:val="0"/>
                      <w:iCs w:val="0"/>
                      <w:color w:val="auto"/>
                      <w:sz w:val="21"/>
                      <w:szCs w:val="21"/>
                      <w:u w:val="none"/>
                    </w:rPr>
                  </w:pPr>
                </w:p>
              </w:tc>
              <w:tc>
                <w:tcPr>
                  <w:tcW w:w="0" w:type="auto"/>
                  <w:shd w:val="clear" w:color="auto" w:fill="FFFFFF"/>
                  <w:noWrap/>
                  <w:vAlign w:val="center"/>
                </w:tcPr>
                <w:p w14:paraId="3029D08D">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总铜</w:t>
                  </w:r>
                </w:p>
              </w:tc>
              <w:tc>
                <w:tcPr>
                  <w:tcW w:w="0" w:type="auto"/>
                  <w:shd w:val="clear" w:color="auto" w:fill="FFFFFF"/>
                  <w:noWrap/>
                  <w:vAlign w:val="center"/>
                </w:tcPr>
                <w:p w14:paraId="1BE7E61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0.000304</w:t>
                  </w:r>
                </w:p>
              </w:tc>
              <w:tc>
                <w:tcPr>
                  <w:tcW w:w="0" w:type="auto"/>
                  <w:shd w:val="clear" w:color="auto" w:fill="FFFFFF"/>
                  <w:noWrap/>
                  <w:vAlign w:val="center"/>
                </w:tcPr>
                <w:p w14:paraId="1C3EB1B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0.000304</w:t>
                  </w:r>
                </w:p>
              </w:tc>
              <w:tc>
                <w:tcPr>
                  <w:tcW w:w="0" w:type="auto"/>
                  <w:shd w:val="clear" w:color="auto" w:fill="FFFFFF"/>
                  <w:noWrap/>
                  <w:vAlign w:val="center"/>
                </w:tcPr>
                <w:p w14:paraId="71DC188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vAlign w:val="center"/>
                </w:tcPr>
                <w:p w14:paraId="4945C20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3817269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765668A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43922A8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0.000304</w:t>
                  </w:r>
                </w:p>
              </w:tc>
              <w:tc>
                <w:tcPr>
                  <w:tcW w:w="0" w:type="auto"/>
                  <w:shd w:val="clear" w:color="auto" w:fill="FFFFFF"/>
                  <w:noWrap/>
                  <w:vAlign w:val="center"/>
                </w:tcPr>
                <w:p w14:paraId="39A7588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0.000304</w:t>
                  </w:r>
                </w:p>
              </w:tc>
              <w:tc>
                <w:tcPr>
                  <w:tcW w:w="0" w:type="auto"/>
                  <w:shd w:val="clear" w:color="auto" w:fill="FFFFFF"/>
                  <w:noWrap/>
                  <w:vAlign w:val="center"/>
                </w:tcPr>
                <w:p w14:paraId="76A221C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78EF609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r>
            <w:tr w14:paraId="780428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0" w:type="auto"/>
                  <w:gridSpan w:val="2"/>
                  <w:vMerge w:val="continue"/>
                  <w:shd w:val="clear" w:color="auto" w:fill="auto"/>
                  <w:vAlign w:val="center"/>
                </w:tcPr>
                <w:p w14:paraId="7218B1F3">
                  <w:pPr>
                    <w:jc w:val="center"/>
                    <w:rPr>
                      <w:rFonts w:hint="eastAsia" w:ascii="宋体" w:hAnsi="宋体" w:eastAsia="宋体" w:cs="宋体"/>
                      <w:i w:val="0"/>
                      <w:iCs w:val="0"/>
                      <w:color w:val="auto"/>
                      <w:sz w:val="21"/>
                      <w:szCs w:val="21"/>
                      <w:u w:val="none"/>
                    </w:rPr>
                  </w:pPr>
                </w:p>
              </w:tc>
              <w:tc>
                <w:tcPr>
                  <w:tcW w:w="0" w:type="auto"/>
                  <w:shd w:val="clear" w:color="auto" w:fill="FFFFFF"/>
                  <w:noWrap/>
                  <w:vAlign w:val="center"/>
                </w:tcPr>
                <w:p w14:paraId="390F316C">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总锌</w:t>
                  </w:r>
                </w:p>
              </w:tc>
              <w:tc>
                <w:tcPr>
                  <w:tcW w:w="0" w:type="auto"/>
                  <w:shd w:val="clear" w:color="auto" w:fill="FFFFFF"/>
                  <w:noWrap/>
                  <w:vAlign w:val="center"/>
                </w:tcPr>
                <w:p w14:paraId="757FAA5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0.000022</w:t>
                  </w:r>
                </w:p>
              </w:tc>
              <w:tc>
                <w:tcPr>
                  <w:tcW w:w="0" w:type="auto"/>
                  <w:shd w:val="clear" w:color="auto" w:fill="FFFFFF"/>
                  <w:noWrap/>
                  <w:vAlign w:val="center"/>
                </w:tcPr>
                <w:p w14:paraId="611D038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0.000022</w:t>
                  </w:r>
                </w:p>
              </w:tc>
              <w:tc>
                <w:tcPr>
                  <w:tcW w:w="0" w:type="auto"/>
                  <w:shd w:val="clear" w:color="auto" w:fill="FFFFFF"/>
                  <w:noWrap/>
                  <w:vAlign w:val="center"/>
                </w:tcPr>
                <w:p w14:paraId="794F8B2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vAlign w:val="center"/>
                </w:tcPr>
                <w:p w14:paraId="41744B6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5BC3F19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6163A5B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157F225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0.000022</w:t>
                  </w:r>
                </w:p>
              </w:tc>
              <w:tc>
                <w:tcPr>
                  <w:tcW w:w="0" w:type="auto"/>
                  <w:shd w:val="clear" w:color="auto" w:fill="FFFFFF"/>
                  <w:noWrap/>
                  <w:vAlign w:val="center"/>
                </w:tcPr>
                <w:p w14:paraId="2DEF9A0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0.000022</w:t>
                  </w:r>
                </w:p>
              </w:tc>
              <w:tc>
                <w:tcPr>
                  <w:tcW w:w="0" w:type="auto"/>
                  <w:shd w:val="clear" w:color="auto" w:fill="FFFFFF"/>
                  <w:noWrap/>
                  <w:vAlign w:val="center"/>
                </w:tcPr>
                <w:p w14:paraId="6D8BE03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654C807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r>
            <w:tr w14:paraId="57A1B9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trPr>
              <w:tc>
                <w:tcPr>
                  <w:tcW w:w="0" w:type="auto"/>
                  <w:gridSpan w:val="2"/>
                  <w:vMerge w:val="continue"/>
                  <w:shd w:val="clear" w:color="auto" w:fill="auto"/>
                  <w:vAlign w:val="center"/>
                </w:tcPr>
                <w:p w14:paraId="008A6305">
                  <w:pPr>
                    <w:jc w:val="center"/>
                    <w:rPr>
                      <w:rFonts w:hint="eastAsia" w:ascii="宋体" w:hAnsi="宋体" w:eastAsia="宋体" w:cs="宋体"/>
                      <w:i w:val="0"/>
                      <w:iCs w:val="0"/>
                      <w:color w:val="auto"/>
                      <w:sz w:val="21"/>
                      <w:szCs w:val="21"/>
                      <w:u w:val="none"/>
                    </w:rPr>
                  </w:pPr>
                </w:p>
              </w:tc>
              <w:tc>
                <w:tcPr>
                  <w:tcW w:w="0" w:type="auto"/>
                  <w:shd w:val="clear" w:color="auto" w:fill="FFFFFF"/>
                  <w:noWrap/>
                  <w:vAlign w:val="center"/>
                </w:tcPr>
                <w:p w14:paraId="75E20014">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总锰</w:t>
                  </w:r>
                </w:p>
              </w:tc>
              <w:tc>
                <w:tcPr>
                  <w:tcW w:w="0" w:type="auto"/>
                  <w:shd w:val="clear" w:color="auto" w:fill="FFFFFF"/>
                  <w:noWrap/>
                  <w:vAlign w:val="center"/>
                </w:tcPr>
                <w:p w14:paraId="7DC7CDB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0.000006</w:t>
                  </w:r>
                </w:p>
              </w:tc>
              <w:tc>
                <w:tcPr>
                  <w:tcW w:w="0" w:type="auto"/>
                  <w:shd w:val="clear" w:color="auto" w:fill="FFFFFF"/>
                  <w:noWrap/>
                  <w:vAlign w:val="center"/>
                </w:tcPr>
                <w:p w14:paraId="4BE16E0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0.000006</w:t>
                  </w:r>
                </w:p>
              </w:tc>
              <w:tc>
                <w:tcPr>
                  <w:tcW w:w="0" w:type="auto"/>
                  <w:shd w:val="clear" w:color="auto" w:fill="FFFFFF"/>
                  <w:noWrap/>
                  <w:vAlign w:val="center"/>
                </w:tcPr>
                <w:p w14:paraId="029821F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vAlign w:val="center"/>
                </w:tcPr>
                <w:p w14:paraId="0A5AB65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69DF349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477DB9E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3B62C61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0.000006</w:t>
                  </w:r>
                </w:p>
              </w:tc>
              <w:tc>
                <w:tcPr>
                  <w:tcW w:w="0" w:type="auto"/>
                  <w:shd w:val="clear" w:color="auto" w:fill="FFFFFF"/>
                  <w:noWrap/>
                  <w:vAlign w:val="center"/>
                </w:tcPr>
                <w:p w14:paraId="3EFD141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0.000006</w:t>
                  </w:r>
                </w:p>
              </w:tc>
              <w:tc>
                <w:tcPr>
                  <w:tcW w:w="0" w:type="auto"/>
                  <w:shd w:val="clear" w:color="auto" w:fill="FFFFFF"/>
                  <w:noWrap/>
                  <w:vAlign w:val="center"/>
                </w:tcPr>
                <w:p w14:paraId="039AA5A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21357A8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r>
            <w:tr w14:paraId="12DD879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0" w:type="auto"/>
                  <w:gridSpan w:val="2"/>
                  <w:vMerge w:val="continue"/>
                  <w:shd w:val="clear" w:color="auto" w:fill="auto"/>
                  <w:vAlign w:val="center"/>
                </w:tcPr>
                <w:p w14:paraId="7C1CD251">
                  <w:pPr>
                    <w:jc w:val="center"/>
                    <w:rPr>
                      <w:rFonts w:hint="eastAsia" w:ascii="宋体" w:hAnsi="宋体" w:eastAsia="宋体" w:cs="宋体"/>
                      <w:i w:val="0"/>
                      <w:iCs w:val="0"/>
                      <w:color w:val="auto"/>
                      <w:sz w:val="21"/>
                      <w:szCs w:val="21"/>
                      <w:u w:val="none"/>
                    </w:rPr>
                  </w:pPr>
                </w:p>
              </w:tc>
              <w:tc>
                <w:tcPr>
                  <w:tcW w:w="0" w:type="auto"/>
                  <w:shd w:val="clear" w:color="auto" w:fill="FFFFFF"/>
                  <w:noWrap/>
                  <w:vAlign w:val="center"/>
                </w:tcPr>
                <w:p w14:paraId="2CA76737">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总钴</w:t>
                  </w:r>
                </w:p>
              </w:tc>
              <w:tc>
                <w:tcPr>
                  <w:tcW w:w="0" w:type="auto"/>
                  <w:shd w:val="clear" w:color="auto" w:fill="FFFFFF"/>
                  <w:noWrap/>
                  <w:vAlign w:val="center"/>
                </w:tcPr>
                <w:p w14:paraId="22018A4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0.000008</w:t>
                  </w:r>
                </w:p>
              </w:tc>
              <w:tc>
                <w:tcPr>
                  <w:tcW w:w="0" w:type="auto"/>
                  <w:shd w:val="clear" w:color="auto" w:fill="FFFFFF"/>
                  <w:noWrap/>
                  <w:vAlign w:val="center"/>
                </w:tcPr>
                <w:p w14:paraId="283A83D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0.000008</w:t>
                  </w:r>
                </w:p>
              </w:tc>
              <w:tc>
                <w:tcPr>
                  <w:tcW w:w="0" w:type="auto"/>
                  <w:shd w:val="clear" w:color="auto" w:fill="FFFFFF"/>
                  <w:noWrap/>
                  <w:vAlign w:val="center"/>
                </w:tcPr>
                <w:p w14:paraId="6E58A15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vAlign w:val="center"/>
                </w:tcPr>
                <w:p w14:paraId="115EFD3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6FFD58A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7FB6C5B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51F8842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0.000008</w:t>
                  </w:r>
                </w:p>
              </w:tc>
              <w:tc>
                <w:tcPr>
                  <w:tcW w:w="0" w:type="auto"/>
                  <w:shd w:val="clear" w:color="auto" w:fill="FFFFFF"/>
                  <w:noWrap/>
                  <w:vAlign w:val="center"/>
                </w:tcPr>
                <w:p w14:paraId="47D0A64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0.000008</w:t>
                  </w:r>
                </w:p>
              </w:tc>
              <w:tc>
                <w:tcPr>
                  <w:tcW w:w="0" w:type="auto"/>
                  <w:shd w:val="clear" w:color="auto" w:fill="FFFFFF"/>
                  <w:noWrap/>
                  <w:vAlign w:val="center"/>
                </w:tcPr>
                <w:p w14:paraId="7483AAE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5215927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r>
            <w:tr w14:paraId="13166B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0" w:type="auto"/>
                  <w:gridSpan w:val="2"/>
                  <w:vMerge w:val="continue"/>
                  <w:shd w:val="clear" w:color="auto" w:fill="auto"/>
                  <w:vAlign w:val="center"/>
                </w:tcPr>
                <w:p w14:paraId="09511F40">
                  <w:pPr>
                    <w:jc w:val="center"/>
                    <w:rPr>
                      <w:rFonts w:hint="eastAsia" w:ascii="宋体" w:hAnsi="宋体" w:eastAsia="宋体" w:cs="宋体"/>
                      <w:i w:val="0"/>
                      <w:iCs w:val="0"/>
                      <w:color w:val="auto"/>
                      <w:sz w:val="21"/>
                      <w:szCs w:val="21"/>
                      <w:u w:val="none"/>
                    </w:rPr>
                  </w:pPr>
                </w:p>
              </w:tc>
              <w:tc>
                <w:tcPr>
                  <w:tcW w:w="0" w:type="auto"/>
                  <w:shd w:val="clear" w:color="auto" w:fill="FFFFFF"/>
                  <w:noWrap/>
                  <w:vAlign w:val="center"/>
                </w:tcPr>
                <w:p w14:paraId="1D032396">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氟化物</w:t>
                  </w:r>
                </w:p>
              </w:tc>
              <w:tc>
                <w:tcPr>
                  <w:tcW w:w="0" w:type="auto"/>
                  <w:shd w:val="clear" w:color="auto" w:fill="FFFFFF"/>
                  <w:noWrap/>
                  <w:vAlign w:val="center"/>
                </w:tcPr>
                <w:p w14:paraId="0683395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0.012802</w:t>
                  </w:r>
                </w:p>
              </w:tc>
              <w:tc>
                <w:tcPr>
                  <w:tcW w:w="0" w:type="auto"/>
                  <w:shd w:val="clear" w:color="auto" w:fill="FFFFFF"/>
                  <w:noWrap/>
                  <w:vAlign w:val="center"/>
                </w:tcPr>
                <w:p w14:paraId="21E60A8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0.012802</w:t>
                  </w:r>
                </w:p>
              </w:tc>
              <w:tc>
                <w:tcPr>
                  <w:tcW w:w="0" w:type="auto"/>
                  <w:shd w:val="clear" w:color="auto" w:fill="FFFFFF"/>
                  <w:noWrap/>
                  <w:vAlign w:val="center"/>
                </w:tcPr>
                <w:p w14:paraId="47DF4DB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vAlign w:val="center"/>
                </w:tcPr>
                <w:p w14:paraId="2DA508E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3CA5A07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32D8A08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24FDAB4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0.012802</w:t>
                  </w:r>
                </w:p>
              </w:tc>
              <w:tc>
                <w:tcPr>
                  <w:tcW w:w="0" w:type="auto"/>
                  <w:shd w:val="clear" w:color="auto" w:fill="FFFFFF"/>
                  <w:noWrap/>
                  <w:vAlign w:val="center"/>
                </w:tcPr>
                <w:p w14:paraId="14CBFF7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0.012802</w:t>
                  </w:r>
                </w:p>
              </w:tc>
              <w:tc>
                <w:tcPr>
                  <w:tcW w:w="0" w:type="auto"/>
                  <w:shd w:val="clear" w:color="auto" w:fill="FFFFFF"/>
                  <w:noWrap/>
                  <w:vAlign w:val="center"/>
                </w:tcPr>
                <w:p w14:paraId="4A8E914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4B8120B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r>
            <w:tr w14:paraId="67FCEE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0" w:type="auto"/>
                  <w:gridSpan w:val="2"/>
                  <w:vMerge w:val="continue"/>
                  <w:shd w:val="clear" w:color="auto" w:fill="auto"/>
                  <w:vAlign w:val="center"/>
                </w:tcPr>
                <w:p w14:paraId="2E070A41">
                  <w:pPr>
                    <w:jc w:val="center"/>
                    <w:rPr>
                      <w:rFonts w:hint="eastAsia" w:ascii="宋体" w:hAnsi="宋体" w:eastAsia="宋体" w:cs="宋体"/>
                      <w:i w:val="0"/>
                      <w:iCs w:val="0"/>
                      <w:color w:val="auto"/>
                      <w:sz w:val="21"/>
                      <w:szCs w:val="21"/>
                      <w:u w:val="none"/>
                    </w:rPr>
                  </w:pPr>
                </w:p>
              </w:tc>
              <w:tc>
                <w:tcPr>
                  <w:tcW w:w="0" w:type="auto"/>
                  <w:shd w:val="clear" w:color="auto" w:fill="FFFFFF"/>
                  <w:noWrap/>
                  <w:vAlign w:val="center"/>
                </w:tcPr>
                <w:p w14:paraId="16D876F0">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甲醛</w:t>
                  </w:r>
                </w:p>
              </w:tc>
              <w:tc>
                <w:tcPr>
                  <w:tcW w:w="0" w:type="auto"/>
                  <w:shd w:val="clear" w:color="auto" w:fill="FFFFFF"/>
                  <w:noWrap/>
                  <w:vAlign w:val="center"/>
                </w:tcPr>
                <w:p w14:paraId="5273872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0.00185</w:t>
                  </w:r>
                </w:p>
              </w:tc>
              <w:tc>
                <w:tcPr>
                  <w:tcW w:w="0" w:type="auto"/>
                  <w:shd w:val="clear" w:color="auto" w:fill="FFFFFF"/>
                  <w:noWrap/>
                  <w:vAlign w:val="center"/>
                </w:tcPr>
                <w:p w14:paraId="4592404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0.00185</w:t>
                  </w:r>
                </w:p>
              </w:tc>
              <w:tc>
                <w:tcPr>
                  <w:tcW w:w="0" w:type="auto"/>
                  <w:shd w:val="clear" w:color="auto" w:fill="FFFFFF"/>
                  <w:noWrap/>
                  <w:vAlign w:val="center"/>
                </w:tcPr>
                <w:p w14:paraId="79E0D68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vAlign w:val="center"/>
                </w:tcPr>
                <w:p w14:paraId="46A6C8F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79938DB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5C49D8A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673C17B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0.00185</w:t>
                  </w:r>
                </w:p>
              </w:tc>
              <w:tc>
                <w:tcPr>
                  <w:tcW w:w="0" w:type="auto"/>
                  <w:shd w:val="clear" w:color="auto" w:fill="FFFFFF"/>
                  <w:noWrap/>
                  <w:vAlign w:val="center"/>
                </w:tcPr>
                <w:p w14:paraId="3088811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0.00185</w:t>
                  </w:r>
                </w:p>
              </w:tc>
              <w:tc>
                <w:tcPr>
                  <w:tcW w:w="0" w:type="auto"/>
                  <w:shd w:val="clear" w:color="auto" w:fill="FFFFFF"/>
                  <w:noWrap/>
                  <w:vAlign w:val="center"/>
                </w:tcPr>
                <w:p w14:paraId="5AE91F3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shd w:val="clear" w:color="auto" w:fill="FFFFFF"/>
                  <w:noWrap/>
                  <w:vAlign w:val="center"/>
                </w:tcPr>
                <w:p w14:paraId="68F1789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r>
            <w:tr w14:paraId="4AEBED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0" w:type="auto"/>
                  <w:gridSpan w:val="2"/>
                  <w:vMerge w:val="restart"/>
                  <w:shd w:val="clear" w:color="auto" w:fill="FFFFFF"/>
                  <w:vAlign w:val="center"/>
                </w:tcPr>
                <w:p w14:paraId="7FF953A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固废</w:t>
                  </w:r>
                </w:p>
              </w:tc>
              <w:tc>
                <w:tcPr>
                  <w:tcW w:w="0" w:type="auto"/>
                  <w:shd w:val="clear" w:color="auto" w:fill="FFFFFF"/>
                  <w:vAlign w:val="center"/>
                </w:tcPr>
                <w:p w14:paraId="10608818">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危险废物</w:t>
                  </w:r>
                </w:p>
              </w:tc>
              <w:tc>
                <w:tcPr>
                  <w:tcW w:w="0" w:type="auto"/>
                  <w:gridSpan w:val="2"/>
                  <w:shd w:val="clear" w:color="auto" w:fill="FFFFFF"/>
                  <w:vAlign w:val="center"/>
                </w:tcPr>
                <w:p w14:paraId="15E0D2B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gridSpan w:val="2"/>
                  <w:shd w:val="clear" w:color="auto" w:fill="FFFFFF"/>
                  <w:vAlign w:val="center"/>
                </w:tcPr>
                <w:p w14:paraId="09473C7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gridSpan w:val="2"/>
                  <w:shd w:val="clear" w:color="auto" w:fill="FFFFFF"/>
                  <w:vAlign w:val="center"/>
                </w:tcPr>
                <w:p w14:paraId="1930482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gridSpan w:val="2"/>
                  <w:shd w:val="clear" w:color="auto" w:fill="FFFFFF"/>
                  <w:vAlign w:val="center"/>
                </w:tcPr>
                <w:p w14:paraId="005E4B4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gridSpan w:val="2"/>
                  <w:shd w:val="clear" w:color="auto" w:fill="FFFFFF"/>
                  <w:vAlign w:val="center"/>
                </w:tcPr>
                <w:p w14:paraId="3300EEF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r>
            <w:tr w14:paraId="3AF5DE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0" w:type="auto"/>
                  <w:gridSpan w:val="2"/>
                  <w:vMerge w:val="continue"/>
                  <w:shd w:val="clear" w:color="auto" w:fill="FFFFFF"/>
                  <w:vAlign w:val="center"/>
                </w:tcPr>
                <w:p w14:paraId="5CFBE37E">
                  <w:pPr>
                    <w:jc w:val="center"/>
                    <w:rPr>
                      <w:rFonts w:hint="eastAsia" w:ascii="宋体" w:hAnsi="宋体" w:eastAsia="宋体" w:cs="宋体"/>
                      <w:i w:val="0"/>
                      <w:iCs w:val="0"/>
                      <w:color w:val="auto"/>
                      <w:sz w:val="21"/>
                      <w:szCs w:val="21"/>
                      <w:u w:val="none"/>
                    </w:rPr>
                  </w:pPr>
                </w:p>
              </w:tc>
              <w:tc>
                <w:tcPr>
                  <w:tcW w:w="0" w:type="auto"/>
                  <w:shd w:val="clear" w:color="auto" w:fill="FFFFFF"/>
                  <w:vAlign w:val="center"/>
                </w:tcPr>
                <w:p w14:paraId="6C686E9D">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一般工业固废</w:t>
                  </w:r>
                </w:p>
              </w:tc>
              <w:tc>
                <w:tcPr>
                  <w:tcW w:w="0" w:type="auto"/>
                  <w:gridSpan w:val="2"/>
                  <w:shd w:val="clear" w:color="auto" w:fill="FFFFFF"/>
                  <w:vAlign w:val="center"/>
                </w:tcPr>
                <w:p w14:paraId="49FF645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gridSpan w:val="2"/>
                  <w:shd w:val="clear" w:color="auto" w:fill="FFFFFF"/>
                  <w:vAlign w:val="center"/>
                </w:tcPr>
                <w:p w14:paraId="7ADECF1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gridSpan w:val="2"/>
                  <w:shd w:val="clear" w:color="auto" w:fill="FFFFFF"/>
                  <w:vAlign w:val="center"/>
                </w:tcPr>
                <w:p w14:paraId="6F6E0FD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gridSpan w:val="2"/>
                  <w:shd w:val="clear" w:color="auto" w:fill="FFFFFF"/>
                  <w:vAlign w:val="center"/>
                </w:tcPr>
                <w:p w14:paraId="3593C2F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gridSpan w:val="2"/>
                  <w:shd w:val="clear" w:color="auto" w:fill="FFFFFF"/>
                  <w:vAlign w:val="center"/>
                </w:tcPr>
                <w:p w14:paraId="7F93DAE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r>
            <w:tr w14:paraId="732F5E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0" w:type="auto"/>
                  <w:gridSpan w:val="2"/>
                  <w:vMerge w:val="continue"/>
                  <w:shd w:val="clear" w:color="auto" w:fill="FFFFFF"/>
                  <w:vAlign w:val="center"/>
                </w:tcPr>
                <w:p w14:paraId="32406D05">
                  <w:pPr>
                    <w:jc w:val="center"/>
                    <w:rPr>
                      <w:rFonts w:hint="eastAsia" w:ascii="宋体" w:hAnsi="宋体" w:eastAsia="宋体" w:cs="宋体"/>
                      <w:i w:val="0"/>
                      <w:iCs w:val="0"/>
                      <w:color w:val="auto"/>
                      <w:sz w:val="21"/>
                      <w:szCs w:val="21"/>
                      <w:u w:val="none"/>
                    </w:rPr>
                  </w:pPr>
                </w:p>
              </w:tc>
              <w:tc>
                <w:tcPr>
                  <w:tcW w:w="0" w:type="auto"/>
                  <w:shd w:val="clear" w:color="auto" w:fill="FFFFFF"/>
                  <w:vAlign w:val="center"/>
                </w:tcPr>
                <w:p w14:paraId="2EE678B5">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生活垃圾</w:t>
                  </w:r>
                </w:p>
              </w:tc>
              <w:tc>
                <w:tcPr>
                  <w:tcW w:w="0" w:type="auto"/>
                  <w:gridSpan w:val="2"/>
                  <w:shd w:val="clear" w:color="auto" w:fill="FFFFFF"/>
                  <w:vAlign w:val="center"/>
                </w:tcPr>
                <w:p w14:paraId="3B0AFED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gridSpan w:val="2"/>
                  <w:shd w:val="clear" w:color="auto" w:fill="FFFFFF"/>
                  <w:vAlign w:val="center"/>
                </w:tcPr>
                <w:p w14:paraId="4D53B5D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gridSpan w:val="2"/>
                  <w:shd w:val="clear" w:color="auto" w:fill="FFFFFF"/>
                  <w:vAlign w:val="center"/>
                </w:tcPr>
                <w:p w14:paraId="5BFDA46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gridSpan w:val="2"/>
                  <w:shd w:val="clear" w:color="auto" w:fill="FFFFFF"/>
                  <w:vAlign w:val="center"/>
                </w:tcPr>
                <w:p w14:paraId="7840A04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0" w:type="auto"/>
                  <w:gridSpan w:val="2"/>
                  <w:shd w:val="clear" w:color="auto" w:fill="FFFFFF"/>
                  <w:vAlign w:val="center"/>
                </w:tcPr>
                <w:p w14:paraId="665BA48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r>
          </w:tbl>
          <w:p w14:paraId="57D415B0">
            <w:pPr>
              <w:adjustRightInd w:val="0"/>
              <w:snapToGrid w:val="0"/>
              <w:spacing w:line="500" w:lineRule="exact"/>
              <w:ind w:firstLine="420" w:firstLineChars="200"/>
              <w:rPr>
                <w:color w:val="auto"/>
                <w:kern w:val="0"/>
                <w:szCs w:val="21"/>
              </w:rPr>
            </w:pPr>
            <w:r>
              <w:rPr>
                <w:rFonts w:hint="eastAsia"/>
                <w:color w:val="auto"/>
                <w:kern w:val="0"/>
                <w:szCs w:val="21"/>
              </w:rPr>
              <w:t>（1）大气污染物</w:t>
            </w:r>
          </w:p>
          <w:p w14:paraId="6CB8FF64">
            <w:pPr>
              <w:adjustRightInd w:val="0"/>
              <w:snapToGrid w:val="0"/>
              <w:spacing w:line="500" w:lineRule="exact"/>
              <w:ind w:firstLine="420" w:firstLineChars="200"/>
              <w:rPr>
                <w:color w:val="auto"/>
                <w:kern w:val="0"/>
                <w:szCs w:val="21"/>
              </w:rPr>
            </w:pPr>
            <w:r>
              <w:rPr>
                <w:rFonts w:hint="eastAsia"/>
                <w:color w:val="auto"/>
                <w:kern w:val="0"/>
                <w:szCs w:val="21"/>
              </w:rPr>
              <w:t>本项目建成后，全厂有组织废气排放新增硫酸雾0.0019t/a、</w:t>
            </w:r>
            <w:r>
              <w:rPr>
                <w:rFonts w:hint="eastAsia"/>
                <w:color w:val="auto"/>
                <w:kern w:val="0"/>
                <w:szCs w:val="21"/>
                <w:lang w:val="en-US" w:eastAsia="zh-CN"/>
              </w:rPr>
              <w:t>氮氧化物</w:t>
            </w:r>
            <w:r>
              <w:rPr>
                <w:rFonts w:hint="eastAsia"/>
                <w:color w:val="auto"/>
                <w:kern w:val="0"/>
                <w:szCs w:val="21"/>
              </w:rPr>
              <w:t>0.00095t/a、氨0.0000</w:t>
            </w:r>
            <w:r>
              <w:rPr>
                <w:rFonts w:hint="eastAsia"/>
                <w:color w:val="auto"/>
                <w:kern w:val="0"/>
                <w:szCs w:val="21"/>
                <w:lang w:val="en-US" w:eastAsia="zh-CN"/>
              </w:rPr>
              <w:t>1</w:t>
            </w:r>
            <w:r>
              <w:rPr>
                <w:rFonts w:hint="eastAsia"/>
                <w:color w:val="auto"/>
                <w:kern w:val="0"/>
                <w:szCs w:val="21"/>
              </w:rPr>
              <w:t>t/a、甲醇0.0</w:t>
            </w:r>
            <w:r>
              <w:rPr>
                <w:rFonts w:hint="eastAsia"/>
                <w:color w:val="auto"/>
                <w:kern w:val="0"/>
                <w:szCs w:val="21"/>
                <w:lang w:val="en-US" w:eastAsia="zh-CN"/>
              </w:rPr>
              <w:t>171</w:t>
            </w:r>
            <w:r>
              <w:rPr>
                <w:rFonts w:hint="eastAsia"/>
                <w:color w:val="auto"/>
                <w:kern w:val="0"/>
                <w:szCs w:val="21"/>
              </w:rPr>
              <w:t>t/a、</w:t>
            </w:r>
            <w:r>
              <w:rPr>
                <w:rFonts w:hint="eastAsia"/>
                <w:color w:val="auto"/>
                <w:kern w:val="0"/>
                <w:szCs w:val="21"/>
                <w:lang w:val="en-US" w:eastAsia="zh-CN"/>
              </w:rPr>
              <w:t>乙二醇</w:t>
            </w:r>
            <w:r>
              <w:rPr>
                <w:rFonts w:hint="eastAsia"/>
                <w:color w:val="auto"/>
                <w:kern w:val="0"/>
                <w:szCs w:val="21"/>
              </w:rPr>
              <w:t>0.00</w:t>
            </w:r>
            <w:r>
              <w:rPr>
                <w:rFonts w:hint="eastAsia"/>
                <w:color w:val="auto"/>
                <w:kern w:val="0"/>
                <w:szCs w:val="21"/>
                <w:lang w:val="en-US" w:eastAsia="zh-CN"/>
              </w:rPr>
              <w:t>95</w:t>
            </w:r>
            <w:r>
              <w:rPr>
                <w:rFonts w:hint="eastAsia"/>
                <w:color w:val="auto"/>
                <w:kern w:val="0"/>
                <w:szCs w:val="21"/>
              </w:rPr>
              <w:t>t/a、</w:t>
            </w:r>
            <w:r>
              <w:rPr>
                <w:rFonts w:hint="eastAsia"/>
                <w:color w:val="auto"/>
                <w:kern w:val="0"/>
                <w:szCs w:val="21"/>
                <w:lang w:val="en-US" w:eastAsia="zh-CN"/>
              </w:rPr>
              <w:t>四氯化碳</w:t>
            </w:r>
            <w:r>
              <w:rPr>
                <w:rFonts w:hint="eastAsia"/>
                <w:color w:val="auto"/>
                <w:kern w:val="0"/>
                <w:szCs w:val="21"/>
              </w:rPr>
              <w:t>0.00</w:t>
            </w:r>
            <w:r>
              <w:rPr>
                <w:rFonts w:hint="eastAsia"/>
                <w:color w:val="auto"/>
                <w:kern w:val="0"/>
                <w:szCs w:val="21"/>
                <w:lang w:val="en-US" w:eastAsia="zh-CN"/>
              </w:rPr>
              <w:t>0076</w:t>
            </w:r>
            <w:r>
              <w:rPr>
                <w:rFonts w:hint="eastAsia"/>
                <w:color w:val="auto"/>
                <w:kern w:val="0"/>
                <w:szCs w:val="21"/>
              </w:rPr>
              <w:t>t/a和VOCs0.0</w:t>
            </w:r>
            <w:r>
              <w:rPr>
                <w:rFonts w:hint="eastAsia"/>
                <w:color w:val="auto"/>
                <w:kern w:val="0"/>
                <w:szCs w:val="21"/>
                <w:lang w:val="en-US" w:eastAsia="zh-CN"/>
              </w:rPr>
              <w:t>276</w:t>
            </w:r>
            <w:r>
              <w:rPr>
                <w:rFonts w:hint="eastAsia"/>
                <w:color w:val="auto"/>
                <w:kern w:val="0"/>
                <w:szCs w:val="21"/>
              </w:rPr>
              <w:t>t/a。</w:t>
            </w:r>
          </w:p>
          <w:p w14:paraId="07B2B483">
            <w:pPr>
              <w:adjustRightInd w:val="0"/>
              <w:snapToGrid w:val="0"/>
              <w:spacing w:line="500" w:lineRule="exact"/>
              <w:ind w:firstLine="420" w:firstLineChars="200"/>
              <w:rPr>
                <w:color w:val="auto"/>
                <w:kern w:val="0"/>
                <w:szCs w:val="21"/>
              </w:rPr>
            </w:pPr>
            <w:r>
              <w:rPr>
                <w:rFonts w:hint="eastAsia"/>
                <w:color w:val="auto"/>
                <w:kern w:val="0"/>
                <w:szCs w:val="21"/>
              </w:rPr>
              <w:t>全厂无组织废气排放新增硫酸雾0.0002t/a、</w:t>
            </w:r>
            <w:r>
              <w:rPr>
                <w:rFonts w:hint="eastAsia"/>
                <w:color w:val="auto"/>
                <w:kern w:val="0"/>
                <w:szCs w:val="21"/>
                <w:lang w:val="en-US" w:eastAsia="zh-CN"/>
              </w:rPr>
              <w:t>氮氧化物</w:t>
            </w:r>
            <w:r>
              <w:rPr>
                <w:rFonts w:hint="eastAsia"/>
                <w:color w:val="auto"/>
                <w:kern w:val="0"/>
                <w:szCs w:val="21"/>
              </w:rPr>
              <w:t>0.0001t/a、氨0.00000053t/a、甲醇0.001</w:t>
            </w:r>
            <w:r>
              <w:rPr>
                <w:rFonts w:hint="eastAsia"/>
                <w:color w:val="auto"/>
                <w:kern w:val="0"/>
                <w:szCs w:val="21"/>
                <w:lang w:val="en-US" w:eastAsia="zh-CN"/>
              </w:rPr>
              <w:t>8</w:t>
            </w:r>
            <w:r>
              <w:rPr>
                <w:rFonts w:hint="eastAsia"/>
                <w:color w:val="auto"/>
                <w:kern w:val="0"/>
                <w:szCs w:val="21"/>
              </w:rPr>
              <w:t>t/a、</w:t>
            </w:r>
            <w:r>
              <w:rPr>
                <w:rFonts w:hint="eastAsia"/>
                <w:color w:val="auto"/>
                <w:kern w:val="0"/>
                <w:szCs w:val="21"/>
                <w:lang w:val="en-US" w:eastAsia="zh-CN"/>
              </w:rPr>
              <w:t>乙二醇</w:t>
            </w:r>
            <w:r>
              <w:rPr>
                <w:rFonts w:hint="eastAsia"/>
                <w:color w:val="auto"/>
                <w:kern w:val="0"/>
                <w:szCs w:val="21"/>
              </w:rPr>
              <w:t>0.00</w:t>
            </w:r>
            <w:r>
              <w:rPr>
                <w:rFonts w:hint="eastAsia"/>
                <w:color w:val="auto"/>
                <w:kern w:val="0"/>
                <w:szCs w:val="21"/>
                <w:lang w:val="en-US" w:eastAsia="zh-CN"/>
              </w:rPr>
              <w:t>1</w:t>
            </w:r>
            <w:r>
              <w:rPr>
                <w:rFonts w:hint="eastAsia"/>
                <w:color w:val="auto"/>
                <w:kern w:val="0"/>
                <w:szCs w:val="21"/>
              </w:rPr>
              <w:t>t/a、</w:t>
            </w:r>
            <w:r>
              <w:rPr>
                <w:rFonts w:hint="eastAsia"/>
                <w:color w:val="auto"/>
                <w:kern w:val="0"/>
                <w:szCs w:val="21"/>
                <w:lang w:val="en-US" w:eastAsia="zh-CN"/>
              </w:rPr>
              <w:t>四氯化碳</w:t>
            </w:r>
            <w:r>
              <w:rPr>
                <w:rFonts w:hint="eastAsia"/>
                <w:color w:val="auto"/>
                <w:kern w:val="0"/>
                <w:szCs w:val="21"/>
              </w:rPr>
              <w:t>0.00</w:t>
            </w:r>
            <w:r>
              <w:rPr>
                <w:rFonts w:hint="eastAsia"/>
                <w:color w:val="auto"/>
                <w:kern w:val="0"/>
                <w:szCs w:val="21"/>
                <w:lang w:val="en-US" w:eastAsia="zh-CN"/>
              </w:rPr>
              <w:t>0008</w:t>
            </w:r>
            <w:r>
              <w:rPr>
                <w:rFonts w:hint="eastAsia"/>
                <w:color w:val="auto"/>
                <w:kern w:val="0"/>
                <w:szCs w:val="21"/>
              </w:rPr>
              <w:t>t/a和VOCs0.00</w:t>
            </w:r>
            <w:r>
              <w:rPr>
                <w:rFonts w:hint="eastAsia"/>
                <w:color w:val="auto"/>
                <w:kern w:val="0"/>
                <w:szCs w:val="21"/>
                <w:lang w:val="en-US" w:eastAsia="zh-CN"/>
              </w:rPr>
              <w:t>29</w:t>
            </w:r>
            <w:r>
              <w:rPr>
                <w:rFonts w:hint="eastAsia"/>
                <w:color w:val="auto"/>
                <w:kern w:val="0"/>
                <w:szCs w:val="21"/>
              </w:rPr>
              <w:t>t/a。</w:t>
            </w:r>
          </w:p>
          <w:p w14:paraId="01473A8D">
            <w:pPr>
              <w:adjustRightInd w:val="0"/>
              <w:snapToGrid w:val="0"/>
              <w:spacing w:line="500" w:lineRule="exact"/>
              <w:ind w:firstLine="420" w:firstLineChars="200"/>
              <w:rPr>
                <w:color w:val="auto"/>
                <w:kern w:val="0"/>
                <w:szCs w:val="21"/>
              </w:rPr>
            </w:pPr>
            <w:r>
              <w:rPr>
                <w:rFonts w:hint="eastAsia"/>
                <w:color w:val="auto"/>
                <w:kern w:val="0"/>
                <w:szCs w:val="21"/>
              </w:rPr>
              <w:t>（</w:t>
            </w:r>
            <w:r>
              <w:rPr>
                <w:color w:val="auto"/>
                <w:kern w:val="0"/>
                <w:szCs w:val="21"/>
              </w:rPr>
              <w:t>2</w:t>
            </w:r>
            <w:r>
              <w:rPr>
                <w:rFonts w:hint="eastAsia"/>
                <w:color w:val="auto"/>
                <w:kern w:val="0"/>
                <w:szCs w:val="21"/>
              </w:rPr>
              <w:t>）水污染物</w:t>
            </w:r>
          </w:p>
          <w:p w14:paraId="249DEF18">
            <w:pPr>
              <w:adjustRightInd w:val="0"/>
              <w:snapToGrid w:val="0"/>
              <w:spacing w:line="500" w:lineRule="exact"/>
              <w:ind w:firstLine="420" w:firstLineChars="200"/>
              <w:rPr>
                <w:color w:val="auto"/>
                <w:kern w:val="0"/>
                <w:szCs w:val="21"/>
              </w:rPr>
            </w:pPr>
            <w:r>
              <w:rPr>
                <w:rFonts w:hint="eastAsia"/>
                <w:color w:val="auto"/>
                <w:kern w:val="0"/>
                <w:szCs w:val="21"/>
              </w:rPr>
              <w:t>全厂</w:t>
            </w:r>
            <w:r>
              <w:rPr>
                <w:rFonts w:hint="eastAsia"/>
                <w:color w:val="auto"/>
                <w:kern w:val="0"/>
                <w:szCs w:val="21"/>
                <w:lang w:val="en-US" w:eastAsia="zh-CN"/>
              </w:rPr>
              <w:t>不</w:t>
            </w:r>
            <w:r>
              <w:rPr>
                <w:rFonts w:hint="eastAsia"/>
                <w:color w:val="auto"/>
                <w:kern w:val="0"/>
                <w:szCs w:val="21"/>
              </w:rPr>
              <w:t>新增废水接管量</w:t>
            </w:r>
            <w:r>
              <w:rPr>
                <w:rFonts w:hint="eastAsia"/>
                <w:color w:val="auto"/>
                <w:kern w:val="0"/>
                <w:szCs w:val="21"/>
                <w:lang w:eastAsia="zh-CN"/>
              </w:rPr>
              <w:t>、</w:t>
            </w:r>
            <w:r>
              <w:rPr>
                <w:rFonts w:hint="eastAsia"/>
                <w:color w:val="auto"/>
                <w:kern w:val="0"/>
                <w:szCs w:val="21"/>
                <w:lang w:val="en-US" w:eastAsia="zh-CN"/>
              </w:rPr>
              <w:t>外排量。</w:t>
            </w:r>
          </w:p>
          <w:p w14:paraId="59EA2437">
            <w:pPr>
              <w:adjustRightInd w:val="0"/>
              <w:snapToGrid w:val="0"/>
              <w:spacing w:line="500" w:lineRule="exact"/>
              <w:ind w:firstLine="420" w:firstLineChars="200"/>
              <w:rPr>
                <w:color w:val="auto"/>
                <w:kern w:val="0"/>
                <w:szCs w:val="21"/>
              </w:rPr>
            </w:pPr>
            <w:r>
              <w:rPr>
                <w:rFonts w:hint="eastAsia"/>
                <w:color w:val="auto"/>
                <w:kern w:val="0"/>
                <w:szCs w:val="21"/>
              </w:rPr>
              <w:t>（</w:t>
            </w:r>
            <w:r>
              <w:rPr>
                <w:color w:val="auto"/>
                <w:kern w:val="0"/>
                <w:szCs w:val="21"/>
              </w:rPr>
              <w:t>3</w:t>
            </w:r>
            <w:r>
              <w:rPr>
                <w:rFonts w:hint="eastAsia"/>
                <w:color w:val="auto"/>
                <w:kern w:val="0"/>
                <w:szCs w:val="21"/>
              </w:rPr>
              <w:t>）固体废物</w:t>
            </w:r>
          </w:p>
          <w:p w14:paraId="067C35AD">
            <w:pPr>
              <w:adjustRightInd w:val="0"/>
              <w:snapToGrid w:val="0"/>
              <w:spacing w:line="500" w:lineRule="exact"/>
              <w:ind w:firstLine="420" w:firstLineChars="200"/>
              <w:rPr>
                <w:color w:val="auto"/>
                <w:kern w:val="0"/>
                <w:szCs w:val="21"/>
              </w:rPr>
            </w:pPr>
            <w:r>
              <w:rPr>
                <w:rFonts w:hint="eastAsia"/>
                <w:color w:val="auto"/>
                <w:kern w:val="0"/>
                <w:szCs w:val="21"/>
              </w:rPr>
              <w:t>本项目固体废物均能得到妥善处置，实现“零排放”。</w:t>
            </w:r>
          </w:p>
        </w:tc>
      </w:tr>
    </w:tbl>
    <w:p w14:paraId="0A87D351">
      <w:pPr>
        <w:pStyle w:val="18"/>
        <w:rPr>
          <w:snapToGrid w:val="0"/>
          <w:color w:val="auto"/>
        </w:rPr>
        <w:sectPr>
          <w:type w:val="nextColumn"/>
          <w:pgSz w:w="16840" w:h="11907" w:orient="landscape"/>
          <w:pgMar w:top="1418" w:right="1418" w:bottom="1418" w:left="1418" w:header="851" w:footer="851" w:gutter="0"/>
          <w:cols w:space="720" w:num="1"/>
          <w:docGrid w:linePitch="312" w:charSpace="0"/>
        </w:sectPr>
      </w:pPr>
    </w:p>
    <w:p w14:paraId="17C28E50">
      <w:pPr>
        <w:pStyle w:val="18"/>
        <w:rPr>
          <w:snapToGrid w:val="0"/>
          <w:color w:val="auto"/>
        </w:rPr>
      </w:pPr>
      <w:bookmarkStart w:id="16" w:name="_Toc156751475"/>
      <w:r>
        <w:rPr>
          <w:snapToGrid w:val="0"/>
          <w:color w:val="auto"/>
        </w:rPr>
        <w:t>四、主要环境影响和保护措施</w:t>
      </w:r>
      <w:bookmarkEnd w:id="16"/>
    </w:p>
    <w:tbl>
      <w:tblPr>
        <w:tblStyle w:val="21"/>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266"/>
        <w:gridCol w:w="8785"/>
      </w:tblGrid>
      <w:tr w14:paraId="197FFCB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3" w:type="pct"/>
            <w:tcMar>
              <w:left w:w="28" w:type="dxa"/>
              <w:right w:w="28" w:type="dxa"/>
            </w:tcMar>
            <w:vAlign w:val="center"/>
          </w:tcPr>
          <w:p w14:paraId="1DDA5C45">
            <w:pPr>
              <w:pStyle w:val="18"/>
              <w:rPr>
                <w:bCs/>
                <w:color w:val="auto"/>
              </w:rPr>
            </w:pPr>
            <w:r>
              <w:rPr>
                <w:color w:val="auto"/>
                <w:sz w:val="21"/>
                <w:szCs w:val="16"/>
              </w:rPr>
              <w:t>施工期环境保护措施</w:t>
            </w:r>
          </w:p>
        </w:tc>
        <w:tc>
          <w:tcPr>
            <w:tcW w:w="4907" w:type="pct"/>
            <w:vAlign w:val="center"/>
          </w:tcPr>
          <w:p w14:paraId="5D12884C">
            <w:pPr>
              <w:spacing w:line="500" w:lineRule="exact"/>
              <w:ind w:firstLine="420" w:firstLineChars="200"/>
              <w:rPr>
                <w:bCs/>
                <w:color w:val="auto"/>
                <w:szCs w:val="21"/>
              </w:rPr>
            </w:pPr>
            <w:r>
              <w:rPr>
                <w:rFonts w:hint="eastAsia"/>
                <w:bCs/>
                <w:color w:val="auto"/>
                <w:szCs w:val="21"/>
              </w:rPr>
              <w:t>本项目建成后，现有实验室不涉及拆除，因此</w:t>
            </w:r>
            <w:r>
              <w:rPr>
                <w:bCs/>
                <w:color w:val="auto"/>
                <w:szCs w:val="21"/>
              </w:rPr>
              <w:t>本项目施工期主要内容为</w:t>
            </w:r>
            <w:r>
              <w:rPr>
                <w:rFonts w:hint="eastAsia"/>
                <w:bCs/>
                <w:color w:val="auto"/>
                <w:szCs w:val="21"/>
                <w:lang w:val="en-US" w:eastAsia="zh-CN"/>
              </w:rPr>
              <w:t>设备搬迁、安装</w:t>
            </w:r>
            <w:r>
              <w:rPr>
                <w:bCs/>
                <w:color w:val="auto"/>
                <w:szCs w:val="21"/>
              </w:rPr>
              <w:t>，主要污染物为施工噪声、扬尘和施工机械尾气、施工废水和施工生活污水。</w:t>
            </w:r>
          </w:p>
          <w:p w14:paraId="2B03C585">
            <w:pPr>
              <w:spacing w:line="500" w:lineRule="exact"/>
              <w:ind w:firstLine="422" w:firstLineChars="200"/>
              <w:rPr>
                <w:b/>
                <w:bCs/>
                <w:color w:val="auto"/>
                <w:szCs w:val="21"/>
              </w:rPr>
            </w:pPr>
            <w:r>
              <w:rPr>
                <w:b/>
                <w:bCs/>
                <w:color w:val="auto"/>
                <w:szCs w:val="21"/>
              </w:rPr>
              <w:t>1.大气环境影响分析</w:t>
            </w:r>
          </w:p>
          <w:p w14:paraId="4ABD4719">
            <w:pPr>
              <w:spacing w:line="500" w:lineRule="exact"/>
              <w:ind w:firstLine="420" w:firstLineChars="200"/>
              <w:rPr>
                <w:bCs/>
                <w:color w:val="auto"/>
                <w:szCs w:val="21"/>
              </w:rPr>
            </w:pPr>
            <w:r>
              <w:rPr>
                <w:bCs/>
                <w:color w:val="auto"/>
                <w:szCs w:val="21"/>
              </w:rPr>
              <w:t>施工作业场地近地面粉尘浓度可达1.5～30mg/m</w:t>
            </w:r>
            <w:r>
              <w:rPr>
                <w:bCs/>
                <w:color w:val="auto"/>
                <w:szCs w:val="21"/>
                <w:vertAlign w:val="superscript"/>
              </w:rPr>
              <w:t>3</w:t>
            </w:r>
            <w:r>
              <w:rPr>
                <w:bCs/>
                <w:color w:val="auto"/>
                <w:szCs w:val="21"/>
              </w:rPr>
              <w:t>，装饰工程使用涂料和油漆，有少量的有机废气挥发，施工机械和交通运输车辆排放的废气中含NO</w:t>
            </w:r>
            <w:r>
              <w:rPr>
                <w:bCs/>
                <w:color w:val="auto"/>
                <w:szCs w:val="21"/>
                <w:vertAlign w:val="subscript"/>
              </w:rPr>
              <w:t>2</w:t>
            </w:r>
            <w:r>
              <w:rPr>
                <w:bCs/>
                <w:color w:val="auto"/>
                <w:szCs w:val="21"/>
              </w:rPr>
              <w:t>、CO和烃类物等，均为无组织排放。因而施工现场应采用科学管理，</w:t>
            </w:r>
            <w:r>
              <w:rPr>
                <w:rFonts w:hint="eastAsia" w:ascii="宋体" w:hAnsi="宋体" w:cs="宋体"/>
                <w:bCs/>
                <w:color w:val="auto"/>
                <w:szCs w:val="21"/>
              </w:rPr>
              <w:t>①</w:t>
            </w:r>
            <w:r>
              <w:rPr>
                <w:bCs/>
                <w:color w:val="auto"/>
                <w:szCs w:val="21"/>
              </w:rPr>
              <w:t>建筑材料堆放应做到整齐有序，对易产生扬尘的污染源，应采取覆盖、洒水、封闭等有效的控制措施；</w:t>
            </w:r>
            <w:r>
              <w:rPr>
                <w:rFonts w:hint="eastAsia" w:ascii="宋体" w:hAnsi="宋体" w:cs="宋体"/>
                <w:bCs/>
                <w:color w:val="auto"/>
                <w:szCs w:val="21"/>
              </w:rPr>
              <w:t>②</w:t>
            </w:r>
            <w:r>
              <w:rPr>
                <w:bCs/>
                <w:color w:val="auto"/>
                <w:szCs w:val="21"/>
              </w:rPr>
              <w:t>土堆、易产生扬尘料堆必须进行遮盖或喷洒防尘；</w:t>
            </w:r>
            <w:r>
              <w:rPr>
                <w:rFonts w:hint="eastAsia" w:ascii="宋体" w:hAnsi="宋体" w:cs="宋体"/>
                <w:bCs/>
                <w:color w:val="auto"/>
                <w:szCs w:val="21"/>
              </w:rPr>
              <w:t>③</w:t>
            </w:r>
            <w:r>
              <w:rPr>
                <w:bCs/>
                <w:color w:val="auto"/>
                <w:szCs w:val="21"/>
              </w:rPr>
              <w:t>车辆不带泥沙出现场，可在工地门口铺一段石子，定期过滤清理，定期洒水清扫，基本做到不洒土、不扬尘，减少对周围环境的影响；</w:t>
            </w:r>
            <w:r>
              <w:rPr>
                <w:rFonts w:hint="eastAsia" w:ascii="宋体" w:hAnsi="宋体" w:cs="宋体"/>
                <w:bCs/>
                <w:color w:val="auto"/>
                <w:szCs w:val="21"/>
              </w:rPr>
              <w:t>④</w:t>
            </w:r>
            <w:r>
              <w:rPr>
                <w:bCs/>
                <w:color w:val="auto"/>
                <w:szCs w:val="21"/>
              </w:rPr>
              <w:t>施工方应严格执行</w:t>
            </w:r>
            <w:r>
              <w:rPr>
                <w:rFonts w:hint="eastAsia"/>
                <w:bCs/>
                <w:color w:val="auto"/>
                <w:szCs w:val="21"/>
              </w:rPr>
              <w:t>原</w:t>
            </w:r>
            <w:r>
              <w:rPr>
                <w:bCs/>
                <w:color w:val="auto"/>
                <w:szCs w:val="21"/>
              </w:rPr>
              <w:t>国家环保总局、建设部《关于有效控制城市扬尘污染的通知》精神，强化措施，确保建设工程扬尘污染防治专项整治工作取得实效；</w:t>
            </w:r>
            <w:r>
              <w:rPr>
                <w:rFonts w:hint="eastAsia" w:ascii="宋体" w:hAnsi="宋体" w:cs="宋体"/>
                <w:bCs/>
                <w:color w:val="auto"/>
                <w:szCs w:val="21"/>
              </w:rPr>
              <w:t>⑤</w:t>
            </w:r>
            <w:r>
              <w:rPr>
                <w:bCs/>
                <w:color w:val="auto"/>
                <w:szCs w:val="21"/>
              </w:rPr>
              <w:t>选用耗油低的施工机械和符合《清洗剂挥发性有机物含量限制》（GB 38508-2020）、《油墨中可挥发性有机化合物含量的限值》（GB 38507-2020）、《胶黏剂挥发性有机物含量限制》（GB/T33372-2016）、《工业防护涂料中有害物质限量》（GB 30971-2020）的环保型涂料等措施，降低大气污染物的产生量。因施工期较短，且施工结束上述污染现象即消除，因而施工期的大气影响是短暂的。</w:t>
            </w:r>
          </w:p>
          <w:p w14:paraId="5A5D645F">
            <w:pPr>
              <w:spacing w:line="500" w:lineRule="exact"/>
              <w:ind w:firstLine="422" w:firstLineChars="200"/>
              <w:rPr>
                <w:b/>
                <w:bCs/>
                <w:color w:val="auto"/>
                <w:szCs w:val="21"/>
              </w:rPr>
            </w:pPr>
            <w:r>
              <w:rPr>
                <w:b/>
                <w:bCs/>
                <w:color w:val="auto"/>
                <w:szCs w:val="21"/>
              </w:rPr>
              <w:t>2.水环境影响分析</w:t>
            </w:r>
          </w:p>
          <w:p w14:paraId="4BE065A1">
            <w:pPr>
              <w:spacing w:line="500" w:lineRule="exact"/>
              <w:ind w:firstLine="420" w:firstLineChars="200"/>
              <w:rPr>
                <w:bCs/>
                <w:color w:val="auto"/>
                <w:szCs w:val="21"/>
              </w:rPr>
            </w:pPr>
            <w:r>
              <w:rPr>
                <w:bCs/>
                <w:color w:val="auto"/>
                <w:szCs w:val="21"/>
              </w:rPr>
              <w:t>施工期废水主要为施工人员生活污水，</w:t>
            </w:r>
            <w:r>
              <w:rPr>
                <w:rFonts w:hint="eastAsia"/>
                <w:bCs/>
                <w:color w:val="auto"/>
                <w:szCs w:val="21"/>
              </w:rPr>
              <w:t>施工期生活污水经化粪池后，通过厂区污水排口DW001排至接入连云港石化基地工业废水综合治理中心处理（责任主体为江苏方洋水务有限公司）常规线污水处理区，处理后送至连云港石化基地工业废水综合治理中心再生水处理区（一期）污水再生水处理线处理后70%回用，剩余30%浓水进入连云港石化基地工业废水综合治理中心RO浓水处理区（一期）污水RO浓水处理线处理满足要求后，通过徐圩新区达标尾水排海工程深海排放，不会对区域水环境产生较大影响。</w:t>
            </w:r>
          </w:p>
          <w:p w14:paraId="7AA7B883">
            <w:pPr>
              <w:spacing w:line="500" w:lineRule="exact"/>
              <w:ind w:firstLine="422" w:firstLineChars="200"/>
              <w:rPr>
                <w:b/>
                <w:bCs/>
                <w:color w:val="auto"/>
                <w:szCs w:val="21"/>
              </w:rPr>
            </w:pPr>
            <w:r>
              <w:rPr>
                <w:b/>
                <w:bCs/>
                <w:color w:val="auto"/>
                <w:szCs w:val="21"/>
              </w:rPr>
              <w:t>3.声环境影响分析</w:t>
            </w:r>
          </w:p>
          <w:p w14:paraId="0F5E706E">
            <w:pPr>
              <w:spacing w:line="500" w:lineRule="exact"/>
              <w:ind w:firstLine="420" w:firstLineChars="200"/>
              <w:rPr>
                <w:bCs/>
                <w:color w:val="auto"/>
                <w:szCs w:val="21"/>
              </w:rPr>
            </w:pPr>
            <w:r>
              <w:rPr>
                <w:rFonts w:hint="eastAsia"/>
                <w:bCs/>
                <w:color w:val="auto"/>
                <w:szCs w:val="21"/>
              </w:rPr>
              <w:t>本</w:t>
            </w:r>
            <w:r>
              <w:rPr>
                <w:bCs/>
                <w:color w:val="auto"/>
                <w:szCs w:val="21"/>
              </w:rPr>
              <w:t>项目建设期主要噪声来源是各类施工机械设备噪声。施工噪声具有阶段性、临时性和不固定性。施工噪声对该地块周边地区的影响较大，项目周界平均声级会超标，夜间影响更为明显。因此，在不同施工阶段，应按</w:t>
            </w:r>
            <w:r>
              <w:rPr>
                <w:rFonts w:hint="eastAsia"/>
                <w:bCs/>
                <w:color w:val="auto"/>
                <w:szCs w:val="21"/>
              </w:rPr>
              <w:t>《建筑施工噪声排放标准》（GB 12523-2025）</w:t>
            </w:r>
            <w:r>
              <w:rPr>
                <w:bCs/>
                <w:color w:val="auto"/>
                <w:szCs w:val="21"/>
              </w:rPr>
              <w:t>对施工场界进行噪声控制，采取严格降噪措施，具体措施如下：</w:t>
            </w:r>
          </w:p>
          <w:p w14:paraId="350BE2BC">
            <w:pPr>
              <w:spacing w:line="500" w:lineRule="exact"/>
              <w:ind w:firstLine="420" w:firstLineChars="200"/>
              <w:rPr>
                <w:bCs/>
                <w:color w:val="auto"/>
                <w:szCs w:val="21"/>
              </w:rPr>
            </w:pPr>
            <w:r>
              <w:rPr>
                <w:bCs/>
                <w:color w:val="auto"/>
                <w:szCs w:val="21"/>
              </w:rPr>
              <w:t>（1）平整场地时要求昼间作业，减少推土机、装载机等噪声对周围环境的影响；</w:t>
            </w:r>
          </w:p>
          <w:p w14:paraId="240617AC">
            <w:pPr>
              <w:spacing w:line="500" w:lineRule="exact"/>
              <w:ind w:firstLine="420" w:firstLineChars="200"/>
              <w:rPr>
                <w:bCs/>
                <w:color w:val="auto"/>
                <w:szCs w:val="21"/>
              </w:rPr>
            </w:pPr>
            <w:r>
              <w:rPr>
                <w:bCs/>
                <w:color w:val="auto"/>
                <w:szCs w:val="21"/>
              </w:rPr>
              <w:t>（2）选用低噪声施工机械设备，定人定机，及时保养，严格按操作规程使用；</w:t>
            </w:r>
          </w:p>
          <w:p w14:paraId="18C6DF01">
            <w:pPr>
              <w:spacing w:line="500" w:lineRule="exact"/>
              <w:ind w:firstLine="420" w:firstLineChars="200"/>
              <w:rPr>
                <w:bCs/>
                <w:color w:val="auto"/>
                <w:szCs w:val="21"/>
              </w:rPr>
            </w:pPr>
            <w:r>
              <w:rPr>
                <w:bCs/>
                <w:color w:val="auto"/>
                <w:szCs w:val="21"/>
              </w:rPr>
              <w:t>（3）在结构和装修阶段，对建筑物外部采用围挡，减轻施工噪声对外环境的影响；</w:t>
            </w:r>
          </w:p>
          <w:p w14:paraId="2065E1B6">
            <w:pPr>
              <w:spacing w:line="500" w:lineRule="exact"/>
              <w:ind w:firstLine="420" w:firstLineChars="200"/>
              <w:rPr>
                <w:bCs/>
                <w:color w:val="auto"/>
                <w:szCs w:val="21"/>
              </w:rPr>
            </w:pPr>
            <w:r>
              <w:rPr>
                <w:bCs/>
                <w:color w:val="auto"/>
                <w:szCs w:val="21"/>
              </w:rPr>
              <w:t>（4）要求施工单位严格遵守</w:t>
            </w:r>
            <w:r>
              <w:rPr>
                <w:rFonts w:hint="eastAsia"/>
                <w:bCs/>
                <w:color w:val="auto"/>
                <w:szCs w:val="21"/>
              </w:rPr>
              <w:t>生态环境</w:t>
            </w:r>
            <w:r>
              <w:rPr>
                <w:bCs/>
                <w:color w:val="auto"/>
                <w:szCs w:val="21"/>
              </w:rPr>
              <w:t>部门规定，合理安排施工时间。除现浇工程必须外，尽量避免在12:00～14:00和22:00～6:00期间施工；</w:t>
            </w:r>
          </w:p>
          <w:p w14:paraId="7F90CD5E">
            <w:pPr>
              <w:spacing w:line="500" w:lineRule="exact"/>
              <w:ind w:firstLine="420" w:firstLineChars="200"/>
              <w:rPr>
                <w:bCs/>
                <w:color w:val="auto"/>
                <w:szCs w:val="21"/>
              </w:rPr>
            </w:pPr>
            <w:r>
              <w:rPr>
                <w:bCs/>
                <w:color w:val="auto"/>
                <w:szCs w:val="21"/>
              </w:rPr>
              <w:t>（5）加强对运输车辆的管理，尽量压缩供需汽车数量和行车密度，控制汽车鸣笛；</w:t>
            </w:r>
          </w:p>
          <w:p w14:paraId="71238F93">
            <w:pPr>
              <w:spacing w:line="500" w:lineRule="exact"/>
              <w:ind w:firstLine="420" w:firstLineChars="200"/>
              <w:rPr>
                <w:bCs/>
                <w:color w:val="auto"/>
                <w:szCs w:val="21"/>
              </w:rPr>
            </w:pPr>
            <w:r>
              <w:rPr>
                <w:bCs/>
                <w:color w:val="auto"/>
                <w:szCs w:val="21"/>
              </w:rPr>
              <w:t>（6）必须遵照</w:t>
            </w:r>
            <w:r>
              <w:rPr>
                <w:rFonts w:hint="eastAsia"/>
                <w:bCs/>
                <w:color w:val="auto"/>
                <w:szCs w:val="21"/>
              </w:rPr>
              <w:t>有关</w:t>
            </w:r>
            <w:r>
              <w:rPr>
                <w:bCs/>
                <w:color w:val="auto"/>
                <w:szCs w:val="21"/>
              </w:rPr>
              <w:t>规定，服从环保有关部门的监督。由于本项目工程量小，施工历时较短，通过采取以上有效的噪声控制措施后，施工期噪声对周边环境影响较小。</w:t>
            </w:r>
          </w:p>
          <w:p w14:paraId="7C47E120">
            <w:pPr>
              <w:spacing w:line="500" w:lineRule="exact"/>
              <w:ind w:firstLine="422" w:firstLineChars="200"/>
              <w:rPr>
                <w:b/>
                <w:bCs/>
                <w:color w:val="auto"/>
                <w:szCs w:val="21"/>
              </w:rPr>
            </w:pPr>
            <w:r>
              <w:rPr>
                <w:b/>
                <w:bCs/>
                <w:color w:val="auto"/>
                <w:szCs w:val="21"/>
              </w:rPr>
              <w:t>4.固体废物影响分析</w:t>
            </w:r>
          </w:p>
          <w:p w14:paraId="6C948A06">
            <w:pPr>
              <w:adjustRightInd w:val="0"/>
              <w:snapToGrid w:val="0"/>
              <w:spacing w:line="500" w:lineRule="exact"/>
              <w:ind w:firstLine="420" w:firstLineChars="200"/>
              <w:rPr>
                <w:bCs/>
                <w:color w:val="auto"/>
                <w:kern w:val="0"/>
                <w:szCs w:val="21"/>
              </w:rPr>
            </w:pPr>
            <w:r>
              <w:rPr>
                <w:rFonts w:hint="eastAsia"/>
                <w:bCs/>
                <w:color w:val="auto"/>
                <w:kern w:val="0"/>
                <w:szCs w:val="21"/>
              </w:rPr>
              <w:t>施工期固废主要来自施工时产生的建筑垃圾以及施工人员产生的生活垃圾。施工过程中建筑垃圾要及时清运、加以利用，防止其因长期堆放而产生扬尘；生活垃圾由环卫部门统一处理。</w:t>
            </w:r>
            <w:r>
              <w:rPr>
                <w:bCs/>
                <w:color w:val="auto"/>
                <w:kern w:val="0"/>
                <w:szCs w:val="21"/>
              </w:rPr>
              <w:t>综上所述，</w:t>
            </w:r>
            <w:r>
              <w:rPr>
                <w:rFonts w:hint="eastAsia"/>
                <w:bCs/>
                <w:color w:val="auto"/>
                <w:kern w:val="0"/>
                <w:szCs w:val="21"/>
              </w:rPr>
              <w:t>本</w:t>
            </w:r>
            <w:r>
              <w:rPr>
                <w:bCs/>
                <w:color w:val="auto"/>
                <w:kern w:val="0"/>
                <w:szCs w:val="21"/>
              </w:rPr>
              <w:t>项目施工期产生的固废均可得到妥善处理，对环境影响较小。</w:t>
            </w:r>
          </w:p>
        </w:tc>
      </w:tr>
    </w:tbl>
    <w:p w14:paraId="5E0DFD86">
      <w:pPr>
        <w:adjustRightInd w:val="0"/>
        <w:snapToGrid w:val="0"/>
        <w:spacing w:line="360" w:lineRule="auto"/>
        <w:ind w:firstLine="562"/>
        <w:rPr>
          <w:b/>
          <w:color w:val="auto"/>
          <w:kern w:val="0"/>
          <w:sz w:val="28"/>
          <w:szCs w:val="28"/>
        </w:rPr>
        <w:sectPr>
          <w:type w:val="nextColumn"/>
          <w:pgSz w:w="11907" w:h="16840"/>
          <w:pgMar w:top="1418" w:right="1418" w:bottom="1418" w:left="1418" w:header="851" w:footer="851" w:gutter="0"/>
          <w:cols w:space="720" w:num="1"/>
          <w:docGrid w:linePitch="312" w:charSpace="0"/>
        </w:sectPr>
      </w:pPr>
    </w:p>
    <w:tbl>
      <w:tblPr>
        <w:tblStyle w:val="21"/>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266"/>
        <w:gridCol w:w="8785"/>
      </w:tblGrid>
      <w:tr w14:paraId="4A31F8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10" w:hRule="atLeast"/>
          <w:jc w:val="center"/>
        </w:trPr>
        <w:tc>
          <w:tcPr>
            <w:tcW w:w="93" w:type="pct"/>
            <w:tcMar>
              <w:left w:w="28" w:type="dxa"/>
              <w:right w:w="28" w:type="dxa"/>
            </w:tcMar>
            <w:vAlign w:val="center"/>
          </w:tcPr>
          <w:p w14:paraId="59C3D4BF">
            <w:pPr>
              <w:adjustRightInd w:val="0"/>
              <w:snapToGrid w:val="0"/>
              <w:jc w:val="center"/>
              <w:rPr>
                <w:bCs/>
                <w:color w:val="auto"/>
                <w:szCs w:val="21"/>
              </w:rPr>
            </w:pPr>
            <w:r>
              <w:rPr>
                <w:bCs/>
                <w:color w:val="auto"/>
                <w:szCs w:val="21"/>
              </w:rPr>
              <w:t>运营期环境影响和保护措施</w:t>
            </w:r>
          </w:p>
        </w:tc>
        <w:tc>
          <w:tcPr>
            <w:tcW w:w="4907" w:type="pct"/>
          </w:tcPr>
          <w:p w14:paraId="48C57FC6">
            <w:pPr>
              <w:adjustRightInd w:val="0"/>
              <w:snapToGrid w:val="0"/>
              <w:spacing w:line="500" w:lineRule="exact"/>
              <w:ind w:firstLine="422" w:firstLineChars="200"/>
              <w:rPr>
                <w:b/>
                <w:color w:val="auto"/>
                <w:szCs w:val="21"/>
              </w:rPr>
            </w:pPr>
            <w:r>
              <w:rPr>
                <w:b/>
                <w:color w:val="auto"/>
                <w:szCs w:val="21"/>
              </w:rPr>
              <w:t>1、废气</w:t>
            </w:r>
          </w:p>
          <w:p w14:paraId="5BC3A758">
            <w:pPr>
              <w:adjustRightInd w:val="0"/>
              <w:snapToGrid w:val="0"/>
              <w:spacing w:line="500" w:lineRule="exact"/>
              <w:ind w:firstLine="422" w:firstLineChars="200"/>
              <w:rPr>
                <w:b/>
                <w:color w:val="auto"/>
                <w:szCs w:val="21"/>
              </w:rPr>
            </w:pPr>
            <w:r>
              <w:rPr>
                <w:rFonts w:hint="eastAsia"/>
                <w:b/>
                <w:color w:val="auto"/>
                <w:szCs w:val="21"/>
              </w:rPr>
              <w:t>（1）废气污染物排放源强</w:t>
            </w:r>
          </w:p>
          <w:p w14:paraId="7BF7C1B1">
            <w:pPr>
              <w:spacing w:line="500" w:lineRule="exact"/>
              <w:ind w:firstLine="420" w:firstLineChars="200"/>
              <w:rPr>
                <w:color w:val="auto"/>
                <w:szCs w:val="21"/>
              </w:rPr>
            </w:pPr>
            <w:r>
              <w:rPr>
                <w:rFonts w:hint="eastAsia"/>
                <w:color w:val="auto"/>
                <w:szCs w:val="21"/>
              </w:rPr>
              <w:t>本项目废气主要为化验室分析检测过程产生的分析检测废气G</w:t>
            </w:r>
            <w:r>
              <w:rPr>
                <w:color w:val="auto"/>
                <w:szCs w:val="21"/>
              </w:rPr>
              <w:t>1</w:t>
            </w:r>
            <w:r>
              <w:rPr>
                <w:rFonts w:hint="eastAsia"/>
                <w:color w:val="auto"/>
                <w:szCs w:val="21"/>
              </w:rPr>
              <w:t>，分析检测过程均在实验室内进行操作，其中涉及挥发性试验药剂的使用在通风橱内进行。本项目</w:t>
            </w:r>
            <w:r>
              <w:rPr>
                <w:rFonts w:hint="eastAsia"/>
                <w:color w:val="auto"/>
                <w:szCs w:val="21"/>
                <w:lang w:val="en-US" w:eastAsia="zh-CN"/>
              </w:rPr>
              <w:t>实验</w:t>
            </w:r>
            <w:r>
              <w:rPr>
                <w:rFonts w:hint="eastAsia"/>
                <w:color w:val="auto"/>
                <w:szCs w:val="21"/>
              </w:rPr>
              <w:t>室废气均采用通风柜、集气罩收集。</w:t>
            </w:r>
          </w:p>
          <w:p w14:paraId="148E7BC0">
            <w:pPr>
              <w:spacing w:line="500" w:lineRule="exact"/>
              <w:ind w:firstLine="420" w:firstLineChars="200"/>
              <w:rPr>
                <w:color w:val="auto"/>
                <w:szCs w:val="21"/>
              </w:rPr>
            </w:pPr>
            <w:r>
              <w:rPr>
                <w:rFonts w:hint="eastAsia"/>
                <w:color w:val="auto"/>
                <w:szCs w:val="21"/>
              </w:rPr>
              <w:t>本项目运营期废气主要为</w:t>
            </w:r>
            <w:r>
              <w:rPr>
                <w:rFonts w:hint="eastAsia"/>
                <w:color w:val="auto"/>
                <w:szCs w:val="21"/>
                <w:lang w:val="en-US" w:eastAsia="zh-CN"/>
              </w:rPr>
              <w:t>实验</w:t>
            </w:r>
            <w:r>
              <w:rPr>
                <w:rFonts w:hint="eastAsia"/>
                <w:color w:val="auto"/>
                <w:szCs w:val="21"/>
              </w:rPr>
              <w:t>室废气。项目化验过程中涉及有机物、酸、氨水、氨氦气等挥发性化学物质的操作，为间断性操作，每次操作时间具有不确定性，此类操作均在超净工作台内进行，通过通风柜、集气罩收集后（收</w:t>
            </w:r>
            <w:r>
              <w:rPr>
                <w:rFonts w:hint="eastAsia"/>
                <w:color w:val="auto"/>
                <w:szCs w:val="21"/>
                <w:highlight w:val="none"/>
              </w:rPr>
              <w:t>集效率9</w:t>
            </w:r>
            <w:r>
              <w:rPr>
                <w:color w:val="auto"/>
                <w:szCs w:val="21"/>
                <w:highlight w:val="none"/>
              </w:rPr>
              <w:t>5</w:t>
            </w:r>
            <w:r>
              <w:rPr>
                <w:rFonts w:hint="eastAsia"/>
                <w:color w:val="auto"/>
                <w:szCs w:val="21"/>
                <w:highlight w:val="none"/>
              </w:rPr>
              <w:t>%），</w:t>
            </w:r>
            <w:r>
              <w:rPr>
                <w:rFonts w:hint="eastAsia"/>
                <w:color w:val="auto"/>
                <w:szCs w:val="21"/>
              </w:rPr>
              <w:t>采</w:t>
            </w:r>
            <w:r>
              <w:rPr>
                <w:rFonts w:hint="eastAsia"/>
                <w:color w:val="auto"/>
                <w:szCs w:val="21"/>
                <w:highlight w:val="none"/>
              </w:rPr>
              <w:t>用</w:t>
            </w:r>
            <w:r>
              <w:rPr>
                <w:rFonts w:hint="eastAsia"/>
                <w:color w:val="auto"/>
                <w:szCs w:val="21"/>
                <w:highlight w:val="none"/>
                <w:lang w:val="en-US" w:eastAsia="zh-CN"/>
              </w:rPr>
              <w:t>SDG吸附</w:t>
            </w:r>
            <w:r>
              <w:rPr>
                <w:rFonts w:hint="eastAsia"/>
                <w:color w:val="auto"/>
                <w:szCs w:val="21"/>
                <w:highlight w:val="none"/>
              </w:rPr>
              <w:t>+活性炭吸附装置处理，最后经</w:t>
            </w:r>
            <w:r>
              <w:rPr>
                <w:color w:val="auto"/>
                <w:szCs w:val="21"/>
                <w:highlight w:val="none"/>
              </w:rPr>
              <w:t>1</w:t>
            </w:r>
            <w:r>
              <w:rPr>
                <w:rFonts w:hint="eastAsia"/>
                <w:color w:val="auto"/>
                <w:szCs w:val="21"/>
                <w:highlight w:val="none"/>
              </w:rPr>
              <w:t>5m高排气筒</w:t>
            </w:r>
            <w:r>
              <w:rPr>
                <w:rFonts w:hint="eastAsia"/>
                <w:color w:val="auto"/>
                <w:szCs w:val="21"/>
                <w:highlight w:val="none"/>
                <w:lang w:eastAsia="zh-CN"/>
              </w:rPr>
              <w:t>（</w:t>
            </w:r>
            <w:r>
              <w:rPr>
                <w:rFonts w:hint="eastAsia"/>
                <w:color w:val="auto"/>
                <w:szCs w:val="21"/>
                <w:highlight w:val="none"/>
              </w:rPr>
              <w:t>DA</w:t>
            </w:r>
            <w:r>
              <w:rPr>
                <w:color w:val="auto"/>
                <w:szCs w:val="21"/>
                <w:highlight w:val="none"/>
              </w:rPr>
              <w:t>00</w:t>
            </w:r>
            <w:r>
              <w:rPr>
                <w:rFonts w:hint="eastAsia"/>
                <w:color w:val="auto"/>
                <w:szCs w:val="21"/>
                <w:highlight w:val="none"/>
              </w:rPr>
              <w:t>7</w:t>
            </w:r>
            <w:r>
              <w:rPr>
                <w:rFonts w:hint="eastAsia"/>
                <w:color w:val="auto"/>
                <w:szCs w:val="21"/>
                <w:highlight w:val="none"/>
                <w:lang w:eastAsia="zh-CN"/>
              </w:rPr>
              <w:t>）</w:t>
            </w:r>
            <w:r>
              <w:rPr>
                <w:rFonts w:hint="eastAsia"/>
                <w:color w:val="auto"/>
                <w:szCs w:val="21"/>
                <w:highlight w:val="none"/>
              </w:rPr>
              <w:t>排放。</w:t>
            </w:r>
          </w:p>
          <w:p w14:paraId="392E1E56">
            <w:pPr>
              <w:spacing w:line="500" w:lineRule="exact"/>
              <w:ind w:firstLine="420" w:firstLineChars="200"/>
              <w:rPr>
                <w:color w:val="auto"/>
                <w:szCs w:val="21"/>
              </w:rPr>
            </w:pPr>
            <w:r>
              <w:rPr>
                <w:rFonts w:hint="eastAsia"/>
                <w:color w:val="auto"/>
                <w:szCs w:val="21"/>
              </w:rPr>
              <w:t>根据原辅材料表可知，化验室废气主要为有机废气和少量</w:t>
            </w:r>
            <w:r>
              <w:rPr>
                <w:rFonts w:hint="eastAsia"/>
                <w:color w:val="auto"/>
                <w:szCs w:val="21"/>
                <w:lang w:val="en-US" w:eastAsia="zh-CN"/>
              </w:rPr>
              <w:t>酸性废气</w:t>
            </w:r>
            <w:r>
              <w:rPr>
                <w:rFonts w:hint="eastAsia"/>
                <w:color w:val="auto"/>
                <w:szCs w:val="21"/>
              </w:rPr>
              <w:t>、氨气。</w:t>
            </w:r>
          </w:p>
          <w:p w14:paraId="394E9BD0">
            <w:pPr>
              <w:spacing w:line="500" w:lineRule="exact"/>
              <w:ind w:firstLine="420"/>
              <w:rPr>
                <w:rFonts w:hint="eastAsia"/>
                <w:color w:val="auto"/>
                <w:szCs w:val="21"/>
              </w:rPr>
            </w:pPr>
            <w:r>
              <w:rPr>
                <w:rFonts w:hint="eastAsia"/>
                <w:color w:val="auto"/>
                <w:szCs w:val="21"/>
              </w:rPr>
              <w:t>①有机废气：根据原辅材料表可知，本项目使用的有机溶剂主要包括甲醇：</w:t>
            </w:r>
            <w:r>
              <w:rPr>
                <w:rFonts w:hint="eastAsia"/>
                <w:color w:val="auto"/>
                <w:szCs w:val="21"/>
                <w:lang w:val="en-US" w:eastAsia="zh-CN"/>
              </w:rPr>
              <w:t>179.9</w:t>
            </w:r>
            <w:r>
              <w:rPr>
                <w:color w:val="auto"/>
                <w:szCs w:val="21"/>
              </w:rPr>
              <w:t>kg/a</w:t>
            </w:r>
            <w:r>
              <w:rPr>
                <w:rFonts w:hint="eastAsia"/>
                <w:color w:val="auto"/>
                <w:szCs w:val="21"/>
                <w:lang w:eastAsia="zh-CN"/>
              </w:rPr>
              <w:t>（</w:t>
            </w:r>
            <w:r>
              <w:rPr>
                <w:rFonts w:hint="eastAsia"/>
                <w:color w:val="auto"/>
                <w:szCs w:val="21"/>
                <w:lang w:val="en-US" w:eastAsia="zh-CN"/>
              </w:rPr>
              <w:t>无水甲醇和卡尔费修试剂无吡啶型所含甲醇</w:t>
            </w:r>
            <w:r>
              <w:rPr>
                <w:rFonts w:hint="eastAsia"/>
                <w:color w:val="auto"/>
                <w:szCs w:val="21"/>
                <w:lang w:eastAsia="zh-CN"/>
              </w:rPr>
              <w:t>）</w:t>
            </w:r>
            <w:r>
              <w:rPr>
                <w:rFonts w:hint="eastAsia"/>
                <w:color w:val="auto"/>
                <w:szCs w:val="21"/>
              </w:rPr>
              <w:t>、</w:t>
            </w:r>
            <w:r>
              <w:rPr>
                <w:rFonts w:hint="eastAsia"/>
                <w:color w:val="auto"/>
                <w:szCs w:val="21"/>
                <w:lang w:val="en-US" w:eastAsia="zh-CN"/>
              </w:rPr>
              <w:t>乙二醇</w:t>
            </w:r>
            <w:r>
              <w:rPr>
                <w:rFonts w:hint="eastAsia"/>
                <w:color w:val="auto"/>
                <w:szCs w:val="21"/>
              </w:rPr>
              <w:t>：9</w:t>
            </w:r>
            <w:r>
              <w:rPr>
                <w:rFonts w:hint="eastAsia"/>
                <w:color w:val="auto"/>
                <w:szCs w:val="21"/>
                <w:lang w:val="en-US" w:eastAsia="zh-CN"/>
              </w:rPr>
              <w:t>9.5</w:t>
            </w:r>
            <w:r>
              <w:rPr>
                <w:color w:val="auto"/>
                <w:szCs w:val="21"/>
              </w:rPr>
              <w:t>kg/a</w:t>
            </w:r>
            <w:r>
              <w:rPr>
                <w:rFonts w:hint="eastAsia"/>
                <w:color w:val="auto"/>
                <w:szCs w:val="21"/>
              </w:rPr>
              <w:t>、</w:t>
            </w:r>
            <w:r>
              <w:rPr>
                <w:rFonts w:hint="eastAsia"/>
                <w:color w:val="auto"/>
                <w:szCs w:val="21"/>
                <w:lang w:val="en-US" w:eastAsia="zh-CN"/>
              </w:rPr>
              <w:t>四氯化碳</w:t>
            </w:r>
            <w:r>
              <w:rPr>
                <w:rFonts w:hint="eastAsia"/>
                <w:color w:val="auto"/>
                <w:szCs w:val="21"/>
              </w:rPr>
              <w:t>：</w:t>
            </w:r>
            <w:r>
              <w:rPr>
                <w:rFonts w:hint="eastAsia"/>
                <w:color w:val="auto"/>
                <w:szCs w:val="21"/>
                <w:lang w:val="en-US" w:eastAsia="zh-CN"/>
              </w:rPr>
              <w:t>0.796</w:t>
            </w:r>
            <w:r>
              <w:rPr>
                <w:color w:val="auto"/>
                <w:szCs w:val="21"/>
              </w:rPr>
              <w:t>kg/a</w:t>
            </w:r>
            <w:r>
              <w:rPr>
                <w:rFonts w:hint="eastAsia"/>
                <w:color w:val="auto"/>
                <w:szCs w:val="21"/>
              </w:rPr>
              <w:t>等，各类有机溶剂使用量合计约</w:t>
            </w:r>
            <w:r>
              <w:rPr>
                <w:rFonts w:hint="eastAsia"/>
                <w:color w:val="auto"/>
                <w:szCs w:val="21"/>
                <w:lang w:val="en-US" w:eastAsia="zh-CN"/>
              </w:rPr>
              <w:t>290.15</w:t>
            </w:r>
            <w:r>
              <w:rPr>
                <w:color w:val="auto"/>
                <w:szCs w:val="21"/>
              </w:rPr>
              <w:t>kg/a</w:t>
            </w:r>
            <w:r>
              <w:rPr>
                <w:rFonts w:hint="eastAsia"/>
                <w:color w:val="auto"/>
                <w:szCs w:val="21"/>
              </w:rPr>
              <w:t>，类比同类型项目，挥发系数取</w:t>
            </w:r>
            <w:r>
              <w:rPr>
                <w:color w:val="auto"/>
                <w:szCs w:val="21"/>
              </w:rPr>
              <w:t>20</w:t>
            </w:r>
            <w:r>
              <w:rPr>
                <w:rFonts w:hint="eastAsia"/>
                <w:color w:val="auto"/>
                <w:szCs w:val="21"/>
              </w:rPr>
              <w:t>%，则化验过程中废气产生量为甲醇：0.0</w:t>
            </w:r>
            <w:r>
              <w:rPr>
                <w:rFonts w:hint="eastAsia"/>
                <w:color w:val="auto"/>
                <w:szCs w:val="21"/>
                <w:lang w:val="en-US" w:eastAsia="zh-CN"/>
              </w:rPr>
              <w:t>36</w:t>
            </w:r>
            <w:r>
              <w:rPr>
                <w:rFonts w:hint="eastAsia"/>
                <w:color w:val="auto"/>
                <w:szCs w:val="21"/>
              </w:rPr>
              <w:t>t</w:t>
            </w:r>
            <w:r>
              <w:rPr>
                <w:color w:val="auto"/>
                <w:szCs w:val="21"/>
              </w:rPr>
              <w:t>/a</w:t>
            </w:r>
            <w:r>
              <w:rPr>
                <w:rFonts w:hint="eastAsia"/>
                <w:color w:val="auto"/>
                <w:szCs w:val="21"/>
              </w:rPr>
              <w:t>、</w:t>
            </w:r>
            <w:r>
              <w:rPr>
                <w:rFonts w:hint="eastAsia"/>
                <w:color w:val="auto"/>
                <w:szCs w:val="21"/>
                <w:lang w:val="en-US" w:eastAsia="zh-CN"/>
              </w:rPr>
              <w:t>乙二醇</w:t>
            </w:r>
            <w:r>
              <w:rPr>
                <w:rFonts w:hint="eastAsia"/>
                <w:color w:val="auto"/>
                <w:szCs w:val="21"/>
              </w:rPr>
              <w:t>：</w:t>
            </w:r>
            <w:r>
              <w:rPr>
                <w:rFonts w:hint="eastAsia"/>
                <w:color w:val="auto"/>
                <w:szCs w:val="21"/>
                <w:lang w:val="en-US" w:eastAsia="zh-CN"/>
              </w:rPr>
              <w:t>0.02</w:t>
            </w:r>
            <w:r>
              <w:rPr>
                <w:color w:val="auto"/>
                <w:szCs w:val="21"/>
              </w:rPr>
              <w:t>kg/a</w:t>
            </w:r>
            <w:r>
              <w:rPr>
                <w:rFonts w:hint="eastAsia"/>
                <w:color w:val="auto"/>
                <w:szCs w:val="21"/>
              </w:rPr>
              <w:t>、</w:t>
            </w:r>
            <w:r>
              <w:rPr>
                <w:rFonts w:hint="eastAsia"/>
                <w:color w:val="auto"/>
                <w:szCs w:val="21"/>
                <w:lang w:val="en-US" w:eastAsia="zh-CN"/>
              </w:rPr>
              <w:t>四氯化碳</w:t>
            </w:r>
            <w:r>
              <w:rPr>
                <w:rFonts w:hint="eastAsia"/>
                <w:color w:val="auto"/>
                <w:szCs w:val="21"/>
              </w:rPr>
              <w:t>：0.00</w:t>
            </w:r>
            <w:r>
              <w:rPr>
                <w:rFonts w:hint="eastAsia"/>
                <w:color w:val="auto"/>
                <w:szCs w:val="21"/>
                <w:lang w:val="en-US" w:eastAsia="zh-CN"/>
              </w:rPr>
              <w:t>2</w:t>
            </w:r>
            <w:r>
              <w:rPr>
                <w:rFonts w:hint="eastAsia"/>
                <w:color w:val="auto"/>
                <w:szCs w:val="21"/>
              </w:rPr>
              <w:t>t</w:t>
            </w:r>
            <w:r>
              <w:rPr>
                <w:color w:val="auto"/>
                <w:szCs w:val="21"/>
              </w:rPr>
              <w:t>/a</w:t>
            </w:r>
            <w:r>
              <w:rPr>
                <w:rFonts w:hint="eastAsia"/>
                <w:color w:val="auto"/>
                <w:szCs w:val="21"/>
                <w:lang w:eastAsia="zh-CN"/>
              </w:rPr>
              <w:t>，</w:t>
            </w:r>
            <w:r>
              <w:rPr>
                <w:color w:val="auto"/>
                <w:szCs w:val="21"/>
              </w:rPr>
              <w:t>VOCs</w:t>
            </w:r>
            <w:r>
              <w:rPr>
                <w:rFonts w:hint="eastAsia"/>
                <w:color w:val="auto"/>
                <w:szCs w:val="21"/>
              </w:rPr>
              <w:t>：</w:t>
            </w:r>
            <w:r>
              <w:rPr>
                <w:color w:val="auto"/>
                <w:szCs w:val="21"/>
              </w:rPr>
              <w:t>0.</w:t>
            </w:r>
            <w:r>
              <w:rPr>
                <w:rFonts w:hint="eastAsia"/>
                <w:color w:val="auto"/>
                <w:szCs w:val="21"/>
              </w:rPr>
              <w:t>0</w:t>
            </w:r>
            <w:r>
              <w:rPr>
                <w:rFonts w:hint="eastAsia"/>
                <w:color w:val="auto"/>
                <w:szCs w:val="21"/>
                <w:lang w:val="en-US" w:eastAsia="zh-CN"/>
              </w:rPr>
              <w:t>58</w:t>
            </w:r>
            <w:r>
              <w:rPr>
                <w:rFonts w:hint="eastAsia"/>
                <w:color w:val="auto"/>
                <w:szCs w:val="21"/>
              </w:rPr>
              <w:t>t</w:t>
            </w:r>
            <w:r>
              <w:rPr>
                <w:color w:val="auto"/>
                <w:szCs w:val="21"/>
              </w:rPr>
              <w:t>/a</w:t>
            </w:r>
            <w:r>
              <w:rPr>
                <w:rFonts w:hint="eastAsia"/>
                <w:color w:val="auto"/>
                <w:szCs w:val="21"/>
              </w:rPr>
              <w:t>。</w:t>
            </w:r>
          </w:p>
          <w:p w14:paraId="6DAAE01B">
            <w:pPr>
              <w:spacing w:line="500" w:lineRule="exact"/>
              <w:ind w:firstLine="420"/>
              <w:rPr>
                <w:rFonts w:hint="default" w:eastAsia="宋体"/>
                <w:color w:val="auto"/>
                <w:szCs w:val="21"/>
                <w:lang w:val="en-US" w:eastAsia="zh-CN"/>
              </w:rPr>
            </w:pPr>
            <w:r>
              <w:rPr>
                <w:rFonts w:hint="eastAsia"/>
                <w:color w:val="auto"/>
                <w:szCs w:val="21"/>
              </w:rPr>
              <w:t>卡尔费修试剂无吡啶型</w:t>
            </w:r>
            <w:r>
              <w:rPr>
                <w:rFonts w:hint="eastAsia"/>
                <w:color w:val="auto"/>
                <w:szCs w:val="21"/>
                <w:lang w:val="en-US" w:eastAsia="zh-CN"/>
              </w:rPr>
              <w:t>主要成分为甲醇，已在甲醇废气中核算，二氧化硫、咪唑仅为微量，本次不进行定量核算。</w:t>
            </w:r>
          </w:p>
          <w:p w14:paraId="17BC5AD9">
            <w:pPr>
              <w:spacing w:line="500" w:lineRule="exact"/>
              <w:ind w:firstLine="420"/>
              <w:rPr>
                <w:rFonts w:hint="default" w:eastAsia="宋体"/>
                <w:color w:val="auto"/>
                <w:szCs w:val="21"/>
                <w:lang w:val="en-US" w:eastAsia="zh-CN"/>
              </w:rPr>
            </w:pPr>
            <w:r>
              <w:rPr>
                <w:rFonts w:hint="eastAsia"/>
                <w:color w:val="auto"/>
                <w:szCs w:val="21"/>
              </w:rPr>
              <w:t>②</w:t>
            </w:r>
            <w:r>
              <w:rPr>
                <w:rFonts w:hint="eastAsia"/>
                <w:color w:val="auto"/>
                <w:szCs w:val="21"/>
                <w:lang w:val="en-US" w:eastAsia="zh-CN"/>
              </w:rPr>
              <w:t>酸性废气</w:t>
            </w:r>
            <w:r>
              <w:rPr>
                <w:rFonts w:hint="eastAsia"/>
                <w:color w:val="auto"/>
                <w:szCs w:val="21"/>
              </w:rPr>
              <w:t>：根据原辅材料表可知，本项目使用的酸性物质主要为硫酸：39.2</w:t>
            </w:r>
            <w:r>
              <w:rPr>
                <w:color w:val="auto"/>
                <w:szCs w:val="21"/>
              </w:rPr>
              <w:t>kg/a</w:t>
            </w:r>
            <w:r>
              <w:rPr>
                <w:rFonts w:hint="eastAsia"/>
                <w:color w:val="auto"/>
                <w:szCs w:val="21"/>
              </w:rPr>
              <w:t>和硝酸：20</w:t>
            </w:r>
            <w:r>
              <w:rPr>
                <w:color w:val="auto"/>
                <w:szCs w:val="21"/>
              </w:rPr>
              <w:t>kg/a</w:t>
            </w:r>
            <w:r>
              <w:rPr>
                <w:rFonts w:hint="eastAsia"/>
                <w:color w:val="auto"/>
                <w:szCs w:val="21"/>
              </w:rPr>
              <w:t>，类比同类型项目，挥发系数取</w:t>
            </w:r>
            <w:r>
              <w:rPr>
                <w:color w:val="auto"/>
                <w:szCs w:val="21"/>
              </w:rPr>
              <w:t>10</w:t>
            </w:r>
            <w:r>
              <w:rPr>
                <w:rFonts w:hint="eastAsia"/>
                <w:color w:val="auto"/>
                <w:szCs w:val="21"/>
              </w:rPr>
              <w:t>%，则化验过程中废气产生量为硫酸雾：0.004t</w:t>
            </w:r>
            <w:r>
              <w:rPr>
                <w:color w:val="auto"/>
                <w:szCs w:val="21"/>
              </w:rPr>
              <w:t>/a</w:t>
            </w:r>
            <w:r>
              <w:rPr>
                <w:rFonts w:hint="eastAsia"/>
                <w:color w:val="auto"/>
                <w:szCs w:val="21"/>
              </w:rPr>
              <w:t>、硝酸雾（以NOx计）：0.002t</w:t>
            </w:r>
            <w:r>
              <w:rPr>
                <w:color w:val="auto"/>
                <w:szCs w:val="21"/>
              </w:rPr>
              <w:t>/a</w:t>
            </w:r>
            <w:r>
              <w:rPr>
                <w:rFonts w:hint="eastAsia"/>
                <w:color w:val="auto"/>
                <w:szCs w:val="21"/>
              </w:rPr>
              <w:t>。</w:t>
            </w:r>
          </w:p>
          <w:p w14:paraId="38B087C8">
            <w:pPr>
              <w:spacing w:line="500" w:lineRule="exact"/>
              <w:ind w:firstLine="420"/>
              <w:rPr>
                <w:color w:val="auto"/>
                <w:szCs w:val="21"/>
              </w:rPr>
            </w:pPr>
            <w:r>
              <w:rPr>
                <w:rFonts w:hint="eastAsia"/>
                <w:color w:val="auto"/>
                <w:szCs w:val="21"/>
              </w:rPr>
              <w:t>③氨气：根据原辅材料表可知，本项目使用的氨氦气、氨水会挥发出氨气，氨氦气使用量40L/a（氨气占比约20%，0.0062kg/a），氨水（20%）使用量0.5kg/a（氨含量0.</w:t>
            </w:r>
            <w:r>
              <w:rPr>
                <w:rFonts w:hint="eastAsia"/>
                <w:color w:val="auto"/>
                <w:szCs w:val="21"/>
                <w:lang w:val="en-US" w:eastAsia="zh-CN"/>
              </w:rPr>
              <w:t>1</w:t>
            </w:r>
            <w:r>
              <w:rPr>
                <w:rFonts w:hint="eastAsia"/>
                <w:color w:val="auto"/>
                <w:szCs w:val="21"/>
              </w:rPr>
              <w:t>kg/a），类比同类型项目，挥发系数取</w:t>
            </w:r>
            <w:r>
              <w:rPr>
                <w:color w:val="auto"/>
                <w:szCs w:val="21"/>
              </w:rPr>
              <w:t>10</w:t>
            </w:r>
            <w:r>
              <w:rPr>
                <w:rFonts w:hint="eastAsia"/>
                <w:color w:val="auto"/>
                <w:szCs w:val="21"/>
              </w:rPr>
              <w:t>%，则化验过程中废气产生量为氨气：0.0000</w:t>
            </w:r>
            <w:r>
              <w:rPr>
                <w:rFonts w:hint="eastAsia"/>
                <w:color w:val="auto"/>
                <w:szCs w:val="21"/>
                <w:lang w:val="en-US" w:eastAsia="zh-CN"/>
              </w:rPr>
              <w:t>11</w:t>
            </w:r>
            <w:r>
              <w:rPr>
                <w:rFonts w:hint="eastAsia"/>
                <w:color w:val="auto"/>
                <w:szCs w:val="21"/>
              </w:rPr>
              <w:t>t</w:t>
            </w:r>
            <w:r>
              <w:rPr>
                <w:color w:val="auto"/>
                <w:szCs w:val="21"/>
              </w:rPr>
              <w:t>/a</w:t>
            </w:r>
            <w:r>
              <w:rPr>
                <w:rFonts w:hint="eastAsia"/>
                <w:color w:val="auto"/>
                <w:szCs w:val="21"/>
              </w:rPr>
              <w:t>。</w:t>
            </w:r>
          </w:p>
          <w:p w14:paraId="62487D2D">
            <w:pPr>
              <w:spacing w:line="500" w:lineRule="exact"/>
              <w:ind w:firstLine="420"/>
              <w:rPr>
                <w:color w:val="auto"/>
                <w:szCs w:val="21"/>
              </w:rPr>
            </w:pPr>
            <w:r>
              <w:rPr>
                <w:rFonts w:hint="eastAsia"/>
                <w:color w:val="auto"/>
                <w:szCs w:val="21"/>
              </w:rPr>
              <w:t>本项目废气源强核算情况见表4</w:t>
            </w:r>
            <w:r>
              <w:rPr>
                <w:color w:val="auto"/>
                <w:szCs w:val="21"/>
              </w:rPr>
              <w:t>-1</w:t>
            </w:r>
            <w:r>
              <w:rPr>
                <w:rFonts w:hint="eastAsia"/>
                <w:color w:val="auto"/>
                <w:szCs w:val="21"/>
              </w:rPr>
              <w:t>。</w:t>
            </w:r>
          </w:p>
          <w:p w14:paraId="2FF5F9F8">
            <w:pPr>
              <w:snapToGrid w:val="0"/>
              <w:spacing w:line="500" w:lineRule="exact"/>
              <w:jc w:val="center"/>
              <w:rPr>
                <w:b/>
                <w:color w:val="auto"/>
                <w:szCs w:val="21"/>
              </w:rPr>
            </w:pPr>
            <w:r>
              <w:rPr>
                <w:b/>
                <w:color w:val="auto"/>
                <w:szCs w:val="21"/>
              </w:rPr>
              <w:t xml:space="preserve">表4-1  </w:t>
            </w:r>
            <w:r>
              <w:rPr>
                <w:rFonts w:hint="eastAsia"/>
                <w:b/>
                <w:color w:val="auto"/>
                <w:szCs w:val="21"/>
              </w:rPr>
              <w:t>本项目废气源强核算</w:t>
            </w:r>
          </w:p>
          <w:tbl>
            <w:tblPr>
              <w:tblStyle w:val="21"/>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90"/>
              <w:gridCol w:w="1190"/>
              <w:gridCol w:w="1190"/>
              <w:gridCol w:w="1190"/>
              <w:gridCol w:w="1190"/>
              <w:gridCol w:w="1241"/>
              <w:gridCol w:w="1373"/>
            </w:tblGrid>
            <w:tr w14:paraId="496935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94" w:type="pct"/>
                  <w:shd w:val="clear" w:color="auto" w:fill="auto"/>
                  <w:vAlign w:val="center"/>
                </w:tcPr>
                <w:p w14:paraId="437274FC">
                  <w:pPr>
                    <w:widowControl/>
                    <w:jc w:val="center"/>
                    <w:textAlignment w:val="center"/>
                    <w:rPr>
                      <w:b/>
                      <w:bCs/>
                      <w:color w:val="auto"/>
                      <w:sz w:val="18"/>
                      <w:szCs w:val="18"/>
                    </w:rPr>
                  </w:pPr>
                  <w:r>
                    <w:rPr>
                      <w:b/>
                      <w:bCs/>
                      <w:color w:val="auto"/>
                      <w:kern w:val="0"/>
                      <w:sz w:val="18"/>
                      <w:szCs w:val="18"/>
                      <w:lang w:bidi="ar"/>
                    </w:rPr>
                    <w:t>序号</w:t>
                  </w:r>
                </w:p>
              </w:tc>
              <w:tc>
                <w:tcPr>
                  <w:tcW w:w="694" w:type="pct"/>
                  <w:shd w:val="clear" w:color="auto" w:fill="auto"/>
                  <w:vAlign w:val="center"/>
                </w:tcPr>
                <w:p w14:paraId="6C548D67">
                  <w:pPr>
                    <w:widowControl/>
                    <w:jc w:val="center"/>
                    <w:textAlignment w:val="center"/>
                    <w:rPr>
                      <w:b/>
                      <w:bCs/>
                      <w:color w:val="auto"/>
                      <w:sz w:val="18"/>
                      <w:szCs w:val="18"/>
                    </w:rPr>
                  </w:pPr>
                  <w:r>
                    <w:rPr>
                      <w:b/>
                      <w:bCs/>
                      <w:color w:val="auto"/>
                      <w:kern w:val="0"/>
                      <w:sz w:val="18"/>
                      <w:szCs w:val="18"/>
                      <w:lang w:bidi="ar"/>
                    </w:rPr>
                    <w:t>废气编号</w:t>
                  </w:r>
                </w:p>
              </w:tc>
              <w:tc>
                <w:tcPr>
                  <w:tcW w:w="694" w:type="pct"/>
                  <w:shd w:val="clear" w:color="auto" w:fill="auto"/>
                  <w:vAlign w:val="center"/>
                </w:tcPr>
                <w:p w14:paraId="264CD019">
                  <w:pPr>
                    <w:widowControl/>
                    <w:jc w:val="center"/>
                    <w:textAlignment w:val="center"/>
                    <w:rPr>
                      <w:b/>
                      <w:bCs/>
                      <w:color w:val="auto"/>
                      <w:sz w:val="18"/>
                      <w:szCs w:val="18"/>
                    </w:rPr>
                  </w:pPr>
                  <w:r>
                    <w:rPr>
                      <w:b/>
                      <w:bCs/>
                      <w:color w:val="auto"/>
                      <w:kern w:val="0"/>
                      <w:sz w:val="18"/>
                      <w:szCs w:val="18"/>
                      <w:lang w:bidi="ar"/>
                    </w:rPr>
                    <w:t>污染物因子</w:t>
                  </w:r>
                </w:p>
              </w:tc>
              <w:tc>
                <w:tcPr>
                  <w:tcW w:w="694" w:type="pct"/>
                  <w:shd w:val="clear" w:color="auto" w:fill="auto"/>
                  <w:vAlign w:val="center"/>
                </w:tcPr>
                <w:p w14:paraId="318D142E">
                  <w:pPr>
                    <w:widowControl/>
                    <w:jc w:val="center"/>
                    <w:textAlignment w:val="center"/>
                    <w:rPr>
                      <w:b/>
                      <w:bCs/>
                      <w:color w:val="auto"/>
                      <w:sz w:val="18"/>
                      <w:szCs w:val="18"/>
                    </w:rPr>
                  </w:pPr>
                  <w:r>
                    <w:rPr>
                      <w:b/>
                      <w:bCs/>
                      <w:color w:val="auto"/>
                      <w:kern w:val="0"/>
                      <w:sz w:val="18"/>
                      <w:szCs w:val="18"/>
                      <w:lang w:bidi="ar"/>
                    </w:rPr>
                    <w:t>核算依据</w:t>
                  </w:r>
                </w:p>
              </w:tc>
              <w:tc>
                <w:tcPr>
                  <w:tcW w:w="694" w:type="pct"/>
                  <w:shd w:val="clear" w:color="auto" w:fill="auto"/>
                  <w:vAlign w:val="center"/>
                </w:tcPr>
                <w:p w14:paraId="11133FC2">
                  <w:pPr>
                    <w:widowControl/>
                    <w:jc w:val="center"/>
                    <w:textAlignment w:val="center"/>
                    <w:rPr>
                      <w:b/>
                      <w:bCs/>
                      <w:color w:val="auto"/>
                      <w:sz w:val="18"/>
                      <w:szCs w:val="18"/>
                    </w:rPr>
                  </w:pPr>
                  <w:r>
                    <w:rPr>
                      <w:b/>
                      <w:bCs/>
                      <w:color w:val="auto"/>
                      <w:kern w:val="0"/>
                      <w:sz w:val="18"/>
                      <w:szCs w:val="18"/>
                      <w:lang w:bidi="ar"/>
                    </w:rPr>
                    <w:t>产污系数</w:t>
                  </w:r>
                </w:p>
              </w:tc>
              <w:tc>
                <w:tcPr>
                  <w:tcW w:w="724" w:type="pct"/>
                  <w:shd w:val="clear" w:color="auto" w:fill="auto"/>
                  <w:vAlign w:val="center"/>
                </w:tcPr>
                <w:p w14:paraId="25F29685">
                  <w:pPr>
                    <w:widowControl/>
                    <w:jc w:val="center"/>
                    <w:textAlignment w:val="center"/>
                    <w:rPr>
                      <w:b/>
                      <w:bCs/>
                      <w:color w:val="auto"/>
                      <w:sz w:val="18"/>
                      <w:szCs w:val="18"/>
                    </w:rPr>
                  </w:pPr>
                  <w:r>
                    <w:rPr>
                      <w:b/>
                      <w:bCs/>
                      <w:color w:val="auto"/>
                      <w:kern w:val="0"/>
                      <w:sz w:val="18"/>
                      <w:szCs w:val="18"/>
                      <w:lang w:bidi="ar"/>
                    </w:rPr>
                    <w:t>消耗量kg/a</w:t>
                  </w:r>
                </w:p>
              </w:tc>
              <w:tc>
                <w:tcPr>
                  <w:tcW w:w="801" w:type="pct"/>
                  <w:shd w:val="clear" w:color="auto" w:fill="auto"/>
                  <w:vAlign w:val="center"/>
                </w:tcPr>
                <w:p w14:paraId="7ABE27EC">
                  <w:pPr>
                    <w:widowControl/>
                    <w:jc w:val="center"/>
                    <w:textAlignment w:val="center"/>
                    <w:rPr>
                      <w:b/>
                      <w:bCs/>
                      <w:color w:val="auto"/>
                      <w:sz w:val="18"/>
                      <w:szCs w:val="18"/>
                    </w:rPr>
                  </w:pPr>
                  <w:r>
                    <w:rPr>
                      <w:b/>
                      <w:bCs/>
                      <w:color w:val="auto"/>
                      <w:kern w:val="0"/>
                      <w:sz w:val="18"/>
                      <w:szCs w:val="18"/>
                      <w:lang w:bidi="ar"/>
                    </w:rPr>
                    <w:t>挥发量t/a</w:t>
                  </w:r>
                </w:p>
              </w:tc>
            </w:tr>
            <w:tr w14:paraId="7D69ED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94" w:type="pct"/>
                  <w:shd w:val="clear" w:color="auto" w:fill="auto"/>
                  <w:vAlign w:val="center"/>
                </w:tcPr>
                <w:p w14:paraId="3E95C643">
                  <w:pPr>
                    <w:widowControl/>
                    <w:jc w:val="center"/>
                    <w:textAlignment w:val="center"/>
                    <w:rPr>
                      <w:color w:val="auto"/>
                      <w:sz w:val="18"/>
                      <w:szCs w:val="18"/>
                    </w:rPr>
                  </w:pPr>
                  <w:r>
                    <w:rPr>
                      <w:color w:val="auto"/>
                      <w:kern w:val="0"/>
                      <w:sz w:val="18"/>
                      <w:szCs w:val="18"/>
                      <w:lang w:bidi="ar"/>
                    </w:rPr>
                    <w:t>1</w:t>
                  </w:r>
                </w:p>
              </w:tc>
              <w:tc>
                <w:tcPr>
                  <w:tcW w:w="694" w:type="pct"/>
                  <w:vMerge w:val="restart"/>
                  <w:shd w:val="clear" w:color="auto" w:fill="auto"/>
                  <w:vAlign w:val="center"/>
                </w:tcPr>
                <w:p w14:paraId="39FE8277">
                  <w:pPr>
                    <w:widowControl/>
                    <w:jc w:val="center"/>
                    <w:textAlignment w:val="center"/>
                    <w:rPr>
                      <w:color w:val="auto"/>
                      <w:sz w:val="18"/>
                      <w:szCs w:val="18"/>
                    </w:rPr>
                  </w:pPr>
                  <w:r>
                    <w:rPr>
                      <w:color w:val="auto"/>
                      <w:kern w:val="0"/>
                      <w:sz w:val="18"/>
                      <w:szCs w:val="18"/>
                      <w:lang w:bidi="ar"/>
                    </w:rPr>
                    <w:t>G1</w:t>
                  </w:r>
                </w:p>
              </w:tc>
              <w:tc>
                <w:tcPr>
                  <w:tcW w:w="694" w:type="pct"/>
                  <w:shd w:val="clear" w:color="auto" w:fill="auto"/>
                  <w:vAlign w:val="center"/>
                </w:tcPr>
                <w:p w14:paraId="0A031247">
                  <w:pPr>
                    <w:widowControl/>
                    <w:jc w:val="center"/>
                    <w:textAlignment w:val="center"/>
                    <w:rPr>
                      <w:color w:val="auto"/>
                      <w:sz w:val="18"/>
                      <w:szCs w:val="18"/>
                    </w:rPr>
                  </w:pPr>
                </w:p>
              </w:tc>
              <w:tc>
                <w:tcPr>
                  <w:tcW w:w="694" w:type="pct"/>
                  <w:shd w:val="clear" w:color="auto" w:fill="auto"/>
                  <w:vAlign w:val="center"/>
                </w:tcPr>
                <w:p w14:paraId="3A141201">
                  <w:pPr>
                    <w:widowControl/>
                    <w:jc w:val="center"/>
                    <w:textAlignment w:val="center"/>
                    <w:rPr>
                      <w:color w:val="auto"/>
                      <w:sz w:val="18"/>
                      <w:szCs w:val="18"/>
                    </w:rPr>
                  </w:pPr>
                </w:p>
              </w:tc>
              <w:tc>
                <w:tcPr>
                  <w:tcW w:w="694" w:type="pct"/>
                  <w:shd w:val="clear" w:color="auto" w:fill="auto"/>
                  <w:vAlign w:val="center"/>
                </w:tcPr>
                <w:p w14:paraId="0BA8809A">
                  <w:pPr>
                    <w:widowControl/>
                    <w:jc w:val="center"/>
                    <w:textAlignment w:val="center"/>
                    <w:rPr>
                      <w:color w:val="auto"/>
                      <w:sz w:val="18"/>
                      <w:szCs w:val="18"/>
                    </w:rPr>
                  </w:pPr>
                </w:p>
              </w:tc>
              <w:tc>
                <w:tcPr>
                  <w:tcW w:w="724" w:type="pct"/>
                  <w:shd w:val="clear" w:color="auto" w:fill="auto"/>
                  <w:vAlign w:val="center"/>
                </w:tcPr>
                <w:p w14:paraId="739C8948">
                  <w:pPr>
                    <w:widowControl/>
                    <w:jc w:val="center"/>
                    <w:textAlignment w:val="center"/>
                    <w:rPr>
                      <w:color w:val="auto"/>
                      <w:sz w:val="18"/>
                      <w:szCs w:val="18"/>
                    </w:rPr>
                  </w:pPr>
                </w:p>
              </w:tc>
              <w:tc>
                <w:tcPr>
                  <w:tcW w:w="801" w:type="pct"/>
                  <w:shd w:val="clear" w:color="auto" w:fill="auto"/>
                  <w:vAlign w:val="center"/>
                </w:tcPr>
                <w:p w14:paraId="2FC2F0EC">
                  <w:pPr>
                    <w:widowControl/>
                    <w:jc w:val="center"/>
                    <w:textAlignment w:val="center"/>
                    <w:rPr>
                      <w:color w:val="auto"/>
                      <w:sz w:val="18"/>
                      <w:szCs w:val="18"/>
                    </w:rPr>
                  </w:pPr>
                </w:p>
              </w:tc>
            </w:tr>
            <w:tr w14:paraId="2538D8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465" w:hRule="atLeast"/>
                <w:jc w:val="center"/>
              </w:trPr>
              <w:tc>
                <w:tcPr>
                  <w:tcW w:w="694" w:type="pct"/>
                  <w:shd w:val="clear" w:color="auto" w:fill="auto"/>
                  <w:vAlign w:val="center"/>
                </w:tcPr>
                <w:p w14:paraId="13DC351E">
                  <w:pPr>
                    <w:widowControl/>
                    <w:jc w:val="center"/>
                    <w:textAlignment w:val="center"/>
                    <w:rPr>
                      <w:color w:val="auto"/>
                      <w:sz w:val="18"/>
                      <w:szCs w:val="18"/>
                    </w:rPr>
                  </w:pPr>
                  <w:r>
                    <w:rPr>
                      <w:color w:val="auto"/>
                      <w:kern w:val="0"/>
                      <w:sz w:val="18"/>
                      <w:szCs w:val="18"/>
                      <w:lang w:bidi="ar"/>
                    </w:rPr>
                    <w:t>2</w:t>
                  </w:r>
                </w:p>
              </w:tc>
              <w:tc>
                <w:tcPr>
                  <w:tcW w:w="694" w:type="pct"/>
                  <w:vMerge w:val="continue"/>
                  <w:shd w:val="clear" w:color="auto" w:fill="auto"/>
                  <w:vAlign w:val="center"/>
                </w:tcPr>
                <w:p w14:paraId="06D25AE1">
                  <w:pPr>
                    <w:jc w:val="center"/>
                    <w:rPr>
                      <w:color w:val="auto"/>
                      <w:sz w:val="18"/>
                      <w:szCs w:val="18"/>
                    </w:rPr>
                  </w:pPr>
                </w:p>
              </w:tc>
              <w:tc>
                <w:tcPr>
                  <w:tcW w:w="694" w:type="pct"/>
                  <w:shd w:val="clear" w:color="auto" w:fill="auto"/>
                  <w:vAlign w:val="center"/>
                </w:tcPr>
                <w:p w14:paraId="458C513F">
                  <w:pPr>
                    <w:widowControl/>
                    <w:jc w:val="center"/>
                    <w:textAlignment w:val="center"/>
                    <w:rPr>
                      <w:color w:val="auto"/>
                      <w:sz w:val="18"/>
                      <w:szCs w:val="18"/>
                    </w:rPr>
                  </w:pPr>
                </w:p>
              </w:tc>
              <w:tc>
                <w:tcPr>
                  <w:tcW w:w="694" w:type="pct"/>
                  <w:shd w:val="clear" w:color="auto" w:fill="auto"/>
                  <w:vAlign w:val="center"/>
                </w:tcPr>
                <w:p w14:paraId="7AB090A3">
                  <w:pPr>
                    <w:widowControl/>
                    <w:jc w:val="center"/>
                    <w:textAlignment w:val="center"/>
                    <w:rPr>
                      <w:color w:val="auto"/>
                      <w:sz w:val="18"/>
                      <w:szCs w:val="18"/>
                    </w:rPr>
                  </w:pPr>
                </w:p>
              </w:tc>
              <w:tc>
                <w:tcPr>
                  <w:tcW w:w="694" w:type="pct"/>
                  <w:shd w:val="clear" w:color="auto" w:fill="auto"/>
                  <w:vAlign w:val="center"/>
                </w:tcPr>
                <w:p w14:paraId="37F42E78">
                  <w:pPr>
                    <w:widowControl/>
                    <w:jc w:val="center"/>
                    <w:textAlignment w:val="center"/>
                    <w:rPr>
                      <w:color w:val="auto"/>
                      <w:sz w:val="18"/>
                      <w:szCs w:val="18"/>
                    </w:rPr>
                  </w:pPr>
                </w:p>
              </w:tc>
              <w:tc>
                <w:tcPr>
                  <w:tcW w:w="724" w:type="pct"/>
                  <w:shd w:val="clear" w:color="auto" w:fill="auto"/>
                  <w:vAlign w:val="center"/>
                </w:tcPr>
                <w:p w14:paraId="512B7B3C">
                  <w:pPr>
                    <w:widowControl/>
                    <w:jc w:val="center"/>
                    <w:textAlignment w:val="center"/>
                    <w:rPr>
                      <w:color w:val="auto"/>
                      <w:sz w:val="18"/>
                      <w:szCs w:val="18"/>
                    </w:rPr>
                  </w:pPr>
                </w:p>
              </w:tc>
              <w:tc>
                <w:tcPr>
                  <w:tcW w:w="801" w:type="pct"/>
                  <w:shd w:val="clear" w:color="auto" w:fill="auto"/>
                  <w:vAlign w:val="center"/>
                </w:tcPr>
                <w:p w14:paraId="13B1F129">
                  <w:pPr>
                    <w:widowControl/>
                    <w:jc w:val="center"/>
                    <w:textAlignment w:val="center"/>
                    <w:rPr>
                      <w:color w:val="auto"/>
                      <w:sz w:val="18"/>
                      <w:szCs w:val="18"/>
                    </w:rPr>
                  </w:pPr>
                </w:p>
              </w:tc>
            </w:tr>
            <w:tr w14:paraId="1F333D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94" w:type="pct"/>
                  <w:shd w:val="clear" w:color="auto" w:fill="auto"/>
                  <w:vAlign w:val="center"/>
                </w:tcPr>
                <w:p w14:paraId="19107F1B">
                  <w:pPr>
                    <w:widowControl/>
                    <w:jc w:val="center"/>
                    <w:textAlignment w:val="center"/>
                    <w:rPr>
                      <w:color w:val="auto"/>
                      <w:sz w:val="18"/>
                      <w:szCs w:val="18"/>
                    </w:rPr>
                  </w:pPr>
                  <w:r>
                    <w:rPr>
                      <w:color w:val="auto"/>
                      <w:kern w:val="0"/>
                      <w:sz w:val="18"/>
                      <w:szCs w:val="18"/>
                      <w:lang w:bidi="ar"/>
                    </w:rPr>
                    <w:t>3</w:t>
                  </w:r>
                </w:p>
              </w:tc>
              <w:tc>
                <w:tcPr>
                  <w:tcW w:w="694" w:type="pct"/>
                  <w:vMerge w:val="continue"/>
                  <w:shd w:val="clear" w:color="auto" w:fill="auto"/>
                  <w:vAlign w:val="center"/>
                </w:tcPr>
                <w:p w14:paraId="42DE4EFA">
                  <w:pPr>
                    <w:jc w:val="center"/>
                    <w:rPr>
                      <w:color w:val="auto"/>
                      <w:sz w:val="18"/>
                      <w:szCs w:val="18"/>
                    </w:rPr>
                  </w:pPr>
                </w:p>
              </w:tc>
              <w:tc>
                <w:tcPr>
                  <w:tcW w:w="694" w:type="pct"/>
                  <w:shd w:val="clear" w:color="auto" w:fill="auto"/>
                  <w:vAlign w:val="center"/>
                </w:tcPr>
                <w:p w14:paraId="3F3D726A">
                  <w:pPr>
                    <w:widowControl/>
                    <w:jc w:val="center"/>
                    <w:textAlignment w:val="center"/>
                    <w:rPr>
                      <w:color w:val="auto"/>
                      <w:sz w:val="18"/>
                      <w:szCs w:val="18"/>
                    </w:rPr>
                  </w:pPr>
                </w:p>
              </w:tc>
              <w:tc>
                <w:tcPr>
                  <w:tcW w:w="694" w:type="pct"/>
                  <w:shd w:val="clear" w:color="auto" w:fill="auto"/>
                  <w:vAlign w:val="center"/>
                </w:tcPr>
                <w:p w14:paraId="57D217B7">
                  <w:pPr>
                    <w:widowControl/>
                    <w:jc w:val="center"/>
                    <w:textAlignment w:val="center"/>
                    <w:rPr>
                      <w:color w:val="auto"/>
                      <w:sz w:val="18"/>
                      <w:szCs w:val="18"/>
                    </w:rPr>
                  </w:pPr>
                </w:p>
              </w:tc>
              <w:tc>
                <w:tcPr>
                  <w:tcW w:w="694" w:type="pct"/>
                  <w:shd w:val="clear" w:color="auto" w:fill="auto"/>
                  <w:vAlign w:val="center"/>
                </w:tcPr>
                <w:p w14:paraId="451CA9B6">
                  <w:pPr>
                    <w:widowControl/>
                    <w:jc w:val="center"/>
                    <w:textAlignment w:val="center"/>
                    <w:rPr>
                      <w:color w:val="auto"/>
                      <w:sz w:val="18"/>
                      <w:szCs w:val="18"/>
                    </w:rPr>
                  </w:pPr>
                </w:p>
              </w:tc>
              <w:tc>
                <w:tcPr>
                  <w:tcW w:w="724" w:type="pct"/>
                  <w:shd w:val="clear" w:color="auto" w:fill="auto"/>
                  <w:vAlign w:val="center"/>
                </w:tcPr>
                <w:p w14:paraId="6E834A43">
                  <w:pPr>
                    <w:widowControl/>
                    <w:jc w:val="center"/>
                    <w:textAlignment w:val="center"/>
                    <w:rPr>
                      <w:color w:val="auto"/>
                      <w:sz w:val="18"/>
                      <w:szCs w:val="18"/>
                    </w:rPr>
                  </w:pPr>
                </w:p>
              </w:tc>
              <w:tc>
                <w:tcPr>
                  <w:tcW w:w="801" w:type="pct"/>
                  <w:shd w:val="clear" w:color="auto" w:fill="auto"/>
                  <w:vAlign w:val="center"/>
                </w:tcPr>
                <w:p w14:paraId="57B124A1">
                  <w:pPr>
                    <w:widowControl/>
                    <w:jc w:val="center"/>
                    <w:textAlignment w:val="center"/>
                    <w:rPr>
                      <w:color w:val="auto"/>
                      <w:sz w:val="18"/>
                      <w:szCs w:val="18"/>
                    </w:rPr>
                  </w:pPr>
                </w:p>
              </w:tc>
            </w:tr>
            <w:tr w14:paraId="1A4BEF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94" w:type="pct"/>
                  <w:shd w:val="clear" w:color="auto" w:fill="auto"/>
                  <w:vAlign w:val="center"/>
                </w:tcPr>
                <w:p w14:paraId="1C06F7DF">
                  <w:pPr>
                    <w:widowControl/>
                    <w:jc w:val="center"/>
                    <w:textAlignment w:val="center"/>
                    <w:rPr>
                      <w:rFonts w:hint="default" w:eastAsia="宋体"/>
                      <w:color w:val="auto"/>
                      <w:sz w:val="18"/>
                      <w:szCs w:val="18"/>
                      <w:lang w:val="en-US" w:eastAsia="zh-CN"/>
                    </w:rPr>
                  </w:pPr>
                  <w:r>
                    <w:rPr>
                      <w:rFonts w:hint="eastAsia"/>
                      <w:color w:val="auto"/>
                      <w:sz w:val="18"/>
                      <w:szCs w:val="18"/>
                      <w:lang w:val="en-US" w:eastAsia="zh-CN"/>
                    </w:rPr>
                    <w:t>4</w:t>
                  </w:r>
                </w:p>
              </w:tc>
              <w:tc>
                <w:tcPr>
                  <w:tcW w:w="694" w:type="pct"/>
                  <w:vMerge w:val="continue"/>
                  <w:shd w:val="clear" w:color="auto" w:fill="auto"/>
                  <w:vAlign w:val="center"/>
                </w:tcPr>
                <w:p w14:paraId="11B45847">
                  <w:pPr>
                    <w:jc w:val="center"/>
                    <w:rPr>
                      <w:color w:val="auto"/>
                      <w:sz w:val="18"/>
                      <w:szCs w:val="18"/>
                    </w:rPr>
                  </w:pPr>
                </w:p>
              </w:tc>
              <w:tc>
                <w:tcPr>
                  <w:tcW w:w="694" w:type="pct"/>
                  <w:shd w:val="clear" w:color="auto" w:fill="auto"/>
                  <w:vAlign w:val="center"/>
                </w:tcPr>
                <w:p w14:paraId="29B545FC">
                  <w:pPr>
                    <w:keepNext w:val="0"/>
                    <w:keepLines w:val="0"/>
                    <w:widowControl/>
                    <w:suppressLineNumbers w:val="0"/>
                    <w:jc w:val="center"/>
                    <w:textAlignment w:val="center"/>
                    <w:rPr>
                      <w:color w:val="auto"/>
                      <w:sz w:val="18"/>
                      <w:szCs w:val="18"/>
                    </w:rPr>
                  </w:pPr>
                </w:p>
              </w:tc>
              <w:tc>
                <w:tcPr>
                  <w:tcW w:w="694" w:type="pct"/>
                  <w:shd w:val="clear" w:color="auto" w:fill="auto"/>
                  <w:vAlign w:val="center"/>
                </w:tcPr>
                <w:p w14:paraId="49425603">
                  <w:pPr>
                    <w:keepNext w:val="0"/>
                    <w:keepLines w:val="0"/>
                    <w:widowControl/>
                    <w:suppressLineNumbers w:val="0"/>
                    <w:jc w:val="center"/>
                    <w:textAlignment w:val="center"/>
                    <w:rPr>
                      <w:color w:val="auto"/>
                      <w:sz w:val="18"/>
                      <w:szCs w:val="18"/>
                    </w:rPr>
                  </w:pPr>
                </w:p>
              </w:tc>
              <w:tc>
                <w:tcPr>
                  <w:tcW w:w="694" w:type="pct"/>
                  <w:shd w:val="clear" w:color="auto" w:fill="auto"/>
                  <w:vAlign w:val="center"/>
                </w:tcPr>
                <w:p w14:paraId="2F1C0C0F">
                  <w:pPr>
                    <w:keepNext w:val="0"/>
                    <w:keepLines w:val="0"/>
                    <w:widowControl/>
                    <w:suppressLineNumbers w:val="0"/>
                    <w:jc w:val="center"/>
                    <w:textAlignment w:val="center"/>
                    <w:rPr>
                      <w:color w:val="auto"/>
                      <w:sz w:val="18"/>
                      <w:szCs w:val="18"/>
                    </w:rPr>
                  </w:pPr>
                </w:p>
              </w:tc>
              <w:tc>
                <w:tcPr>
                  <w:tcW w:w="724" w:type="pct"/>
                  <w:shd w:val="clear" w:color="auto" w:fill="auto"/>
                  <w:vAlign w:val="center"/>
                </w:tcPr>
                <w:p w14:paraId="4D21CF33">
                  <w:pPr>
                    <w:keepNext w:val="0"/>
                    <w:keepLines w:val="0"/>
                    <w:widowControl/>
                    <w:suppressLineNumbers w:val="0"/>
                    <w:jc w:val="center"/>
                    <w:textAlignment w:val="center"/>
                    <w:rPr>
                      <w:color w:val="auto"/>
                      <w:sz w:val="18"/>
                      <w:szCs w:val="18"/>
                    </w:rPr>
                  </w:pPr>
                </w:p>
              </w:tc>
              <w:tc>
                <w:tcPr>
                  <w:tcW w:w="801" w:type="pct"/>
                  <w:shd w:val="clear" w:color="auto" w:fill="auto"/>
                  <w:vAlign w:val="center"/>
                </w:tcPr>
                <w:p w14:paraId="56DD57AC">
                  <w:pPr>
                    <w:keepNext w:val="0"/>
                    <w:keepLines w:val="0"/>
                    <w:widowControl/>
                    <w:suppressLineNumbers w:val="0"/>
                    <w:jc w:val="center"/>
                    <w:textAlignment w:val="center"/>
                    <w:rPr>
                      <w:color w:val="auto"/>
                      <w:sz w:val="18"/>
                      <w:szCs w:val="18"/>
                    </w:rPr>
                  </w:pPr>
                </w:p>
              </w:tc>
            </w:tr>
            <w:tr w14:paraId="26B5C0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94" w:type="pct"/>
                  <w:shd w:val="clear" w:color="auto" w:fill="auto"/>
                  <w:vAlign w:val="center"/>
                </w:tcPr>
                <w:p w14:paraId="0D988940">
                  <w:pPr>
                    <w:widowControl/>
                    <w:jc w:val="center"/>
                    <w:textAlignment w:val="center"/>
                    <w:rPr>
                      <w:rFonts w:hint="default" w:eastAsia="宋体"/>
                      <w:color w:val="auto"/>
                      <w:sz w:val="18"/>
                      <w:szCs w:val="18"/>
                      <w:lang w:val="en-US" w:eastAsia="zh-CN"/>
                    </w:rPr>
                  </w:pPr>
                  <w:r>
                    <w:rPr>
                      <w:rFonts w:hint="eastAsia"/>
                      <w:color w:val="auto"/>
                      <w:sz w:val="18"/>
                      <w:szCs w:val="18"/>
                      <w:lang w:val="en-US" w:eastAsia="zh-CN"/>
                    </w:rPr>
                    <w:t>5</w:t>
                  </w:r>
                </w:p>
              </w:tc>
              <w:tc>
                <w:tcPr>
                  <w:tcW w:w="694" w:type="pct"/>
                  <w:vMerge w:val="continue"/>
                  <w:shd w:val="clear" w:color="auto" w:fill="auto"/>
                  <w:vAlign w:val="center"/>
                </w:tcPr>
                <w:p w14:paraId="02F5DFE2">
                  <w:pPr>
                    <w:jc w:val="center"/>
                    <w:rPr>
                      <w:color w:val="auto"/>
                      <w:sz w:val="18"/>
                      <w:szCs w:val="18"/>
                    </w:rPr>
                  </w:pPr>
                </w:p>
              </w:tc>
              <w:tc>
                <w:tcPr>
                  <w:tcW w:w="694" w:type="pct"/>
                  <w:shd w:val="clear" w:color="auto" w:fill="auto"/>
                  <w:vAlign w:val="center"/>
                </w:tcPr>
                <w:p w14:paraId="1B078D48">
                  <w:pPr>
                    <w:keepNext w:val="0"/>
                    <w:keepLines w:val="0"/>
                    <w:widowControl/>
                    <w:suppressLineNumbers w:val="0"/>
                    <w:jc w:val="center"/>
                    <w:textAlignment w:val="center"/>
                    <w:rPr>
                      <w:color w:val="auto"/>
                      <w:sz w:val="18"/>
                      <w:szCs w:val="18"/>
                    </w:rPr>
                  </w:pPr>
                </w:p>
              </w:tc>
              <w:tc>
                <w:tcPr>
                  <w:tcW w:w="694" w:type="pct"/>
                  <w:shd w:val="clear" w:color="auto" w:fill="auto"/>
                  <w:vAlign w:val="center"/>
                </w:tcPr>
                <w:p w14:paraId="7F5C692B">
                  <w:pPr>
                    <w:keepNext w:val="0"/>
                    <w:keepLines w:val="0"/>
                    <w:widowControl/>
                    <w:suppressLineNumbers w:val="0"/>
                    <w:jc w:val="center"/>
                    <w:textAlignment w:val="center"/>
                    <w:rPr>
                      <w:color w:val="auto"/>
                      <w:sz w:val="18"/>
                      <w:szCs w:val="18"/>
                    </w:rPr>
                  </w:pPr>
                </w:p>
              </w:tc>
              <w:tc>
                <w:tcPr>
                  <w:tcW w:w="694" w:type="pct"/>
                  <w:shd w:val="clear" w:color="auto" w:fill="auto"/>
                  <w:vAlign w:val="center"/>
                </w:tcPr>
                <w:p w14:paraId="3144421B">
                  <w:pPr>
                    <w:keepNext w:val="0"/>
                    <w:keepLines w:val="0"/>
                    <w:widowControl/>
                    <w:suppressLineNumbers w:val="0"/>
                    <w:jc w:val="center"/>
                    <w:textAlignment w:val="center"/>
                    <w:rPr>
                      <w:color w:val="auto"/>
                      <w:sz w:val="18"/>
                      <w:szCs w:val="18"/>
                    </w:rPr>
                  </w:pPr>
                </w:p>
              </w:tc>
              <w:tc>
                <w:tcPr>
                  <w:tcW w:w="724" w:type="pct"/>
                  <w:shd w:val="clear" w:color="auto" w:fill="auto"/>
                  <w:vAlign w:val="center"/>
                </w:tcPr>
                <w:p w14:paraId="13DDA476">
                  <w:pPr>
                    <w:keepNext w:val="0"/>
                    <w:keepLines w:val="0"/>
                    <w:widowControl/>
                    <w:suppressLineNumbers w:val="0"/>
                    <w:jc w:val="center"/>
                    <w:textAlignment w:val="center"/>
                    <w:rPr>
                      <w:color w:val="auto"/>
                      <w:sz w:val="18"/>
                      <w:szCs w:val="18"/>
                    </w:rPr>
                  </w:pPr>
                </w:p>
              </w:tc>
              <w:tc>
                <w:tcPr>
                  <w:tcW w:w="801" w:type="pct"/>
                  <w:shd w:val="clear" w:color="auto" w:fill="auto"/>
                  <w:vAlign w:val="center"/>
                </w:tcPr>
                <w:p w14:paraId="00B90E27">
                  <w:pPr>
                    <w:keepNext w:val="0"/>
                    <w:keepLines w:val="0"/>
                    <w:widowControl/>
                    <w:suppressLineNumbers w:val="0"/>
                    <w:jc w:val="center"/>
                    <w:textAlignment w:val="center"/>
                    <w:rPr>
                      <w:color w:val="auto"/>
                      <w:sz w:val="18"/>
                      <w:szCs w:val="18"/>
                    </w:rPr>
                  </w:pPr>
                </w:p>
              </w:tc>
            </w:tr>
            <w:tr w14:paraId="2D4B46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94" w:type="pct"/>
                  <w:shd w:val="clear" w:color="auto" w:fill="auto"/>
                  <w:vAlign w:val="center"/>
                </w:tcPr>
                <w:p w14:paraId="6B33769C">
                  <w:pPr>
                    <w:widowControl/>
                    <w:jc w:val="center"/>
                    <w:textAlignment w:val="center"/>
                    <w:rPr>
                      <w:rFonts w:hint="default" w:eastAsia="宋体"/>
                      <w:color w:val="auto"/>
                      <w:sz w:val="18"/>
                      <w:szCs w:val="18"/>
                      <w:lang w:val="en-US" w:eastAsia="zh-CN"/>
                    </w:rPr>
                  </w:pPr>
                  <w:r>
                    <w:rPr>
                      <w:rFonts w:hint="eastAsia"/>
                      <w:color w:val="auto"/>
                      <w:sz w:val="18"/>
                      <w:szCs w:val="18"/>
                      <w:lang w:val="en-US" w:eastAsia="zh-CN"/>
                    </w:rPr>
                    <w:t>6</w:t>
                  </w:r>
                </w:p>
              </w:tc>
              <w:tc>
                <w:tcPr>
                  <w:tcW w:w="694" w:type="pct"/>
                  <w:vMerge w:val="continue"/>
                  <w:shd w:val="clear" w:color="auto" w:fill="auto"/>
                  <w:vAlign w:val="center"/>
                </w:tcPr>
                <w:p w14:paraId="2C4D3A8E">
                  <w:pPr>
                    <w:jc w:val="center"/>
                    <w:rPr>
                      <w:color w:val="auto"/>
                      <w:sz w:val="18"/>
                      <w:szCs w:val="18"/>
                    </w:rPr>
                  </w:pPr>
                </w:p>
              </w:tc>
              <w:tc>
                <w:tcPr>
                  <w:tcW w:w="694" w:type="pct"/>
                  <w:shd w:val="clear" w:color="auto" w:fill="auto"/>
                  <w:vAlign w:val="center"/>
                </w:tcPr>
                <w:p w14:paraId="2DF748A7">
                  <w:pPr>
                    <w:keepNext w:val="0"/>
                    <w:keepLines w:val="0"/>
                    <w:widowControl/>
                    <w:suppressLineNumbers w:val="0"/>
                    <w:jc w:val="center"/>
                    <w:textAlignment w:val="center"/>
                    <w:rPr>
                      <w:color w:val="auto"/>
                      <w:sz w:val="18"/>
                      <w:szCs w:val="18"/>
                    </w:rPr>
                  </w:pPr>
                </w:p>
              </w:tc>
              <w:tc>
                <w:tcPr>
                  <w:tcW w:w="694" w:type="pct"/>
                  <w:shd w:val="clear" w:color="auto" w:fill="auto"/>
                  <w:vAlign w:val="center"/>
                </w:tcPr>
                <w:p w14:paraId="0D9DF7FA">
                  <w:pPr>
                    <w:keepNext w:val="0"/>
                    <w:keepLines w:val="0"/>
                    <w:widowControl/>
                    <w:suppressLineNumbers w:val="0"/>
                    <w:jc w:val="center"/>
                    <w:textAlignment w:val="center"/>
                    <w:rPr>
                      <w:color w:val="auto"/>
                      <w:sz w:val="18"/>
                      <w:szCs w:val="18"/>
                    </w:rPr>
                  </w:pPr>
                </w:p>
              </w:tc>
              <w:tc>
                <w:tcPr>
                  <w:tcW w:w="694" w:type="pct"/>
                  <w:shd w:val="clear" w:color="auto" w:fill="auto"/>
                  <w:vAlign w:val="center"/>
                </w:tcPr>
                <w:p w14:paraId="00FC5016">
                  <w:pPr>
                    <w:keepNext w:val="0"/>
                    <w:keepLines w:val="0"/>
                    <w:widowControl/>
                    <w:suppressLineNumbers w:val="0"/>
                    <w:jc w:val="center"/>
                    <w:textAlignment w:val="center"/>
                    <w:rPr>
                      <w:color w:val="auto"/>
                      <w:sz w:val="18"/>
                      <w:szCs w:val="18"/>
                    </w:rPr>
                  </w:pPr>
                </w:p>
              </w:tc>
              <w:tc>
                <w:tcPr>
                  <w:tcW w:w="724" w:type="pct"/>
                  <w:shd w:val="clear" w:color="auto" w:fill="auto"/>
                  <w:vAlign w:val="center"/>
                </w:tcPr>
                <w:p w14:paraId="602B07C7">
                  <w:pPr>
                    <w:keepNext w:val="0"/>
                    <w:keepLines w:val="0"/>
                    <w:widowControl/>
                    <w:suppressLineNumbers w:val="0"/>
                    <w:jc w:val="center"/>
                    <w:textAlignment w:val="center"/>
                    <w:rPr>
                      <w:color w:val="auto"/>
                      <w:sz w:val="18"/>
                      <w:szCs w:val="18"/>
                    </w:rPr>
                  </w:pPr>
                </w:p>
              </w:tc>
              <w:tc>
                <w:tcPr>
                  <w:tcW w:w="801" w:type="pct"/>
                  <w:shd w:val="clear" w:color="auto" w:fill="auto"/>
                  <w:vAlign w:val="center"/>
                </w:tcPr>
                <w:p w14:paraId="21296577">
                  <w:pPr>
                    <w:keepNext w:val="0"/>
                    <w:keepLines w:val="0"/>
                    <w:widowControl/>
                    <w:suppressLineNumbers w:val="0"/>
                    <w:jc w:val="center"/>
                    <w:textAlignment w:val="center"/>
                    <w:rPr>
                      <w:color w:val="auto"/>
                      <w:sz w:val="18"/>
                      <w:szCs w:val="18"/>
                    </w:rPr>
                  </w:pPr>
                </w:p>
              </w:tc>
            </w:tr>
            <w:tr w14:paraId="2B32D9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694" w:type="pct"/>
                  <w:shd w:val="clear" w:color="auto" w:fill="auto"/>
                  <w:vAlign w:val="center"/>
                </w:tcPr>
                <w:p w14:paraId="26EF94D5">
                  <w:pPr>
                    <w:widowControl/>
                    <w:jc w:val="center"/>
                    <w:textAlignment w:val="center"/>
                    <w:rPr>
                      <w:rFonts w:hint="default" w:eastAsia="宋体"/>
                      <w:color w:val="auto"/>
                      <w:sz w:val="18"/>
                      <w:szCs w:val="18"/>
                      <w:lang w:val="en-US" w:eastAsia="zh-CN"/>
                    </w:rPr>
                  </w:pPr>
                  <w:r>
                    <w:rPr>
                      <w:rFonts w:hint="eastAsia"/>
                      <w:color w:val="auto"/>
                      <w:sz w:val="18"/>
                      <w:szCs w:val="18"/>
                      <w:lang w:val="en-US" w:eastAsia="zh-CN"/>
                    </w:rPr>
                    <w:t>7</w:t>
                  </w:r>
                </w:p>
              </w:tc>
              <w:tc>
                <w:tcPr>
                  <w:tcW w:w="694" w:type="pct"/>
                  <w:vMerge w:val="continue"/>
                  <w:shd w:val="clear" w:color="auto" w:fill="auto"/>
                  <w:vAlign w:val="center"/>
                </w:tcPr>
                <w:p w14:paraId="446F5869">
                  <w:pPr>
                    <w:jc w:val="center"/>
                    <w:rPr>
                      <w:color w:val="auto"/>
                      <w:sz w:val="18"/>
                      <w:szCs w:val="18"/>
                    </w:rPr>
                  </w:pPr>
                </w:p>
              </w:tc>
              <w:tc>
                <w:tcPr>
                  <w:tcW w:w="694" w:type="pct"/>
                  <w:shd w:val="clear" w:color="auto" w:fill="auto"/>
                  <w:vAlign w:val="center"/>
                </w:tcPr>
                <w:p w14:paraId="386BADAC">
                  <w:pPr>
                    <w:widowControl/>
                    <w:jc w:val="center"/>
                    <w:textAlignment w:val="center"/>
                    <w:rPr>
                      <w:color w:val="auto"/>
                      <w:sz w:val="18"/>
                      <w:szCs w:val="18"/>
                    </w:rPr>
                  </w:pPr>
                </w:p>
              </w:tc>
              <w:tc>
                <w:tcPr>
                  <w:tcW w:w="694" w:type="pct"/>
                  <w:shd w:val="clear" w:color="auto" w:fill="auto"/>
                  <w:vAlign w:val="center"/>
                </w:tcPr>
                <w:p w14:paraId="6C350D02">
                  <w:pPr>
                    <w:widowControl/>
                    <w:jc w:val="center"/>
                    <w:textAlignment w:val="center"/>
                    <w:rPr>
                      <w:color w:val="auto"/>
                      <w:sz w:val="18"/>
                      <w:szCs w:val="18"/>
                    </w:rPr>
                  </w:pPr>
                </w:p>
              </w:tc>
              <w:tc>
                <w:tcPr>
                  <w:tcW w:w="694" w:type="pct"/>
                  <w:shd w:val="clear" w:color="auto" w:fill="auto"/>
                  <w:vAlign w:val="center"/>
                </w:tcPr>
                <w:p w14:paraId="21C77ACD">
                  <w:pPr>
                    <w:keepNext w:val="0"/>
                    <w:keepLines w:val="0"/>
                    <w:widowControl/>
                    <w:suppressLineNumbers w:val="0"/>
                    <w:jc w:val="center"/>
                    <w:textAlignment w:val="center"/>
                    <w:rPr>
                      <w:color w:val="auto"/>
                      <w:sz w:val="18"/>
                      <w:szCs w:val="18"/>
                    </w:rPr>
                  </w:pPr>
                </w:p>
              </w:tc>
              <w:tc>
                <w:tcPr>
                  <w:tcW w:w="724" w:type="pct"/>
                  <w:shd w:val="clear" w:color="auto" w:fill="auto"/>
                  <w:vAlign w:val="center"/>
                </w:tcPr>
                <w:p w14:paraId="44D49393">
                  <w:pPr>
                    <w:keepNext w:val="0"/>
                    <w:keepLines w:val="0"/>
                    <w:widowControl/>
                    <w:suppressLineNumbers w:val="0"/>
                    <w:jc w:val="center"/>
                    <w:textAlignment w:val="center"/>
                    <w:rPr>
                      <w:color w:val="auto"/>
                      <w:sz w:val="18"/>
                      <w:szCs w:val="18"/>
                    </w:rPr>
                  </w:pPr>
                </w:p>
              </w:tc>
              <w:tc>
                <w:tcPr>
                  <w:tcW w:w="801" w:type="pct"/>
                  <w:shd w:val="clear" w:color="auto" w:fill="auto"/>
                  <w:vAlign w:val="center"/>
                </w:tcPr>
                <w:p w14:paraId="675B4FF6">
                  <w:pPr>
                    <w:keepNext w:val="0"/>
                    <w:keepLines w:val="0"/>
                    <w:widowControl/>
                    <w:suppressLineNumbers w:val="0"/>
                    <w:jc w:val="center"/>
                    <w:textAlignment w:val="center"/>
                    <w:rPr>
                      <w:color w:val="auto"/>
                      <w:sz w:val="18"/>
                      <w:szCs w:val="18"/>
                    </w:rPr>
                  </w:pPr>
                </w:p>
              </w:tc>
            </w:tr>
          </w:tbl>
          <w:p w14:paraId="5F443764">
            <w:pPr>
              <w:spacing w:line="500" w:lineRule="exact"/>
              <w:ind w:firstLine="420" w:firstLineChars="200"/>
              <w:rPr>
                <w:color w:val="auto"/>
                <w:szCs w:val="21"/>
              </w:rPr>
            </w:pPr>
            <w:r>
              <w:rPr>
                <w:rFonts w:hint="eastAsia"/>
                <w:color w:val="auto"/>
                <w:szCs w:val="21"/>
              </w:rPr>
              <w:t>无组织废气为未收集的实验室废气，包括甲醇、</w:t>
            </w:r>
            <w:r>
              <w:rPr>
                <w:rFonts w:hint="eastAsia"/>
                <w:color w:val="auto"/>
                <w:szCs w:val="21"/>
                <w:lang w:val="en-US" w:eastAsia="zh-CN"/>
              </w:rPr>
              <w:t>乙二醇</w:t>
            </w:r>
            <w:r>
              <w:rPr>
                <w:rFonts w:hint="eastAsia"/>
                <w:color w:val="auto"/>
                <w:szCs w:val="21"/>
              </w:rPr>
              <w:t>、</w:t>
            </w:r>
            <w:r>
              <w:rPr>
                <w:rFonts w:hint="eastAsia"/>
                <w:color w:val="auto"/>
                <w:szCs w:val="21"/>
                <w:lang w:val="en-US" w:eastAsia="zh-CN"/>
              </w:rPr>
              <w:t>四氯化碳</w:t>
            </w:r>
            <w:r>
              <w:rPr>
                <w:rFonts w:hint="eastAsia"/>
                <w:color w:val="auto"/>
                <w:szCs w:val="21"/>
              </w:rPr>
              <w:t>、</w:t>
            </w:r>
            <w:r>
              <w:rPr>
                <w:rFonts w:hint="eastAsia"/>
                <w:color w:val="auto"/>
                <w:szCs w:val="21"/>
                <w:lang w:val="en-US" w:eastAsia="zh-CN"/>
              </w:rPr>
              <w:t>VOCs</w:t>
            </w:r>
            <w:r>
              <w:rPr>
                <w:rFonts w:hint="eastAsia"/>
                <w:color w:val="auto"/>
                <w:szCs w:val="21"/>
              </w:rPr>
              <w:t>、硫酸雾、硝酸雾</w:t>
            </w:r>
            <w:r>
              <w:rPr>
                <w:rFonts w:hint="eastAsia"/>
                <w:color w:val="auto"/>
                <w:szCs w:val="21"/>
                <w:lang w:val="en-US" w:eastAsia="zh-CN"/>
              </w:rPr>
              <w:t>、</w:t>
            </w:r>
            <w:r>
              <w:rPr>
                <w:rFonts w:hint="eastAsia"/>
                <w:color w:val="auto"/>
                <w:szCs w:val="21"/>
              </w:rPr>
              <w:t>氨等，在实验室内加强机械通风后排放。</w:t>
            </w:r>
          </w:p>
          <w:p w14:paraId="570DDF07">
            <w:pPr>
              <w:spacing w:line="500" w:lineRule="exact"/>
              <w:ind w:firstLine="420" w:firstLineChars="200"/>
              <w:rPr>
                <w:color w:val="auto"/>
                <w:szCs w:val="21"/>
              </w:rPr>
            </w:pPr>
            <w:r>
              <w:rPr>
                <w:rFonts w:hint="eastAsia"/>
                <w:color w:val="auto"/>
                <w:szCs w:val="21"/>
              </w:rPr>
              <w:t>本项目化验室配备了通风柜、万向排气罩等，用于实验过程中产生废气的收集，</w:t>
            </w:r>
            <w:r>
              <w:rPr>
                <w:rFonts w:hint="eastAsia"/>
                <w:color w:val="auto"/>
                <w:szCs w:val="21"/>
                <w:lang w:val="en-US" w:eastAsia="zh-CN"/>
              </w:rPr>
              <w:t>实验</w:t>
            </w:r>
            <w:r>
              <w:rPr>
                <w:rFonts w:hint="eastAsia"/>
                <w:color w:val="auto"/>
                <w:szCs w:val="21"/>
              </w:rPr>
              <w:t>室风</w:t>
            </w:r>
            <w:r>
              <w:rPr>
                <w:rFonts w:hint="eastAsia"/>
                <w:color w:val="auto"/>
                <w:szCs w:val="21"/>
                <w:lang w:val="en-US" w:eastAsia="zh-CN"/>
              </w:rPr>
              <w:t>量设计</w:t>
            </w:r>
            <w:r>
              <w:rPr>
                <w:rFonts w:hint="eastAsia"/>
                <w:color w:val="auto"/>
                <w:szCs w:val="21"/>
              </w:rPr>
              <w:t>见表4-</w:t>
            </w:r>
            <w:r>
              <w:rPr>
                <w:color w:val="auto"/>
                <w:szCs w:val="21"/>
              </w:rPr>
              <w:t>2</w:t>
            </w:r>
            <w:r>
              <w:rPr>
                <w:rFonts w:hint="eastAsia"/>
                <w:color w:val="auto"/>
                <w:szCs w:val="21"/>
              </w:rPr>
              <w:t>（1），本项目有组织和无组织废气产排情况分别见表</w:t>
            </w:r>
            <w:r>
              <w:rPr>
                <w:color w:val="auto"/>
                <w:szCs w:val="21"/>
              </w:rPr>
              <w:t>4-2</w:t>
            </w:r>
            <w:r>
              <w:rPr>
                <w:rFonts w:hint="eastAsia"/>
                <w:color w:val="auto"/>
                <w:szCs w:val="21"/>
              </w:rPr>
              <w:t>（2）及表4-</w:t>
            </w:r>
            <w:r>
              <w:rPr>
                <w:color w:val="auto"/>
                <w:szCs w:val="21"/>
              </w:rPr>
              <w:t>3</w:t>
            </w:r>
            <w:r>
              <w:rPr>
                <w:rFonts w:hint="eastAsia"/>
                <w:color w:val="auto"/>
                <w:szCs w:val="21"/>
              </w:rPr>
              <w:t>。</w:t>
            </w:r>
          </w:p>
        </w:tc>
      </w:tr>
    </w:tbl>
    <w:p w14:paraId="7A120C68">
      <w:pPr>
        <w:adjustRightInd w:val="0"/>
        <w:snapToGrid w:val="0"/>
        <w:spacing w:line="360" w:lineRule="auto"/>
        <w:ind w:firstLine="562"/>
        <w:rPr>
          <w:b/>
          <w:color w:val="auto"/>
          <w:kern w:val="0"/>
          <w:sz w:val="28"/>
          <w:szCs w:val="28"/>
        </w:rPr>
      </w:pPr>
    </w:p>
    <w:p w14:paraId="2172DEF4">
      <w:pPr>
        <w:adjustRightInd w:val="0"/>
        <w:snapToGrid w:val="0"/>
        <w:spacing w:line="360" w:lineRule="auto"/>
        <w:ind w:firstLine="562"/>
        <w:rPr>
          <w:b/>
          <w:color w:val="auto"/>
          <w:kern w:val="0"/>
          <w:sz w:val="28"/>
          <w:szCs w:val="28"/>
        </w:rPr>
        <w:sectPr>
          <w:type w:val="nextColumn"/>
          <w:pgSz w:w="11907" w:h="16840"/>
          <w:pgMar w:top="1418" w:right="1418" w:bottom="1418" w:left="1418" w:header="851" w:footer="851" w:gutter="0"/>
          <w:cols w:space="720" w:num="1"/>
          <w:docGrid w:linePitch="312" w:charSpace="0"/>
        </w:sectPr>
      </w:pPr>
    </w:p>
    <w:tbl>
      <w:tblPr>
        <w:tblStyle w:val="21"/>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36"/>
        <w:gridCol w:w="20519"/>
      </w:tblGrid>
      <w:tr w14:paraId="1440694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10" w:hRule="atLeast"/>
          <w:jc w:val="center"/>
        </w:trPr>
        <w:tc>
          <w:tcPr>
            <w:tcW w:w="104" w:type="pct"/>
            <w:tcMar>
              <w:left w:w="28" w:type="dxa"/>
              <w:right w:w="28" w:type="dxa"/>
            </w:tcMar>
            <w:vAlign w:val="center"/>
          </w:tcPr>
          <w:p w14:paraId="4EE00324">
            <w:pPr>
              <w:adjustRightInd w:val="0"/>
              <w:snapToGrid w:val="0"/>
              <w:jc w:val="center"/>
              <w:rPr>
                <w:bCs/>
                <w:color w:val="auto"/>
                <w:szCs w:val="21"/>
              </w:rPr>
            </w:pPr>
            <w:r>
              <w:rPr>
                <w:bCs/>
                <w:color w:val="auto"/>
                <w:szCs w:val="21"/>
              </w:rPr>
              <w:t>运营期环境影响和保护措施</w:t>
            </w:r>
          </w:p>
        </w:tc>
        <w:tc>
          <w:tcPr>
            <w:tcW w:w="4896" w:type="pct"/>
          </w:tcPr>
          <w:p w14:paraId="02E56761">
            <w:pPr>
              <w:snapToGrid w:val="0"/>
              <w:spacing w:line="500" w:lineRule="exact"/>
              <w:jc w:val="center"/>
              <w:rPr>
                <w:rFonts w:hint="eastAsia" w:eastAsia="宋体"/>
                <w:b/>
                <w:color w:val="auto"/>
                <w:szCs w:val="21"/>
                <w:lang w:val="en-US" w:eastAsia="zh-CN"/>
              </w:rPr>
            </w:pPr>
            <w:r>
              <w:rPr>
                <w:rFonts w:hint="eastAsia"/>
                <w:b/>
                <w:color w:val="auto"/>
                <w:szCs w:val="21"/>
              </w:rPr>
              <w:t>表</w:t>
            </w:r>
            <w:r>
              <w:rPr>
                <w:b/>
                <w:color w:val="auto"/>
                <w:szCs w:val="21"/>
              </w:rPr>
              <w:t>4-2</w:t>
            </w:r>
            <w:r>
              <w:rPr>
                <w:rFonts w:hint="eastAsia"/>
                <w:b/>
                <w:color w:val="auto"/>
                <w:szCs w:val="21"/>
              </w:rPr>
              <w:t>（</w:t>
            </w:r>
            <w:r>
              <w:rPr>
                <w:b/>
                <w:color w:val="auto"/>
                <w:szCs w:val="21"/>
              </w:rPr>
              <w:t>1</w:t>
            </w:r>
            <w:r>
              <w:rPr>
                <w:rFonts w:hint="eastAsia"/>
                <w:b/>
                <w:color w:val="auto"/>
                <w:szCs w:val="21"/>
              </w:rPr>
              <w:t>）项目实验室风</w:t>
            </w:r>
            <w:r>
              <w:rPr>
                <w:rFonts w:hint="eastAsia"/>
                <w:b/>
                <w:color w:val="auto"/>
                <w:szCs w:val="21"/>
                <w:lang w:val="en-US" w:eastAsia="zh-CN"/>
              </w:rPr>
              <w:t>量设计</w:t>
            </w:r>
            <w:r>
              <w:rPr>
                <w:rFonts w:hint="eastAsia"/>
                <w:b/>
                <w:color w:val="auto"/>
                <w:szCs w:val="21"/>
              </w:rPr>
              <w:t>表</w:t>
            </w:r>
          </w:p>
          <w:tbl>
            <w:tblPr>
              <w:tblStyle w:val="21"/>
              <w:tblW w:w="499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28" w:type="dxa"/>
                <w:left w:w="28" w:type="dxa"/>
                <w:bottom w:w="28" w:type="dxa"/>
                <w:right w:w="28" w:type="dxa"/>
              </w:tblCellMar>
            </w:tblPr>
            <w:tblGrid>
              <w:gridCol w:w="7639"/>
              <w:gridCol w:w="7851"/>
              <w:gridCol w:w="4809"/>
            </w:tblGrid>
            <w:tr w14:paraId="0159F9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28" w:type="dxa"/>
                  <w:bottom w:w="28" w:type="dxa"/>
                  <w:right w:w="28" w:type="dxa"/>
                </w:tblCellMar>
              </w:tblPrEx>
              <w:trPr>
                <w:cantSplit/>
                <w:jc w:val="center"/>
              </w:trPr>
              <w:tc>
                <w:tcPr>
                  <w:tcW w:w="1881" w:type="pct"/>
                  <w:vAlign w:val="center"/>
                </w:tcPr>
                <w:p w14:paraId="09D77DD4">
                  <w:pPr>
                    <w:widowControl/>
                    <w:jc w:val="center"/>
                    <w:rPr>
                      <w:rFonts w:hint="eastAsia" w:eastAsia="宋体"/>
                      <w:b/>
                      <w:color w:val="auto"/>
                      <w:sz w:val="18"/>
                      <w:szCs w:val="18"/>
                      <w:lang w:eastAsia="zh-CN"/>
                    </w:rPr>
                  </w:pPr>
                </w:p>
              </w:tc>
              <w:tc>
                <w:tcPr>
                  <w:tcW w:w="1933" w:type="pct"/>
                  <w:vAlign w:val="center"/>
                </w:tcPr>
                <w:p w14:paraId="13A67864">
                  <w:pPr>
                    <w:widowControl/>
                    <w:adjustRightInd w:val="0"/>
                    <w:snapToGrid w:val="0"/>
                    <w:ind w:left="-53" w:leftChars="-25" w:right="-53" w:rightChars="-25"/>
                    <w:jc w:val="center"/>
                    <w:rPr>
                      <w:b/>
                      <w:color w:val="auto"/>
                      <w:sz w:val="18"/>
                      <w:szCs w:val="18"/>
                    </w:rPr>
                  </w:pPr>
                </w:p>
              </w:tc>
              <w:tc>
                <w:tcPr>
                  <w:tcW w:w="1184" w:type="pct"/>
                  <w:vAlign w:val="center"/>
                </w:tcPr>
                <w:p w14:paraId="09B50A54">
                  <w:pPr>
                    <w:widowControl/>
                    <w:jc w:val="center"/>
                    <w:rPr>
                      <w:b/>
                      <w:color w:val="auto"/>
                      <w:sz w:val="18"/>
                      <w:szCs w:val="18"/>
                    </w:rPr>
                  </w:pPr>
                </w:p>
              </w:tc>
            </w:tr>
            <w:tr w14:paraId="5A376D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28" w:type="dxa"/>
                  <w:bottom w:w="28" w:type="dxa"/>
                  <w:right w:w="28" w:type="dxa"/>
                </w:tblCellMar>
              </w:tblPrEx>
              <w:trPr>
                <w:cantSplit/>
                <w:trHeight w:val="90" w:hRule="atLeast"/>
                <w:jc w:val="center"/>
              </w:trPr>
              <w:tc>
                <w:tcPr>
                  <w:tcW w:w="1881" w:type="pct"/>
                  <w:vAlign w:val="center"/>
                </w:tcPr>
                <w:p w14:paraId="25810F4C">
                  <w:pPr>
                    <w:widowControl/>
                    <w:jc w:val="center"/>
                    <w:rPr>
                      <w:rFonts w:hint="default" w:eastAsia="宋体"/>
                      <w:bCs/>
                      <w:color w:val="auto"/>
                      <w:sz w:val="18"/>
                      <w:szCs w:val="18"/>
                      <w:lang w:val="en-US" w:eastAsia="zh-CN"/>
                    </w:rPr>
                  </w:pPr>
                </w:p>
              </w:tc>
              <w:tc>
                <w:tcPr>
                  <w:tcW w:w="1933" w:type="pct"/>
                  <w:vAlign w:val="center"/>
                </w:tcPr>
                <w:p w14:paraId="7625CBAC">
                  <w:pPr>
                    <w:widowControl/>
                    <w:adjustRightInd w:val="0"/>
                    <w:snapToGrid w:val="0"/>
                    <w:ind w:left="-53" w:leftChars="-25" w:right="-53" w:rightChars="-25"/>
                    <w:jc w:val="center"/>
                    <w:rPr>
                      <w:rFonts w:hint="default" w:eastAsia="宋体"/>
                      <w:bCs/>
                      <w:color w:val="auto"/>
                      <w:sz w:val="18"/>
                      <w:szCs w:val="18"/>
                      <w:lang w:val="en-US" w:eastAsia="zh-CN"/>
                    </w:rPr>
                  </w:pPr>
                </w:p>
              </w:tc>
              <w:tc>
                <w:tcPr>
                  <w:tcW w:w="1184" w:type="pct"/>
                  <w:vMerge w:val="restart"/>
                  <w:shd w:val="clear" w:color="auto" w:fill="auto"/>
                  <w:vAlign w:val="center"/>
                </w:tcPr>
                <w:p w14:paraId="5006FA32">
                  <w:pPr>
                    <w:widowControl/>
                    <w:jc w:val="center"/>
                    <w:rPr>
                      <w:rFonts w:hint="default" w:ascii="Times New Roman" w:hAnsi="Times New Roman" w:eastAsia="宋体" w:cs="Times New Roman"/>
                      <w:bCs/>
                      <w:color w:val="auto"/>
                      <w:kern w:val="2"/>
                      <w:sz w:val="18"/>
                      <w:szCs w:val="18"/>
                      <w:lang w:val="en-US" w:eastAsia="zh-CN" w:bidi="ar-SA"/>
                    </w:rPr>
                  </w:pPr>
                </w:p>
              </w:tc>
            </w:tr>
            <w:tr w14:paraId="4D71D8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28" w:type="dxa"/>
                  <w:bottom w:w="28" w:type="dxa"/>
                  <w:right w:w="28" w:type="dxa"/>
                </w:tblCellMar>
              </w:tblPrEx>
              <w:trPr>
                <w:cantSplit/>
                <w:trHeight w:val="90" w:hRule="atLeast"/>
                <w:jc w:val="center"/>
              </w:trPr>
              <w:tc>
                <w:tcPr>
                  <w:tcW w:w="1881" w:type="pct"/>
                  <w:vAlign w:val="center"/>
                </w:tcPr>
                <w:p w14:paraId="143631E6">
                  <w:pPr>
                    <w:widowControl/>
                    <w:jc w:val="center"/>
                    <w:rPr>
                      <w:rFonts w:hint="default"/>
                      <w:bCs/>
                      <w:color w:val="auto"/>
                      <w:sz w:val="18"/>
                      <w:szCs w:val="18"/>
                      <w:lang w:val="en-US" w:eastAsia="zh-CN"/>
                    </w:rPr>
                  </w:pPr>
                </w:p>
              </w:tc>
              <w:tc>
                <w:tcPr>
                  <w:tcW w:w="1933" w:type="pct"/>
                  <w:vAlign w:val="center"/>
                </w:tcPr>
                <w:p w14:paraId="7F05822A">
                  <w:pPr>
                    <w:widowControl/>
                    <w:adjustRightInd w:val="0"/>
                    <w:snapToGrid w:val="0"/>
                    <w:ind w:left="-53" w:leftChars="-25" w:right="-53" w:rightChars="-25"/>
                    <w:jc w:val="center"/>
                    <w:rPr>
                      <w:rFonts w:hint="default"/>
                      <w:bCs/>
                      <w:color w:val="auto"/>
                      <w:sz w:val="18"/>
                      <w:szCs w:val="18"/>
                      <w:lang w:val="en-US" w:eastAsia="zh-CN"/>
                    </w:rPr>
                  </w:pPr>
                </w:p>
              </w:tc>
              <w:tc>
                <w:tcPr>
                  <w:tcW w:w="1184" w:type="pct"/>
                  <w:vMerge w:val="continue"/>
                  <w:shd w:val="clear" w:color="auto" w:fill="auto"/>
                  <w:vAlign w:val="center"/>
                </w:tcPr>
                <w:p w14:paraId="369EF5CE">
                  <w:pPr>
                    <w:widowControl/>
                    <w:jc w:val="center"/>
                    <w:rPr>
                      <w:rFonts w:hint="eastAsia"/>
                      <w:bCs/>
                      <w:color w:val="auto"/>
                      <w:sz w:val="18"/>
                      <w:szCs w:val="18"/>
                      <w:lang w:val="en-US" w:eastAsia="zh-CN"/>
                    </w:rPr>
                  </w:pPr>
                </w:p>
              </w:tc>
            </w:tr>
            <w:tr w14:paraId="45337E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cantSplit/>
                <w:trHeight w:val="90" w:hRule="atLeast"/>
                <w:jc w:val="center"/>
              </w:trPr>
              <w:tc>
                <w:tcPr>
                  <w:tcW w:w="1881" w:type="pct"/>
                  <w:vAlign w:val="center"/>
                </w:tcPr>
                <w:p w14:paraId="037BB74C">
                  <w:pPr>
                    <w:widowControl/>
                    <w:jc w:val="center"/>
                    <w:rPr>
                      <w:rFonts w:hint="default"/>
                      <w:bCs/>
                      <w:color w:val="auto"/>
                      <w:sz w:val="18"/>
                      <w:szCs w:val="18"/>
                      <w:lang w:val="en-US" w:eastAsia="zh-CN"/>
                    </w:rPr>
                  </w:pPr>
                </w:p>
              </w:tc>
              <w:tc>
                <w:tcPr>
                  <w:tcW w:w="1933" w:type="pct"/>
                  <w:vAlign w:val="center"/>
                </w:tcPr>
                <w:p w14:paraId="237E59DA">
                  <w:pPr>
                    <w:widowControl/>
                    <w:adjustRightInd w:val="0"/>
                    <w:snapToGrid w:val="0"/>
                    <w:ind w:left="-53" w:leftChars="-25" w:right="-53" w:rightChars="-25"/>
                    <w:jc w:val="center"/>
                    <w:rPr>
                      <w:rFonts w:hint="default"/>
                      <w:bCs/>
                      <w:color w:val="auto"/>
                      <w:sz w:val="18"/>
                      <w:szCs w:val="18"/>
                      <w:lang w:val="en-US" w:eastAsia="zh-CN"/>
                    </w:rPr>
                  </w:pPr>
                </w:p>
              </w:tc>
              <w:tc>
                <w:tcPr>
                  <w:tcW w:w="1184" w:type="pct"/>
                  <w:vMerge w:val="continue"/>
                  <w:shd w:val="clear" w:color="auto" w:fill="auto"/>
                  <w:vAlign w:val="center"/>
                </w:tcPr>
                <w:p w14:paraId="65B93D51">
                  <w:pPr>
                    <w:widowControl/>
                    <w:jc w:val="center"/>
                    <w:rPr>
                      <w:rFonts w:hint="eastAsia"/>
                      <w:bCs/>
                      <w:color w:val="auto"/>
                      <w:sz w:val="18"/>
                      <w:szCs w:val="18"/>
                      <w:lang w:val="en-US" w:eastAsia="zh-CN"/>
                    </w:rPr>
                  </w:pPr>
                </w:p>
              </w:tc>
            </w:tr>
          </w:tbl>
          <w:p w14:paraId="1B7672B1">
            <w:pPr>
              <w:snapToGrid w:val="0"/>
              <w:spacing w:line="500" w:lineRule="exact"/>
              <w:jc w:val="center"/>
              <w:rPr>
                <w:b/>
                <w:color w:val="auto"/>
                <w:szCs w:val="21"/>
              </w:rPr>
            </w:pPr>
            <w:r>
              <w:rPr>
                <w:rFonts w:hint="eastAsia"/>
                <w:b/>
                <w:color w:val="auto"/>
                <w:szCs w:val="21"/>
              </w:rPr>
              <w:t>表</w:t>
            </w:r>
            <w:r>
              <w:rPr>
                <w:b/>
                <w:color w:val="auto"/>
                <w:szCs w:val="21"/>
              </w:rPr>
              <w:t>4-2</w:t>
            </w:r>
            <w:r>
              <w:rPr>
                <w:rFonts w:hint="eastAsia"/>
                <w:b/>
                <w:color w:val="auto"/>
                <w:szCs w:val="21"/>
              </w:rPr>
              <w:t>（2）项目有组织废气污染物产生及排放情况</w:t>
            </w:r>
          </w:p>
          <w:tbl>
            <w:tblPr>
              <w:tblStyle w:val="21"/>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29"/>
              <w:gridCol w:w="1670"/>
              <w:gridCol w:w="1341"/>
              <w:gridCol w:w="1560"/>
              <w:gridCol w:w="1081"/>
              <w:gridCol w:w="711"/>
              <w:gridCol w:w="1008"/>
              <w:gridCol w:w="634"/>
              <w:gridCol w:w="2239"/>
              <w:gridCol w:w="955"/>
              <w:gridCol w:w="670"/>
              <w:gridCol w:w="666"/>
              <w:gridCol w:w="890"/>
              <w:gridCol w:w="1069"/>
              <w:gridCol w:w="800"/>
              <w:gridCol w:w="886"/>
              <w:gridCol w:w="800"/>
              <w:gridCol w:w="744"/>
              <w:gridCol w:w="512"/>
              <w:gridCol w:w="650"/>
              <w:gridCol w:w="784"/>
            </w:tblGrid>
            <w:tr w14:paraId="24BE6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55" w:type="pct"/>
                  <w:vMerge w:val="restart"/>
                  <w:tcBorders>
                    <w:top w:val="single" w:color="auto" w:sz="12" w:space="0"/>
                    <w:left w:val="single" w:color="000000" w:sz="4" w:space="0"/>
                    <w:bottom w:val="single" w:color="auto" w:sz="4" w:space="0"/>
                    <w:right w:val="single" w:color="auto" w:sz="4" w:space="0"/>
                  </w:tcBorders>
                  <w:shd w:val="clear" w:color="auto" w:fill="auto"/>
                  <w:vAlign w:val="center"/>
                </w:tcPr>
                <w:p w14:paraId="4F10974C">
                  <w:pPr>
                    <w:keepNext w:val="0"/>
                    <w:keepLines w:val="0"/>
                    <w:widowControl/>
                    <w:suppressLineNumbers w:val="0"/>
                    <w:jc w:val="center"/>
                    <w:textAlignment w:val="center"/>
                    <w:rPr>
                      <w:rFonts w:hint="default" w:ascii="Times New Roman" w:hAnsi="Times New Roman" w:eastAsia="宋体" w:cs="Times New Roman"/>
                      <w:b/>
                      <w:bCs/>
                      <w:i w:val="0"/>
                      <w:iCs w:val="0"/>
                      <w:color w:val="auto"/>
                      <w:sz w:val="18"/>
                      <w:szCs w:val="18"/>
                      <w:u w:val="none"/>
                    </w:rPr>
                  </w:pPr>
                </w:p>
              </w:tc>
              <w:tc>
                <w:tcPr>
                  <w:tcW w:w="411" w:type="pct"/>
                  <w:vMerge w:val="restart"/>
                  <w:tcBorders>
                    <w:top w:val="single" w:color="auto" w:sz="12" w:space="0"/>
                    <w:left w:val="single" w:color="auto" w:sz="4" w:space="0"/>
                    <w:bottom w:val="single" w:color="auto" w:sz="4" w:space="0"/>
                    <w:right w:val="single" w:color="auto" w:sz="4" w:space="0"/>
                  </w:tcBorders>
                  <w:shd w:val="clear" w:color="auto" w:fill="auto"/>
                  <w:vAlign w:val="center"/>
                </w:tcPr>
                <w:p w14:paraId="1726CE0C">
                  <w:pPr>
                    <w:keepNext w:val="0"/>
                    <w:keepLines w:val="0"/>
                    <w:widowControl/>
                    <w:suppressLineNumbers w:val="0"/>
                    <w:jc w:val="center"/>
                    <w:textAlignment w:val="center"/>
                    <w:rPr>
                      <w:rFonts w:hint="default" w:ascii="Times New Roman" w:hAnsi="Times New Roman" w:eastAsia="宋体" w:cs="Times New Roman"/>
                      <w:b/>
                      <w:bCs/>
                      <w:i w:val="0"/>
                      <w:iCs w:val="0"/>
                      <w:color w:val="auto"/>
                      <w:sz w:val="18"/>
                      <w:szCs w:val="18"/>
                      <w:u w:val="none"/>
                    </w:rPr>
                  </w:pPr>
                </w:p>
              </w:tc>
              <w:tc>
                <w:tcPr>
                  <w:tcW w:w="1403" w:type="pct"/>
                  <w:gridSpan w:val="5"/>
                  <w:tcBorders>
                    <w:top w:val="single" w:color="auto" w:sz="12" w:space="0"/>
                    <w:left w:val="single" w:color="auto" w:sz="4" w:space="0"/>
                    <w:bottom w:val="single" w:color="auto" w:sz="4" w:space="0"/>
                    <w:right w:val="single" w:color="auto" w:sz="4" w:space="0"/>
                  </w:tcBorders>
                  <w:shd w:val="clear" w:color="auto" w:fill="auto"/>
                  <w:vAlign w:val="center"/>
                </w:tcPr>
                <w:p w14:paraId="355D78BC">
                  <w:pPr>
                    <w:keepNext w:val="0"/>
                    <w:keepLines w:val="0"/>
                    <w:widowControl/>
                    <w:suppressLineNumbers w:val="0"/>
                    <w:jc w:val="center"/>
                    <w:textAlignment w:val="center"/>
                    <w:rPr>
                      <w:rFonts w:hint="default" w:ascii="Times New Roman" w:hAnsi="Times New Roman" w:eastAsia="宋体" w:cs="Times New Roman"/>
                      <w:b/>
                      <w:bCs/>
                      <w:i w:val="0"/>
                      <w:iCs w:val="0"/>
                      <w:color w:val="auto"/>
                      <w:sz w:val="18"/>
                      <w:szCs w:val="18"/>
                      <w:u w:val="none"/>
                    </w:rPr>
                  </w:pPr>
                </w:p>
              </w:tc>
              <w:tc>
                <w:tcPr>
                  <w:tcW w:w="156" w:type="pct"/>
                  <w:vMerge w:val="restart"/>
                  <w:tcBorders>
                    <w:top w:val="single" w:color="auto" w:sz="12" w:space="0"/>
                    <w:left w:val="single" w:color="auto" w:sz="4" w:space="0"/>
                    <w:bottom w:val="single" w:color="auto" w:sz="4" w:space="0"/>
                    <w:right w:val="single" w:color="auto" w:sz="4" w:space="0"/>
                  </w:tcBorders>
                  <w:shd w:val="clear" w:color="auto" w:fill="auto"/>
                  <w:vAlign w:val="center"/>
                </w:tcPr>
                <w:p w14:paraId="1D111B45">
                  <w:pPr>
                    <w:keepNext w:val="0"/>
                    <w:keepLines w:val="0"/>
                    <w:widowControl/>
                    <w:suppressLineNumbers w:val="0"/>
                    <w:jc w:val="center"/>
                    <w:textAlignment w:val="center"/>
                    <w:rPr>
                      <w:rFonts w:hint="default" w:ascii="Times New Roman" w:hAnsi="Times New Roman" w:eastAsia="宋体" w:cs="Times New Roman"/>
                      <w:b/>
                      <w:bCs/>
                      <w:i w:val="0"/>
                      <w:iCs w:val="0"/>
                      <w:color w:val="auto"/>
                      <w:sz w:val="18"/>
                      <w:szCs w:val="18"/>
                      <w:u w:val="none"/>
                    </w:rPr>
                  </w:pPr>
                </w:p>
              </w:tc>
              <w:tc>
                <w:tcPr>
                  <w:tcW w:w="951" w:type="pct"/>
                  <w:gridSpan w:val="3"/>
                  <w:tcBorders>
                    <w:top w:val="single" w:color="auto" w:sz="12" w:space="0"/>
                    <w:left w:val="single" w:color="auto" w:sz="4" w:space="0"/>
                    <w:bottom w:val="single" w:color="auto" w:sz="4" w:space="0"/>
                    <w:right w:val="single" w:color="auto" w:sz="4" w:space="0"/>
                  </w:tcBorders>
                  <w:shd w:val="clear" w:color="auto" w:fill="auto"/>
                  <w:vAlign w:val="center"/>
                </w:tcPr>
                <w:p w14:paraId="29F2D111">
                  <w:pPr>
                    <w:keepNext w:val="0"/>
                    <w:keepLines w:val="0"/>
                    <w:widowControl/>
                    <w:suppressLineNumbers w:val="0"/>
                    <w:jc w:val="center"/>
                    <w:textAlignment w:val="center"/>
                    <w:rPr>
                      <w:rFonts w:hint="default" w:ascii="Times New Roman" w:hAnsi="Times New Roman" w:eastAsia="宋体" w:cs="Times New Roman"/>
                      <w:b/>
                      <w:bCs/>
                      <w:i w:val="0"/>
                      <w:iCs w:val="0"/>
                      <w:color w:val="auto"/>
                      <w:sz w:val="18"/>
                      <w:szCs w:val="18"/>
                      <w:u w:val="none"/>
                    </w:rPr>
                  </w:pPr>
                </w:p>
              </w:tc>
              <w:tc>
                <w:tcPr>
                  <w:tcW w:w="1920" w:type="pct"/>
                  <w:gridSpan w:val="10"/>
                  <w:tcBorders>
                    <w:top w:val="single" w:color="auto" w:sz="12" w:space="0"/>
                    <w:left w:val="single" w:color="auto" w:sz="4" w:space="0"/>
                    <w:bottom w:val="single" w:color="auto" w:sz="4" w:space="0"/>
                    <w:right w:val="nil"/>
                  </w:tcBorders>
                  <w:shd w:val="clear" w:color="auto" w:fill="auto"/>
                  <w:vAlign w:val="top"/>
                </w:tcPr>
                <w:p w14:paraId="3A2BD22C">
                  <w:pPr>
                    <w:keepNext w:val="0"/>
                    <w:keepLines w:val="0"/>
                    <w:widowControl/>
                    <w:suppressLineNumbers w:val="0"/>
                    <w:jc w:val="center"/>
                    <w:textAlignment w:val="top"/>
                    <w:rPr>
                      <w:rFonts w:hint="default" w:ascii="Times New Roman" w:hAnsi="Times New Roman" w:eastAsia="宋体" w:cs="Times New Roman"/>
                      <w:b/>
                      <w:bCs/>
                      <w:i w:val="0"/>
                      <w:iCs w:val="0"/>
                      <w:color w:val="auto"/>
                      <w:sz w:val="18"/>
                      <w:szCs w:val="18"/>
                      <w:u w:val="none"/>
                    </w:rPr>
                  </w:pPr>
                </w:p>
              </w:tc>
            </w:tr>
            <w:tr w14:paraId="12CF87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55" w:type="pct"/>
                  <w:vMerge w:val="continue"/>
                  <w:tcBorders>
                    <w:top w:val="single" w:color="auto" w:sz="4" w:space="0"/>
                    <w:left w:val="nil"/>
                    <w:bottom w:val="single" w:color="auto" w:sz="4" w:space="0"/>
                    <w:right w:val="single" w:color="auto" w:sz="4" w:space="0"/>
                  </w:tcBorders>
                  <w:shd w:val="clear" w:color="auto" w:fill="auto"/>
                  <w:vAlign w:val="center"/>
                </w:tcPr>
                <w:p w14:paraId="2796DB71">
                  <w:pPr>
                    <w:jc w:val="center"/>
                    <w:rPr>
                      <w:rFonts w:hint="default" w:ascii="Times New Roman" w:hAnsi="Times New Roman" w:eastAsia="宋体" w:cs="Times New Roman"/>
                      <w:b/>
                      <w:bCs/>
                      <w:i w:val="0"/>
                      <w:iCs w:val="0"/>
                      <w:color w:val="auto"/>
                      <w:sz w:val="18"/>
                      <w:szCs w:val="18"/>
                      <w:u w:val="none"/>
                    </w:rPr>
                  </w:pPr>
                </w:p>
              </w:tc>
              <w:tc>
                <w:tcPr>
                  <w:tcW w:w="41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AEE0349">
                  <w:pPr>
                    <w:jc w:val="center"/>
                    <w:rPr>
                      <w:rFonts w:hint="default" w:ascii="Times New Roman" w:hAnsi="Times New Roman" w:eastAsia="宋体" w:cs="Times New Roman"/>
                      <w:b/>
                      <w:bCs/>
                      <w:i w:val="0"/>
                      <w:iCs w:val="0"/>
                      <w:color w:val="auto"/>
                      <w:sz w:val="18"/>
                      <w:szCs w:val="18"/>
                      <w:u w:val="none"/>
                    </w:rPr>
                  </w:pPr>
                </w:p>
              </w:tc>
              <w:tc>
                <w:tcPr>
                  <w:tcW w:w="330" w:type="pct"/>
                  <w:tcBorders>
                    <w:top w:val="single" w:color="auto" w:sz="4" w:space="0"/>
                    <w:left w:val="single" w:color="auto" w:sz="4" w:space="0"/>
                    <w:bottom w:val="single" w:color="auto" w:sz="4" w:space="0"/>
                    <w:right w:val="single" w:color="auto" w:sz="4" w:space="0"/>
                  </w:tcBorders>
                  <w:shd w:val="clear" w:color="auto" w:fill="auto"/>
                  <w:vAlign w:val="center"/>
                </w:tcPr>
                <w:p w14:paraId="33296467">
                  <w:pPr>
                    <w:keepNext w:val="0"/>
                    <w:keepLines w:val="0"/>
                    <w:widowControl/>
                    <w:suppressLineNumbers w:val="0"/>
                    <w:jc w:val="center"/>
                    <w:textAlignment w:val="center"/>
                    <w:rPr>
                      <w:rFonts w:hint="default" w:ascii="Times New Roman" w:hAnsi="Times New Roman" w:eastAsia="宋体" w:cs="Times New Roman"/>
                      <w:b/>
                      <w:bCs/>
                      <w:i w:val="0"/>
                      <w:iCs w:val="0"/>
                      <w:color w:val="auto"/>
                      <w:sz w:val="18"/>
                      <w:szCs w:val="18"/>
                      <w:u w:val="none"/>
                    </w:rPr>
                  </w:pPr>
                </w:p>
              </w:tc>
              <w:tc>
                <w:tcPr>
                  <w:tcW w:w="384"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89FB766">
                  <w:pPr>
                    <w:keepNext w:val="0"/>
                    <w:keepLines w:val="0"/>
                    <w:widowControl/>
                    <w:suppressLineNumbers w:val="0"/>
                    <w:jc w:val="center"/>
                    <w:textAlignment w:val="center"/>
                    <w:rPr>
                      <w:rFonts w:hint="default" w:ascii="Times New Roman" w:hAnsi="Times New Roman" w:eastAsia="宋体" w:cs="Times New Roman"/>
                      <w:b/>
                      <w:bCs/>
                      <w:i w:val="0"/>
                      <w:iCs w:val="0"/>
                      <w:color w:val="auto"/>
                      <w:sz w:val="18"/>
                      <w:szCs w:val="18"/>
                      <w:u w:val="none"/>
                    </w:rPr>
                  </w:pPr>
                </w:p>
              </w:tc>
              <w:tc>
                <w:tcPr>
                  <w:tcW w:w="266" w:type="pct"/>
                  <w:tcBorders>
                    <w:top w:val="single" w:color="auto" w:sz="4" w:space="0"/>
                    <w:left w:val="single" w:color="auto" w:sz="4" w:space="0"/>
                    <w:bottom w:val="single" w:color="auto" w:sz="4" w:space="0"/>
                    <w:right w:val="single" w:color="auto" w:sz="4" w:space="0"/>
                  </w:tcBorders>
                  <w:shd w:val="clear" w:color="auto" w:fill="auto"/>
                  <w:vAlign w:val="center"/>
                </w:tcPr>
                <w:p w14:paraId="57B7AE8D">
                  <w:pPr>
                    <w:keepNext w:val="0"/>
                    <w:keepLines w:val="0"/>
                    <w:widowControl/>
                    <w:suppressLineNumbers w:val="0"/>
                    <w:jc w:val="center"/>
                    <w:textAlignment w:val="center"/>
                    <w:rPr>
                      <w:rFonts w:hint="default" w:ascii="Times New Roman" w:hAnsi="Times New Roman" w:eastAsia="宋体" w:cs="Times New Roman"/>
                      <w:b/>
                      <w:bCs/>
                      <w:i w:val="0"/>
                      <w:iCs w:val="0"/>
                      <w:color w:val="auto"/>
                      <w:sz w:val="18"/>
                      <w:szCs w:val="18"/>
                      <w:u w:val="none"/>
                    </w:rPr>
                  </w:pPr>
                </w:p>
              </w:tc>
              <w:tc>
                <w:tcPr>
                  <w:tcW w:w="175" w:type="pct"/>
                  <w:tcBorders>
                    <w:top w:val="single" w:color="auto" w:sz="4" w:space="0"/>
                    <w:left w:val="single" w:color="auto" w:sz="4" w:space="0"/>
                    <w:bottom w:val="single" w:color="auto" w:sz="4" w:space="0"/>
                    <w:right w:val="single" w:color="auto" w:sz="4" w:space="0"/>
                  </w:tcBorders>
                  <w:shd w:val="clear" w:color="auto" w:fill="auto"/>
                  <w:vAlign w:val="center"/>
                </w:tcPr>
                <w:p w14:paraId="65BB833B">
                  <w:pPr>
                    <w:keepNext w:val="0"/>
                    <w:keepLines w:val="0"/>
                    <w:widowControl/>
                    <w:suppressLineNumbers w:val="0"/>
                    <w:jc w:val="center"/>
                    <w:textAlignment w:val="center"/>
                    <w:rPr>
                      <w:rFonts w:hint="default" w:ascii="Times New Roman" w:hAnsi="Times New Roman" w:eastAsia="宋体" w:cs="Times New Roman"/>
                      <w:b/>
                      <w:bCs/>
                      <w:i w:val="0"/>
                      <w:iCs w:val="0"/>
                      <w:color w:val="auto"/>
                      <w:sz w:val="18"/>
                      <w:szCs w:val="18"/>
                      <w:u w:val="none"/>
                    </w:rPr>
                  </w:pPr>
                </w:p>
              </w:tc>
              <w:tc>
                <w:tcPr>
                  <w:tcW w:w="245" w:type="pct"/>
                  <w:tcBorders>
                    <w:top w:val="single" w:color="auto" w:sz="4" w:space="0"/>
                    <w:left w:val="single" w:color="auto" w:sz="4" w:space="0"/>
                    <w:bottom w:val="single" w:color="auto" w:sz="4" w:space="0"/>
                    <w:right w:val="single" w:color="auto" w:sz="4" w:space="0"/>
                  </w:tcBorders>
                  <w:shd w:val="clear" w:color="auto" w:fill="auto"/>
                  <w:vAlign w:val="center"/>
                </w:tcPr>
                <w:p w14:paraId="0928158F">
                  <w:pPr>
                    <w:keepNext w:val="0"/>
                    <w:keepLines w:val="0"/>
                    <w:widowControl/>
                    <w:suppressLineNumbers w:val="0"/>
                    <w:jc w:val="center"/>
                    <w:textAlignment w:val="center"/>
                    <w:rPr>
                      <w:rFonts w:hint="default" w:ascii="Times New Roman" w:hAnsi="Times New Roman" w:eastAsia="宋体" w:cs="Times New Roman"/>
                      <w:b/>
                      <w:bCs/>
                      <w:i w:val="0"/>
                      <w:iCs w:val="0"/>
                      <w:color w:val="auto"/>
                      <w:sz w:val="18"/>
                      <w:szCs w:val="18"/>
                      <w:u w:val="none"/>
                    </w:rPr>
                  </w:pPr>
                </w:p>
              </w:tc>
              <w:tc>
                <w:tcPr>
                  <w:tcW w:w="156"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78D615B">
                  <w:pPr>
                    <w:jc w:val="center"/>
                    <w:rPr>
                      <w:rFonts w:hint="default" w:ascii="Times New Roman" w:hAnsi="Times New Roman" w:eastAsia="宋体" w:cs="Times New Roman"/>
                      <w:b/>
                      <w:bCs/>
                      <w:i w:val="0"/>
                      <w:iCs w:val="0"/>
                      <w:color w:val="auto"/>
                      <w:sz w:val="18"/>
                      <w:szCs w:val="18"/>
                      <w:u w:val="none"/>
                    </w:rPr>
                  </w:pPr>
                </w:p>
              </w:tc>
              <w:tc>
                <w:tcPr>
                  <w:tcW w:w="55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9AA9956">
                  <w:pPr>
                    <w:keepNext w:val="0"/>
                    <w:keepLines w:val="0"/>
                    <w:widowControl/>
                    <w:suppressLineNumbers w:val="0"/>
                    <w:jc w:val="center"/>
                    <w:textAlignment w:val="center"/>
                    <w:rPr>
                      <w:rFonts w:hint="default" w:ascii="Times New Roman" w:hAnsi="Times New Roman" w:eastAsia="宋体" w:cs="Times New Roman"/>
                      <w:b/>
                      <w:bCs/>
                      <w:i w:val="0"/>
                      <w:iCs w:val="0"/>
                      <w:color w:val="auto"/>
                      <w:sz w:val="18"/>
                      <w:szCs w:val="18"/>
                      <w:u w:val="none"/>
                    </w:rPr>
                  </w:pPr>
                </w:p>
              </w:tc>
              <w:tc>
                <w:tcPr>
                  <w:tcW w:w="235"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89C34BA">
                  <w:pPr>
                    <w:keepNext w:val="0"/>
                    <w:keepLines w:val="0"/>
                    <w:widowControl/>
                    <w:suppressLineNumbers w:val="0"/>
                    <w:jc w:val="center"/>
                    <w:textAlignment w:val="center"/>
                    <w:rPr>
                      <w:rFonts w:hint="default" w:ascii="Times New Roman" w:hAnsi="Times New Roman" w:eastAsia="宋体" w:cs="Times New Roman"/>
                      <w:b/>
                      <w:bCs/>
                      <w:i w:val="0"/>
                      <w:iCs w:val="0"/>
                      <w:color w:val="auto"/>
                      <w:sz w:val="18"/>
                      <w:szCs w:val="18"/>
                      <w:u w:val="none"/>
                    </w:rPr>
                  </w:pPr>
                </w:p>
              </w:tc>
              <w:tc>
                <w:tcPr>
                  <w:tcW w:w="164"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7520F30">
                  <w:pPr>
                    <w:keepNext w:val="0"/>
                    <w:keepLines w:val="0"/>
                    <w:widowControl/>
                    <w:suppressLineNumbers w:val="0"/>
                    <w:jc w:val="center"/>
                    <w:textAlignment w:val="center"/>
                    <w:rPr>
                      <w:rFonts w:hint="default" w:ascii="Times New Roman" w:hAnsi="Times New Roman" w:eastAsia="宋体" w:cs="Times New Roman"/>
                      <w:b/>
                      <w:bCs/>
                      <w:i w:val="0"/>
                      <w:iCs w:val="0"/>
                      <w:color w:val="auto"/>
                      <w:sz w:val="18"/>
                      <w:szCs w:val="18"/>
                      <w:u w:val="none"/>
                    </w:rPr>
                  </w:pPr>
                </w:p>
              </w:tc>
              <w:tc>
                <w:tcPr>
                  <w:tcW w:w="164" w:type="pct"/>
                  <w:tcBorders>
                    <w:top w:val="single" w:color="auto" w:sz="4" w:space="0"/>
                    <w:left w:val="single" w:color="auto" w:sz="4" w:space="0"/>
                    <w:bottom w:val="single" w:color="auto" w:sz="4" w:space="0"/>
                    <w:right w:val="single" w:color="auto" w:sz="4" w:space="0"/>
                  </w:tcBorders>
                  <w:shd w:val="clear" w:color="auto" w:fill="auto"/>
                  <w:vAlign w:val="center"/>
                </w:tcPr>
                <w:p w14:paraId="3906F5A7">
                  <w:pPr>
                    <w:keepNext w:val="0"/>
                    <w:keepLines w:val="0"/>
                    <w:widowControl/>
                    <w:suppressLineNumbers w:val="0"/>
                    <w:jc w:val="center"/>
                    <w:textAlignment w:val="center"/>
                    <w:rPr>
                      <w:rFonts w:hint="default" w:ascii="Times New Roman" w:hAnsi="Times New Roman" w:eastAsia="宋体" w:cs="Times New Roman"/>
                      <w:b/>
                      <w:bCs/>
                      <w:i w:val="0"/>
                      <w:iCs w:val="0"/>
                      <w:color w:val="auto"/>
                      <w:sz w:val="18"/>
                      <w:szCs w:val="18"/>
                      <w:u w:val="none"/>
                    </w:rPr>
                  </w:pPr>
                </w:p>
              </w:tc>
              <w:tc>
                <w:tcPr>
                  <w:tcW w:w="219" w:type="pct"/>
                  <w:tcBorders>
                    <w:top w:val="single" w:color="auto" w:sz="4" w:space="0"/>
                    <w:left w:val="single" w:color="auto" w:sz="4" w:space="0"/>
                    <w:bottom w:val="single" w:color="auto" w:sz="4" w:space="0"/>
                    <w:right w:val="single" w:color="auto" w:sz="4" w:space="0"/>
                  </w:tcBorders>
                  <w:shd w:val="clear" w:color="auto" w:fill="auto"/>
                  <w:vAlign w:val="center"/>
                </w:tcPr>
                <w:p w14:paraId="73731B74">
                  <w:pPr>
                    <w:keepNext w:val="0"/>
                    <w:keepLines w:val="0"/>
                    <w:widowControl/>
                    <w:suppressLineNumbers w:val="0"/>
                    <w:jc w:val="center"/>
                    <w:textAlignment w:val="center"/>
                    <w:rPr>
                      <w:rFonts w:hint="default" w:ascii="Times New Roman" w:hAnsi="Times New Roman" w:eastAsia="宋体" w:cs="Times New Roman"/>
                      <w:b/>
                      <w:bCs/>
                      <w:i w:val="0"/>
                      <w:iCs w:val="0"/>
                      <w:color w:val="auto"/>
                      <w:sz w:val="18"/>
                      <w:szCs w:val="18"/>
                      <w:u w:val="none"/>
                    </w:rPr>
                  </w:pPr>
                </w:p>
              </w:tc>
              <w:tc>
                <w:tcPr>
                  <w:tcW w:w="263" w:type="pct"/>
                  <w:tcBorders>
                    <w:top w:val="single" w:color="auto" w:sz="4" w:space="0"/>
                    <w:left w:val="single" w:color="auto" w:sz="4" w:space="0"/>
                    <w:bottom w:val="single" w:color="auto" w:sz="4" w:space="0"/>
                    <w:right w:val="single" w:color="auto" w:sz="4" w:space="0"/>
                  </w:tcBorders>
                  <w:shd w:val="clear" w:color="auto" w:fill="auto"/>
                  <w:vAlign w:val="center"/>
                </w:tcPr>
                <w:p w14:paraId="300A7163">
                  <w:pPr>
                    <w:keepNext w:val="0"/>
                    <w:keepLines w:val="0"/>
                    <w:widowControl/>
                    <w:suppressLineNumbers w:val="0"/>
                    <w:jc w:val="center"/>
                    <w:textAlignment w:val="center"/>
                    <w:rPr>
                      <w:rFonts w:hint="default" w:ascii="Times New Roman" w:hAnsi="Times New Roman" w:eastAsia="宋体" w:cs="Times New Roman"/>
                      <w:b/>
                      <w:bCs/>
                      <w:i w:val="0"/>
                      <w:iCs w:val="0"/>
                      <w:color w:val="auto"/>
                      <w:sz w:val="18"/>
                      <w:szCs w:val="18"/>
                      <w:u w:val="none"/>
                    </w:rPr>
                  </w:pPr>
                </w:p>
              </w:tc>
              <w:tc>
                <w:tcPr>
                  <w:tcW w:w="197" w:type="pct"/>
                  <w:tcBorders>
                    <w:top w:val="single" w:color="auto" w:sz="4" w:space="0"/>
                    <w:left w:val="single" w:color="auto" w:sz="4" w:space="0"/>
                    <w:bottom w:val="single" w:color="auto" w:sz="4" w:space="0"/>
                    <w:right w:val="single" w:color="auto" w:sz="4" w:space="0"/>
                  </w:tcBorders>
                  <w:shd w:val="clear" w:color="auto" w:fill="auto"/>
                  <w:vAlign w:val="center"/>
                </w:tcPr>
                <w:p w14:paraId="5C3345F1">
                  <w:pPr>
                    <w:keepNext w:val="0"/>
                    <w:keepLines w:val="0"/>
                    <w:widowControl/>
                    <w:suppressLineNumbers w:val="0"/>
                    <w:jc w:val="center"/>
                    <w:textAlignment w:val="center"/>
                    <w:rPr>
                      <w:rFonts w:hint="default" w:ascii="Times New Roman" w:hAnsi="Times New Roman" w:eastAsia="宋体" w:cs="Times New Roman"/>
                      <w:b/>
                      <w:bCs/>
                      <w:i w:val="0"/>
                      <w:iCs w:val="0"/>
                      <w:color w:val="auto"/>
                      <w:sz w:val="18"/>
                      <w:szCs w:val="18"/>
                      <w:u w:val="none"/>
                    </w:rPr>
                  </w:pPr>
                </w:p>
              </w:tc>
              <w:tc>
                <w:tcPr>
                  <w:tcW w:w="218" w:type="pct"/>
                  <w:tcBorders>
                    <w:top w:val="single" w:color="auto" w:sz="4" w:space="0"/>
                    <w:left w:val="single" w:color="auto" w:sz="4" w:space="0"/>
                    <w:bottom w:val="single" w:color="auto" w:sz="4" w:space="0"/>
                    <w:right w:val="single" w:color="auto" w:sz="4" w:space="0"/>
                  </w:tcBorders>
                  <w:shd w:val="clear" w:color="auto" w:fill="auto"/>
                  <w:vAlign w:val="center"/>
                </w:tcPr>
                <w:p w14:paraId="618DA540">
                  <w:pPr>
                    <w:keepNext w:val="0"/>
                    <w:keepLines w:val="0"/>
                    <w:widowControl/>
                    <w:suppressLineNumbers w:val="0"/>
                    <w:jc w:val="center"/>
                    <w:textAlignment w:val="center"/>
                    <w:rPr>
                      <w:rFonts w:hint="default" w:ascii="Times New Roman" w:hAnsi="Times New Roman" w:eastAsia="宋体" w:cs="Times New Roman"/>
                      <w:b/>
                      <w:bCs/>
                      <w:i w:val="0"/>
                      <w:iCs w:val="0"/>
                      <w:color w:val="auto"/>
                      <w:sz w:val="18"/>
                      <w:szCs w:val="18"/>
                      <w:u w:val="none"/>
                    </w:rPr>
                  </w:pPr>
                </w:p>
              </w:tc>
              <w:tc>
                <w:tcPr>
                  <w:tcW w:w="197" w:type="pct"/>
                  <w:tcBorders>
                    <w:top w:val="single" w:color="auto" w:sz="4" w:space="0"/>
                    <w:left w:val="single" w:color="auto" w:sz="4" w:space="0"/>
                    <w:bottom w:val="single" w:color="auto" w:sz="4" w:space="0"/>
                    <w:right w:val="single" w:color="auto" w:sz="4" w:space="0"/>
                  </w:tcBorders>
                  <w:shd w:val="clear" w:color="auto" w:fill="auto"/>
                  <w:vAlign w:val="center"/>
                </w:tcPr>
                <w:p w14:paraId="22C874CB">
                  <w:pPr>
                    <w:keepNext w:val="0"/>
                    <w:keepLines w:val="0"/>
                    <w:widowControl/>
                    <w:suppressLineNumbers w:val="0"/>
                    <w:jc w:val="center"/>
                    <w:textAlignment w:val="center"/>
                    <w:rPr>
                      <w:rFonts w:hint="default" w:ascii="Times New Roman" w:hAnsi="Times New Roman" w:eastAsia="宋体" w:cs="Times New Roman"/>
                      <w:b/>
                      <w:bCs/>
                      <w:i w:val="0"/>
                      <w:iCs w:val="0"/>
                      <w:color w:val="auto"/>
                      <w:sz w:val="18"/>
                      <w:szCs w:val="18"/>
                      <w:u w:val="none"/>
                    </w:rPr>
                  </w:pPr>
                </w:p>
              </w:tc>
              <w:tc>
                <w:tcPr>
                  <w:tcW w:w="183"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41CB99D">
                  <w:pPr>
                    <w:keepNext w:val="0"/>
                    <w:keepLines w:val="0"/>
                    <w:widowControl/>
                    <w:suppressLineNumbers w:val="0"/>
                    <w:jc w:val="center"/>
                    <w:textAlignment w:val="center"/>
                    <w:rPr>
                      <w:rFonts w:hint="default" w:ascii="Times New Roman" w:hAnsi="Times New Roman" w:eastAsia="宋体" w:cs="Times New Roman"/>
                      <w:b/>
                      <w:bCs/>
                      <w:i w:val="0"/>
                      <w:iCs w:val="0"/>
                      <w:color w:val="auto"/>
                      <w:sz w:val="18"/>
                      <w:szCs w:val="18"/>
                      <w:u w:val="none"/>
                    </w:rPr>
                  </w:pPr>
                </w:p>
              </w:tc>
              <w:tc>
                <w:tcPr>
                  <w:tcW w:w="126" w:type="pct"/>
                  <w:tcBorders>
                    <w:top w:val="single" w:color="auto" w:sz="4" w:space="0"/>
                    <w:left w:val="single" w:color="auto" w:sz="4" w:space="0"/>
                    <w:bottom w:val="single" w:color="auto" w:sz="4" w:space="0"/>
                    <w:right w:val="single" w:color="auto" w:sz="4" w:space="0"/>
                  </w:tcBorders>
                  <w:shd w:val="clear" w:color="auto" w:fill="auto"/>
                  <w:vAlign w:val="center"/>
                </w:tcPr>
                <w:p w14:paraId="1E38668C">
                  <w:pPr>
                    <w:keepNext w:val="0"/>
                    <w:keepLines w:val="0"/>
                    <w:widowControl/>
                    <w:suppressLineNumbers w:val="0"/>
                    <w:jc w:val="center"/>
                    <w:textAlignment w:val="center"/>
                    <w:rPr>
                      <w:rFonts w:hint="default" w:ascii="Times New Roman" w:hAnsi="Times New Roman" w:eastAsia="宋体" w:cs="Times New Roman"/>
                      <w:b/>
                      <w:bCs/>
                      <w:i w:val="0"/>
                      <w:iCs w:val="0"/>
                      <w:color w:val="auto"/>
                      <w:sz w:val="18"/>
                      <w:szCs w:val="18"/>
                      <w:u w:val="none"/>
                    </w:rPr>
                  </w:pPr>
                </w:p>
              </w:tc>
              <w:tc>
                <w:tcPr>
                  <w:tcW w:w="160" w:type="pct"/>
                  <w:tcBorders>
                    <w:top w:val="single" w:color="auto" w:sz="4" w:space="0"/>
                    <w:left w:val="single" w:color="auto" w:sz="4" w:space="0"/>
                    <w:bottom w:val="single" w:color="auto" w:sz="4" w:space="0"/>
                    <w:right w:val="single" w:color="auto" w:sz="4" w:space="0"/>
                  </w:tcBorders>
                  <w:shd w:val="clear" w:color="auto" w:fill="auto"/>
                  <w:vAlign w:val="center"/>
                </w:tcPr>
                <w:p w14:paraId="1C6CF3A7">
                  <w:pPr>
                    <w:keepNext w:val="0"/>
                    <w:keepLines w:val="0"/>
                    <w:widowControl/>
                    <w:suppressLineNumbers w:val="0"/>
                    <w:jc w:val="center"/>
                    <w:textAlignment w:val="center"/>
                    <w:rPr>
                      <w:rFonts w:hint="default" w:ascii="Times New Roman" w:hAnsi="Times New Roman" w:eastAsia="宋体" w:cs="Times New Roman"/>
                      <w:b/>
                      <w:bCs/>
                      <w:i w:val="0"/>
                      <w:iCs w:val="0"/>
                      <w:color w:val="auto"/>
                      <w:sz w:val="18"/>
                      <w:szCs w:val="18"/>
                      <w:u w:val="none"/>
                    </w:rPr>
                  </w:pPr>
                </w:p>
              </w:tc>
              <w:tc>
                <w:tcPr>
                  <w:tcW w:w="189" w:type="pct"/>
                  <w:tcBorders>
                    <w:top w:val="single" w:color="auto" w:sz="4" w:space="0"/>
                    <w:left w:val="single" w:color="auto" w:sz="4" w:space="0"/>
                    <w:bottom w:val="single" w:color="auto" w:sz="4" w:space="0"/>
                    <w:right w:val="nil"/>
                  </w:tcBorders>
                  <w:shd w:val="clear" w:color="auto" w:fill="auto"/>
                  <w:vAlign w:val="center"/>
                </w:tcPr>
                <w:p w14:paraId="321F86F0">
                  <w:pPr>
                    <w:keepNext w:val="0"/>
                    <w:keepLines w:val="0"/>
                    <w:widowControl/>
                    <w:suppressLineNumbers w:val="0"/>
                    <w:jc w:val="center"/>
                    <w:textAlignment w:val="center"/>
                    <w:rPr>
                      <w:rFonts w:hint="default" w:ascii="Times New Roman" w:hAnsi="Times New Roman" w:eastAsia="宋体" w:cs="Times New Roman"/>
                      <w:b/>
                      <w:bCs/>
                      <w:i w:val="0"/>
                      <w:iCs w:val="0"/>
                      <w:color w:val="auto"/>
                      <w:sz w:val="18"/>
                      <w:szCs w:val="18"/>
                      <w:u w:val="none"/>
                    </w:rPr>
                  </w:pPr>
                </w:p>
              </w:tc>
            </w:tr>
            <w:tr w14:paraId="1D290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5" w:type="pct"/>
                  <w:vMerge w:val="continue"/>
                  <w:tcBorders>
                    <w:top w:val="single" w:color="auto" w:sz="4" w:space="0"/>
                    <w:left w:val="nil"/>
                    <w:bottom w:val="single" w:color="auto" w:sz="4" w:space="0"/>
                    <w:right w:val="single" w:color="auto" w:sz="4" w:space="0"/>
                  </w:tcBorders>
                  <w:shd w:val="clear" w:color="auto" w:fill="auto"/>
                  <w:vAlign w:val="center"/>
                </w:tcPr>
                <w:p w14:paraId="14B3F40E">
                  <w:pPr>
                    <w:jc w:val="center"/>
                    <w:rPr>
                      <w:rFonts w:hint="default" w:ascii="Times New Roman" w:hAnsi="Times New Roman" w:eastAsia="宋体" w:cs="Times New Roman"/>
                      <w:b/>
                      <w:bCs/>
                      <w:i w:val="0"/>
                      <w:iCs w:val="0"/>
                      <w:color w:val="auto"/>
                      <w:sz w:val="18"/>
                      <w:szCs w:val="18"/>
                      <w:u w:val="none"/>
                    </w:rPr>
                  </w:pPr>
                </w:p>
              </w:tc>
              <w:tc>
                <w:tcPr>
                  <w:tcW w:w="41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9D6758C">
                  <w:pPr>
                    <w:jc w:val="center"/>
                    <w:rPr>
                      <w:rFonts w:hint="default" w:ascii="Times New Roman" w:hAnsi="Times New Roman" w:eastAsia="宋体" w:cs="Times New Roman"/>
                      <w:b/>
                      <w:bCs/>
                      <w:i w:val="0"/>
                      <w:iCs w:val="0"/>
                      <w:color w:val="auto"/>
                      <w:sz w:val="18"/>
                      <w:szCs w:val="18"/>
                      <w:u w:val="none"/>
                    </w:rPr>
                  </w:pPr>
                </w:p>
              </w:tc>
              <w:tc>
                <w:tcPr>
                  <w:tcW w:w="330" w:type="pct"/>
                  <w:tcBorders>
                    <w:top w:val="single" w:color="auto" w:sz="4" w:space="0"/>
                    <w:left w:val="single" w:color="auto" w:sz="4" w:space="0"/>
                    <w:bottom w:val="single" w:color="auto" w:sz="4" w:space="0"/>
                    <w:right w:val="single" w:color="auto" w:sz="4" w:space="0"/>
                  </w:tcBorders>
                  <w:shd w:val="clear" w:color="auto" w:fill="auto"/>
                  <w:vAlign w:val="center"/>
                </w:tcPr>
                <w:p w14:paraId="1B38367C">
                  <w:pPr>
                    <w:keepNext w:val="0"/>
                    <w:keepLines w:val="0"/>
                    <w:widowControl/>
                    <w:suppressLineNumbers w:val="0"/>
                    <w:jc w:val="center"/>
                    <w:textAlignment w:val="center"/>
                    <w:rPr>
                      <w:rFonts w:hint="default" w:ascii="Times New Roman" w:hAnsi="Times New Roman" w:eastAsia="宋体" w:cs="Times New Roman"/>
                      <w:b/>
                      <w:bCs/>
                      <w:i w:val="0"/>
                      <w:iCs w:val="0"/>
                      <w:color w:val="auto"/>
                      <w:sz w:val="18"/>
                      <w:szCs w:val="18"/>
                      <w:u w:val="none"/>
                    </w:rPr>
                  </w:pPr>
                </w:p>
              </w:tc>
              <w:tc>
                <w:tcPr>
                  <w:tcW w:w="384"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7309958">
                  <w:pPr>
                    <w:jc w:val="center"/>
                    <w:rPr>
                      <w:rFonts w:hint="default" w:ascii="Times New Roman" w:hAnsi="Times New Roman" w:eastAsia="宋体" w:cs="Times New Roman"/>
                      <w:b/>
                      <w:bCs/>
                      <w:i w:val="0"/>
                      <w:iCs w:val="0"/>
                      <w:color w:val="auto"/>
                      <w:sz w:val="18"/>
                      <w:szCs w:val="18"/>
                      <w:u w:val="none"/>
                    </w:rPr>
                  </w:pPr>
                </w:p>
              </w:tc>
              <w:tc>
                <w:tcPr>
                  <w:tcW w:w="266" w:type="pct"/>
                  <w:tcBorders>
                    <w:top w:val="single" w:color="auto" w:sz="4" w:space="0"/>
                    <w:left w:val="single" w:color="auto" w:sz="4" w:space="0"/>
                    <w:bottom w:val="single" w:color="auto" w:sz="4" w:space="0"/>
                    <w:right w:val="single" w:color="auto" w:sz="4" w:space="0"/>
                  </w:tcBorders>
                  <w:shd w:val="clear" w:color="auto" w:fill="auto"/>
                  <w:vAlign w:val="center"/>
                </w:tcPr>
                <w:p w14:paraId="768B7E8A">
                  <w:pPr>
                    <w:keepNext w:val="0"/>
                    <w:keepLines w:val="0"/>
                    <w:widowControl/>
                    <w:suppressLineNumbers w:val="0"/>
                    <w:jc w:val="center"/>
                    <w:textAlignment w:val="center"/>
                    <w:rPr>
                      <w:rFonts w:hint="default" w:ascii="Times New Roman" w:hAnsi="Times New Roman" w:eastAsia="宋体" w:cs="Times New Roman"/>
                      <w:b/>
                      <w:bCs/>
                      <w:i w:val="0"/>
                      <w:iCs w:val="0"/>
                      <w:color w:val="auto"/>
                      <w:sz w:val="18"/>
                      <w:szCs w:val="18"/>
                      <w:u w:val="none"/>
                    </w:rPr>
                  </w:pPr>
                </w:p>
              </w:tc>
              <w:tc>
                <w:tcPr>
                  <w:tcW w:w="175" w:type="pct"/>
                  <w:tcBorders>
                    <w:top w:val="single" w:color="auto" w:sz="4" w:space="0"/>
                    <w:left w:val="single" w:color="auto" w:sz="4" w:space="0"/>
                    <w:bottom w:val="single" w:color="auto" w:sz="4" w:space="0"/>
                    <w:right w:val="single" w:color="auto" w:sz="4" w:space="0"/>
                  </w:tcBorders>
                  <w:shd w:val="clear" w:color="auto" w:fill="auto"/>
                  <w:vAlign w:val="center"/>
                </w:tcPr>
                <w:p w14:paraId="59CF5122">
                  <w:pPr>
                    <w:keepNext w:val="0"/>
                    <w:keepLines w:val="0"/>
                    <w:widowControl/>
                    <w:suppressLineNumbers w:val="0"/>
                    <w:jc w:val="center"/>
                    <w:textAlignment w:val="center"/>
                    <w:rPr>
                      <w:rFonts w:hint="default" w:ascii="Times New Roman" w:hAnsi="Times New Roman" w:eastAsia="宋体" w:cs="Times New Roman"/>
                      <w:b/>
                      <w:bCs/>
                      <w:i w:val="0"/>
                      <w:iCs w:val="0"/>
                      <w:color w:val="auto"/>
                      <w:sz w:val="18"/>
                      <w:szCs w:val="18"/>
                      <w:u w:val="none"/>
                    </w:rPr>
                  </w:pPr>
                </w:p>
              </w:tc>
              <w:tc>
                <w:tcPr>
                  <w:tcW w:w="245" w:type="pct"/>
                  <w:tcBorders>
                    <w:top w:val="single" w:color="auto" w:sz="4" w:space="0"/>
                    <w:left w:val="single" w:color="auto" w:sz="4" w:space="0"/>
                    <w:bottom w:val="single" w:color="auto" w:sz="4" w:space="0"/>
                    <w:right w:val="single" w:color="auto" w:sz="4" w:space="0"/>
                  </w:tcBorders>
                  <w:shd w:val="clear" w:color="auto" w:fill="auto"/>
                  <w:vAlign w:val="center"/>
                </w:tcPr>
                <w:p w14:paraId="5229881F">
                  <w:pPr>
                    <w:keepNext w:val="0"/>
                    <w:keepLines w:val="0"/>
                    <w:widowControl/>
                    <w:suppressLineNumbers w:val="0"/>
                    <w:jc w:val="center"/>
                    <w:textAlignment w:val="center"/>
                    <w:rPr>
                      <w:rFonts w:hint="default" w:ascii="Times New Roman" w:hAnsi="Times New Roman" w:eastAsia="宋体" w:cs="Times New Roman"/>
                      <w:b/>
                      <w:bCs/>
                      <w:i w:val="0"/>
                      <w:iCs w:val="0"/>
                      <w:color w:val="auto"/>
                      <w:sz w:val="18"/>
                      <w:szCs w:val="18"/>
                      <w:u w:val="none"/>
                    </w:rPr>
                  </w:pPr>
                </w:p>
              </w:tc>
              <w:tc>
                <w:tcPr>
                  <w:tcW w:w="156"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F46B79E">
                  <w:pPr>
                    <w:jc w:val="center"/>
                    <w:rPr>
                      <w:rFonts w:hint="default" w:ascii="Times New Roman" w:hAnsi="Times New Roman" w:eastAsia="宋体" w:cs="Times New Roman"/>
                      <w:b/>
                      <w:bCs/>
                      <w:i w:val="0"/>
                      <w:iCs w:val="0"/>
                      <w:color w:val="auto"/>
                      <w:sz w:val="18"/>
                      <w:szCs w:val="18"/>
                      <w:u w:val="none"/>
                    </w:rPr>
                  </w:pPr>
                </w:p>
              </w:tc>
              <w:tc>
                <w:tcPr>
                  <w:tcW w:w="55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A164B6C">
                  <w:pPr>
                    <w:jc w:val="center"/>
                    <w:rPr>
                      <w:rFonts w:hint="default" w:ascii="Times New Roman" w:hAnsi="Times New Roman" w:eastAsia="宋体" w:cs="Times New Roman"/>
                      <w:b/>
                      <w:bCs/>
                      <w:i w:val="0"/>
                      <w:iCs w:val="0"/>
                      <w:color w:val="auto"/>
                      <w:sz w:val="18"/>
                      <w:szCs w:val="18"/>
                      <w:u w:val="none"/>
                    </w:rPr>
                  </w:pPr>
                </w:p>
              </w:tc>
              <w:tc>
                <w:tcPr>
                  <w:tcW w:w="235"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71E156A">
                  <w:pPr>
                    <w:jc w:val="center"/>
                    <w:rPr>
                      <w:rFonts w:hint="default" w:ascii="Times New Roman" w:hAnsi="Times New Roman" w:eastAsia="宋体" w:cs="Times New Roman"/>
                      <w:b/>
                      <w:bCs/>
                      <w:i w:val="0"/>
                      <w:iCs w:val="0"/>
                      <w:color w:val="auto"/>
                      <w:sz w:val="18"/>
                      <w:szCs w:val="18"/>
                      <w:u w:val="none"/>
                    </w:rPr>
                  </w:pPr>
                </w:p>
              </w:tc>
              <w:tc>
                <w:tcPr>
                  <w:tcW w:w="164"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85D5135">
                  <w:pPr>
                    <w:jc w:val="center"/>
                    <w:rPr>
                      <w:rFonts w:hint="default" w:ascii="Times New Roman" w:hAnsi="Times New Roman" w:eastAsia="宋体" w:cs="Times New Roman"/>
                      <w:b/>
                      <w:bCs/>
                      <w:i w:val="0"/>
                      <w:iCs w:val="0"/>
                      <w:color w:val="auto"/>
                      <w:sz w:val="18"/>
                      <w:szCs w:val="18"/>
                      <w:u w:val="none"/>
                    </w:rPr>
                  </w:pPr>
                </w:p>
              </w:tc>
              <w:tc>
                <w:tcPr>
                  <w:tcW w:w="164" w:type="pct"/>
                  <w:tcBorders>
                    <w:top w:val="single" w:color="auto" w:sz="4" w:space="0"/>
                    <w:left w:val="single" w:color="auto" w:sz="4" w:space="0"/>
                    <w:bottom w:val="single" w:color="auto" w:sz="4" w:space="0"/>
                    <w:right w:val="single" w:color="auto" w:sz="4" w:space="0"/>
                  </w:tcBorders>
                  <w:shd w:val="clear" w:color="auto" w:fill="auto"/>
                  <w:vAlign w:val="center"/>
                </w:tcPr>
                <w:p w14:paraId="58387C40">
                  <w:pPr>
                    <w:keepNext w:val="0"/>
                    <w:keepLines w:val="0"/>
                    <w:widowControl/>
                    <w:suppressLineNumbers w:val="0"/>
                    <w:jc w:val="center"/>
                    <w:textAlignment w:val="center"/>
                    <w:rPr>
                      <w:rFonts w:hint="default" w:ascii="Times New Roman" w:hAnsi="Times New Roman" w:eastAsia="宋体" w:cs="Times New Roman"/>
                      <w:b/>
                      <w:bCs/>
                      <w:i w:val="0"/>
                      <w:iCs w:val="0"/>
                      <w:color w:val="auto"/>
                      <w:sz w:val="18"/>
                      <w:szCs w:val="18"/>
                      <w:u w:val="none"/>
                    </w:rPr>
                  </w:pPr>
                </w:p>
              </w:tc>
              <w:tc>
                <w:tcPr>
                  <w:tcW w:w="219" w:type="pct"/>
                  <w:tcBorders>
                    <w:top w:val="single" w:color="auto" w:sz="4" w:space="0"/>
                    <w:left w:val="single" w:color="auto" w:sz="4" w:space="0"/>
                    <w:bottom w:val="single" w:color="auto" w:sz="4" w:space="0"/>
                    <w:right w:val="single" w:color="auto" w:sz="4" w:space="0"/>
                  </w:tcBorders>
                  <w:shd w:val="clear" w:color="auto" w:fill="auto"/>
                  <w:vAlign w:val="center"/>
                </w:tcPr>
                <w:p w14:paraId="4656CADE">
                  <w:pPr>
                    <w:keepNext w:val="0"/>
                    <w:keepLines w:val="0"/>
                    <w:widowControl/>
                    <w:suppressLineNumbers w:val="0"/>
                    <w:jc w:val="center"/>
                    <w:textAlignment w:val="center"/>
                    <w:rPr>
                      <w:rFonts w:hint="default" w:ascii="Times New Roman" w:hAnsi="Times New Roman" w:eastAsia="宋体" w:cs="Times New Roman"/>
                      <w:b/>
                      <w:bCs/>
                      <w:i w:val="0"/>
                      <w:iCs w:val="0"/>
                      <w:color w:val="auto"/>
                      <w:sz w:val="18"/>
                      <w:szCs w:val="18"/>
                      <w:u w:val="none"/>
                    </w:rPr>
                  </w:pPr>
                </w:p>
              </w:tc>
              <w:tc>
                <w:tcPr>
                  <w:tcW w:w="263" w:type="pct"/>
                  <w:tcBorders>
                    <w:top w:val="single" w:color="auto" w:sz="4" w:space="0"/>
                    <w:left w:val="single" w:color="auto" w:sz="4" w:space="0"/>
                    <w:bottom w:val="single" w:color="auto" w:sz="4" w:space="0"/>
                    <w:right w:val="single" w:color="auto" w:sz="4" w:space="0"/>
                  </w:tcBorders>
                  <w:shd w:val="clear" w:color="auto" w:fill="auto"/>
                  <w:vAlign w:val="center"/>
                </w:tcPr>
                <w:p w14:paraId="78EE9964">
                  <w:pPr>
                    <w:keepNext w:val="0"/>
                    <w:keepLines w:val="0"/>
                    <w:widowControl/>
                    <w:suppressLineNumbers w:val="0"/>
                    <w:jc w:val="center"/>
                    <w:textAlignment w:val="center"/>
                    <w:rPr>
                      <w:rFonts w:hint="default" w:ascii="Times New Roman" w:hAnsi="Times New Roman" w:eastAsia="宋体" w:cs="Times New Roman"/>
                      <w:b/>
                      <w:bCs/>
                      <w:i w:val="0"/>
                      <w:iCs w:val="0"/>
                      <w:color w:val="auto"/>
                      <w:sz w:val="18"/>
                      <w:szCs w:val="18"/>
                      <w:u w:val="none"/>
                    </w:rPr>
                  </w:pPr>
                </w:p>
              </w:tc>
              <w:tc>
                <w:tcPr>
                  <w:tcW w:w="197" w:type="pct"/>
                  <w:tcBorders>
                    <w:top w:val="single" w:color="auto" w:sz="4" w:space="0"/>
                    <w:left w:val="single" w:color="auto" w:sz="4" w:space="0"/>
                    <w:bottom w:val="single" w:color="auto" w:sz="4" w:space="0"/>
                    <w:right w:val="single" w:color="auto" w:sz="4" w:space="0"/>
                  </w:tcBorders>
                  <w:shd w:val="clear" w:color="auto" w:fill="auto"/>
                  <w:vAlign w:val="center"/>
                </w:tcPr>
                <w:p w14:paraId="76C6D822">
                  <w:pPr>
                    <w:keepNext w:val="0"/>
                    <w:keepLines w:val="0"/>
                    <w:widowControl/>
                    <w:suppressLineNumbers w:val="0"/>
                    <w:jc w:val="center"/>
                    <w:textAlignment w:val="center"/>
                    <w:rPr>
                      <w:rFonts w:hint="default" w:ascii="Times New Roman" w:hAnsi="Times New Roman" w:eastAsia="宋体" w:cs="Times New Roman"/>
                      <w:b/>
                      <w:bCs/>
                      <w:i w:val="0"/>
                      <w:iCs w:val="0"/>
                      <w:color w:val="auto"/>
                      <w:sz w:val="18"/>
                      <w:szCs w:val="18"/>
                      <w:u w:val="none"/>
                    </w:rPr>
                  </w:pPr>
                </w:p>
              </w:tc>
              <w:tc>
                <w:tcPr>
                  <w:tcW w:w="218" w:type="pct"/>
                  <w:tcBorders>
                    <w:top w:val="single" w:color="auto" w:sz="4" w:space="0"/>
                    <w:left w:val="single" w:color="auto" w:sz="4" w:space="0"/>
                    <w:bottom w:val="single" w:color="auto" w:sz="4" w:space="0"/>
                    <w:right w:val="single" w:color="auto" w:sz="4" w:space="0"/>
                  </w:tcBorders>
                  <w:shd w:val="clear" w:color="auto" w:fill="auto"/>
                  <w:vAlign w:val="center"/>
                </w:tcPr>
                <w:p w14:paraId="029137AF">
                  <w:pPr>
                    <w:keepNext w:val="0"/>
                    <w:keepLines w:val="0"/>
                    <w:widowControl/>
                    <w:suppressLineNumbers w:val="0"/>
                    <w:jc w:val="center"/>
                    <w:textAlignment w:val="center"/>
                    <w:rPr>
                      <w:rFonts w:hint="default" w:ascii="Times New Roman" w:hAnsi="Times New Roman" w:eastAsia="宋体" w:cs="Times New Roman"/>
                      <w:b/>
                      <w:bCs/>
                      <w:i w:val="0"/>
                      <w:iCs w:val="0"/>
                      <w:color w:val="auto"/>
                      <w:sz w:val="18"/>
                      <w:szCs w:val="18"/>
                      <w:u w:val="none"/>
                    </w:rPr>
                  </w:pPr>
                </w:p>
              </w:tc>
              <w:tc>
                <w:tcPr>
                  <w:tcW w:w="197" w:type="pct"/>
                  <w:tcBorders>
                    <w:top w:val="single" w:color="auto" w:sz="4" w:space="0"/>
                    <w:left w:val="single" w:color="auto" w:sz="4" w:space="0"/>
                    <w:bottom w:val="single" w:color="auto" w:sz="4" w:space="0"/>
                    <w:right w:val="single" w:color="auto" w:sz="4" w:space="0"/>
                  </w:tcBorders>
                  <w:shd w:val="clear" w:color="auto" w:fill="auto"/>
                  <w:vAlign w:val="center"/>
                </w:tcPr>
                <w:p w14:paraId="6790397D">
                  <w:pPr>
                    <w:keepNext w:val="0"/>
                    <w:keepLines w:val="0"/>
                    <w:widowControl/>
                    <w:suppressLineNumbers w:val="0"/>
                    <w:jc w:val="center"/>
                    <w:textAlignment w:val="center"/>
                    <w:rPr>
                      <w:rFonts w:hint="default" w:ascii="Times New Roman" w:hAnsi="Times New Roman" w:eastAsia="宋体" w:cs="Times New Roman"/>
                      <w:b/>
                      <w:bCs/>
                      <w:i w:val="0"/>
                      <w:iCs w:val="0"/>
                      <w:color w:val="auto"/>
                      <w:sz w:val="18"/>
                      <w:szCs w:val="18"/>
                      <w:u w:val="none"/>
                    </w:rPr>
                  </w:pPr>
                </w:p>
              </w:tc>
              <w:tc>
                <w:tcPr>
                  <w:tcW w:w="183"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C08CCFF">
                  <w:pPr>
                    <w:jc w:val="center"/>
                    <w:rPr>
                      <w:rFonts w:hint="default" w:ascii="Times New Roman" w:hAnsi="Times New Roman" w:eastAsia="宋体" w:cs="Times New Roman"/>
                      <w:b/>
                      <w:bCs/>
                      <w:i w:val="0"/>
                      <w:iCs w:val="0"/>
                      <w:color w:val="auto"/>
                      <w:sz w:val="18"/>
                      <w:szCs w:val="18"/>
                      <w:u w:val="none"/>
                    </w:rPr>
                  </w:pPr>
                </w:p>
              </w:tc>
              <w:tc>
                <w:tcPr>
                  <w:tcW w:w="126" w:type="pct"/>
                  <w:tcBorders>
                    <w:top w:val="single" w:color="auto" w:sz="4" w:space="0"/>
                    <w:left w:val="single" w:color="auto" w:sz="4" w:space="0"/>
                    <w:bottom w:val="single" w:color="auto" w:sz="4" w:space="0"/>
                    <w:right w:val="single" w:color="auto" w:sz="4" w:space="0"/>
                  </w:tcBorders>
                  <w:shd w:val="clear" w:color="auto" w:fill="auto"/>
                  <w:vAlign w:val="center"/>
                </w:tcPr>
                <w:p w14:paraId="4EB49D7E">
                  <w:pPr>
                    <w:keepNext w:val="0"/>
                    <w:keepLines w:val="0"/>
                    <w:widowControl/>
                    <w:suppressLineNumbers w:val="0"/>
                    <w:jc w:val="center"/>
                    <w:textAlignment w:val="center"/>
                    <w:rPr>
                      <w:rFonts w:hint="default" w:ascii="Times New Roman" w:hAnsi="Times New Roman" w:eastAsia="宋体" w:cs="Times New Roman"/>
                      <w:b/>
                      <w:bCs/>
                      <w:i w:val="0"/>
                      <w:iCs w:val="0"/>
                      <w:color w:val="auto"/>
                      <w:sz w:val="18"/>
                      <w:szCs w:val="18"/>
                      <w:u w:val="none"/>
                    </w:rPr>
                  </w:pPr>
                </w:p>
              </w:tc>
              <w:tc>
                <w:tcPr>
                  <w:tcW w:w="160" w:type="pct"/>
                  <w:tcBorders>
                    <w:top w:val="single" w:color="auto" w:sz="4" w:space="0"/>
                    <w:left w:val="single" w:color="auto" w:sz="4" w:space="0"/>
                    <w:bottom w:val="single" w:color="auto" w:sz="4" w:space="0"/>
                    <w:right w:val="single" w:color="auto" w:sz="4" w:space="0"/>
                  </w:tcBorders>
                  <w:shd w:val="clear" w:color="auto" w:fill="auto"/>
                  <w:vAlign w:val="center"/>
                </w:tcPr>
                <w:p w14:paraId="5A67561E">
                  <w:pPr>
                    <w:keepNext w:val="0"/>
                    <w:keepLines w:val="0"/>
                    <w:widowControl/>
                    <w:suppressLineNumbers w:val="0"/>
                    <w:jc w:val="center"/>
                    <w:textAlignment w:val="center"/>
                    <w:rPr>
                      <w:rFonts w:hint="default" w:ascii="Times New Roman" w:hAnsi="Times New Roman" w:eastAsia="宋体" w:cs="Times New Roman"/>
                      <w:b/>
                      <w:bCs/>
                      <w:i w:val="0"/>
                      <w:iCs w:val="0"/>
                      <w:color w:val="auto"/>
                      <w:sz w:val="18"/>
                      <w:szCs w:val="18"/>
                      <w:u w:val="none"/>
                    </w:rPr>
                  </w:pPr>
                </w:p>
              </w:tc>
              <w:tc>
                <w:tcPr>
                  <w:tcW w:w="189" w:type="pct"/>
                  <w:tcBorders>
                    <w:top w:val="single" w:color="auto" w:sz="4" w:space="0"/>
                    <w:left w:val="single" w:color="auto" w:sz="4" w:space="0"/>
                    <w:bottom w:val="single" w:color="auto" w:sz="4" w:space="0"/>
                    <w:right w:val="nil"/>
                  </w:tcBorders>
                  <w:shd w:val="clear" w:color="auto" w:fill="auto"/>
                  <w:vAlign w:val="center"/>
                </w:tcPr>
                <w:p w14:paraId="3B619168">
                  <w:pPr>
                    <w:keepNext w:val="0"/>
                    <w:keepLines w:val="0"/>
                    <w:widowControl/>
                    <w:suppressLineNumbers w:val="0"/>
                    <w:jc w:val="center"/>
                    <w:textAlignment w:val="center"/>
                    <w:rPr>
                      <w:rFonts w:hint="default" w:ascii="Times New Roman" w:hAnsi="Times New Roman" w:eastAsia="宋体" w:cs="Times New Roman"/>
                      <w:b/>
                      <w:bCs/>
                      <w:i w:val="0"/>
                      <w:iCs w:val="0"/>
                      <w:color w:val="auto"/>
                      <w:sz w:val="18"/>
                      <w:szCs w:val="18"/>
                      <w:u w:val="none"/>
                    </w:rPr>
                  </w:pPr>
                </w:p>
              </w:tc>
            </w:tr>
            <w:tr w14:paraId="7AD47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5" w:type="pct"/>
                  <w:tcBorders>
                    <w:top w:val="single" w:color="auto" w:sz="4" w:space="0"/>
                    <w:left w:val="nil"/>
                    <w:bottom w:val="single" w:color="auto" w:sz="4" w:space="0"/>
                    <w:right w:val="single" w:color="auto" w:sz="4" w:space="0"/>
                  </w:tcBorders>
                  <w:shd w:val="clear" w:color="auto" w:fill="auto"/>
                  <w:vAlign w:val="center"/>
                </w:tcPr>
                <w:p w14:paraId="277CF51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41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25FE92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3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16244B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384" w:type="pct"/>
                  <w:tcBorders>
                    <w:top w:val="single" w:color="auto" w:sz="4" w:space="0"/>
                    <w:left w:val="single" w:color="auto" w:sz="4" w:space="0"/>
                    <w:bottom w:val="single" w:color="auto" w:sz="4" w:space="0"/>
                    <w:right w:val="single" w:color="auto" w:sz="4" w:space="0"/>
                  </w:tcBorders>
                  <w:shd w:val="clear" w:color="auto" w:fill="auto"/>
                  <w:vAlign w:val="center"/>
                </w:tcPr>
                <w:p w14:paraId="735B71C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266" w:type="pct"/>
                  <w:tcBorders>
                    <w:top w:val="single" w:color="auto" w:sz="4" w:space="0"/>
                    <w:left w:val="single" w:color="auto" w:sz="4" w:space="0"/>
                    <w:bottom w:val="single" w:color="auto" w:sz="4" w:space="0"/>
                    <w:right w:val="single" w:color="auto" w:sz="4" w:space="0"/>
                  </w:tcBorders>
                  <w:shd w:val="clear" w:color="auto" w:fill="auto"/>
                  <w:vAlign w:val="center"/>
                </w:tcPr>
                <w:p w14:paraId="182E562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175" w:type="pct"/>
                  <w:tcBorders>
                    <w:top w:val="single" w:color="auto" w:sz="4" w:space="0"/>
                    <w:left w:val="single" w:color="auto" w:sz="4" w:space="0"/>
                    <w:bottom w:val="single" w:color="auto" w:sz="4" w:space="0"/>
                    <w:right w:val="single" w:color="auto" w:sz="4" w:space="0"/>
                  </w:tcBorders>
                  <w:shd w:val="clear" w:color="auto" w:fill="auto"/>
                  <w:vAlign w:val="center"/>
                </w:tcPr>
                <w:p w14:paraId="50EE75C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245" w:type="pct"/>
                  <w:tcBorders>
                    <w:top w:val="single" w:color="auto" w:sz="4" w:space="0"/>
                    <w:left w:val="single" w:color="auto" w:sz="4" w:space="0"/>
                    <w:bottom w:val="single" w:color="auto" w:sz="4" w:space="0"/>
                    <w:right w:val="single" w:color="auto" w:sz="4" w:space="0"/>
                  </w:tcBorders>
                  <w:shd w:val="clear" w:color="auto" w:fill="auto"/>
                  <w:vAlign w:val="center"/>
                </w:tcPr>
                <w:p w14:paraId="12B9440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156"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99E3C2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55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C78B6A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235" w:type="pct"/>
                  <w:tcBorders>
                    <w:top w:val="single" w:color="auto" w:sz="4" w:space="0"/>
                    <w:left w:val="single" w:color="auto" w:sz="4" w:space="0"/>
                    <w:bottom w:val="single" w:color="auto" w:sz="4" w:space="0"/>
                    <w:right w:val="single" w:color="auto" w:sz="4" w:space="0"/>
                  </w:tcBorders>
                  <w:shd w:val="clear" w:color="auto" w:fill="auto"/>
                  <w:vAlign w:val="center"/>
                </w:tcPr>
                <w:p w14:paraId="6526821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164" w:type="pct"/>
                  <w:tcBorders>
                    <w:top w:val="single" w:color="auto" w:sz="4" w:space="0"/>
                    <w:left w:val="single" w:color="auto" w:sz="4" w:space="0"/>
                    <w:bottom w:val="single" w:color="auto" w:sz="4" w:space="0"/>
                    <w:right w:val="single" w:color="auto" w:sz="4" w:space="0"/>
                  </w:tcBorders>
                  <w:shd w:val="clear" w:color="auto" w:fill="auto"/>
                  <w:vAlign w:val="center"/>
                </w:tcPr>
                <w:p w14:paraId="5483F19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164"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A6F916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219" w:type="pct"/>
                  <w:tcBorders>
                    <w:top w:val="single" w:color="auto" w:sz="4" w:space="0"/>
                    <w:left w:val="single" w:color="auto" w:sz="4" w:space="0"/>
                    <w:bottom w:val="single" w:color="auto" w:sz="4" w:space="0"/>
                    <w:right w:val="single" w:color="auto" w:sz="4" w:space="0"/>
                  </w:tcBorders>
                  <w:shd w:val="clear" w:color="auto" w:fill="auto"/>
                  <w:vAlign w:val="center"/>
                </w:tcPr>
                <w:p w14:paraId="3F1A1DD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263" w:type="pct"/>
                  <w:tcBorders>
                    <w:top w:val="single" w:color="auto" w:sz="4" w:space="0"/>
                    <w:left w:val="single" w:color="auto" w:sz="4" w:space="0"/>
                    <w:bottom w:val="single" w:color="auto" w:sz="4" w:space="0"/>
                    <w:right w:val="single" w:color="auto" w:sz="4" w:space="0"/>
                  </w:tcBorders>
                  <w:shd w:val="clear" w:color="auto" w:fill="auto"/>
                  <w:vAlign w:val="center"/>
                </w:tcPr>
                <w:p w14:paraId="2560FE2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197" w:type="pct"/>
                  <w:tcBorders>
                    <w:top w:val="single" w:color="auto" w:sz="4" w:space="0"/>
                    <w:left w:val="single" w:color="auto" w:sz="4" w:space="0"/>
                    <w:bottom w:val="single" w:color="auto" w:sz="4" w:space="0"/>
                    <w:right w:val="single" w:color="auto" w:sz="4" w:space="0"/>
                  </w:tcBorders>
                  <w:shd w:val="clear" w:color="auto" w:fill="auto"/>
                  <w:vAlign w:val="center"/>
                </w:tcPr>
                <w:p w14:paraId="7FC62EB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2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60D8C7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19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26B69B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183"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7EA634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126"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017CFF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16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749FB1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189" w:type="pct"/>
                  <w:vMerge w:val="restart"/>
                  <w:tcBorders>
                    <w:top w:val="single" w:color="auto" w:sz="4" w:space="0"/>
                    <w:left w:val="single" w:color="auto" w:sz="4" w:space="0"/>
                    <w:bottom w:val="single" w:color="auto" w:sz="4" w:space="0"/>
                    <w:right w:val="nil"/>
                  </w:tcBorders>
                  <w:shd w:val="clear" w:color="auto" w:fill="auto"/>
                  <w:vAlign w:val="center"/>
                </w:tcPr>
                <w:p w14:paraId="5334881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r>
            <w:tr w14:paraId="22A52A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55" w:type="pct"/>
                  <w:tcBorders>
                    <w:top w:val="single" w:color="auto" w:sz="4" w:space="0"/>
                    <w:left w:val="nil"/>
                    <w:bottom w:val="single" w:color="auto" w:sz="4" w:space="0"/>
                    <w:right w:val="single" w:color="auto" w:sz="4" w:space="0"/>
                  </w:tcBorders>
                  <w:shd w:val="clear" w:color="auto" w:fill="auto"/>
                  <w:vAlign w:val="center"/>
                </w:tcPr>
                <w:p w14:paraId="01B1B61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41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F6585F8">
                  <w:pPr>
                    <w:jc w:val="center"/>
                    <w:rPr>
                      <w:rFonts w:hint="default" w:ascii="Times New Roman" w:hAnsi="Times New Roman" w:eastAsia="宋体" w:cs="Times New Roman"/>
                      <w:i w:val="0"/>
                      <w:iCs w:val="0"/>
                      <w:color w:val="auto"/>
                      <w:sz w:val="18"/>
                      <w:szCs w:val="18"/>
                      <w:u w:val="none"/>
                    </w:rPr>
                  </w:pPr>
                </w:p>
              </w:tc>
              <w:tc>
                <w:tcPr>
                  <w:tcW w:w="330"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CA59F65">
                  <w:pPr>
                    <w:jc w:val="center"/>
                    <w:rPr>
                      <w:rFonts w:hint="default" w:ascii="Times New Roman" w:hAnsi="Times New Roman" w:eastAsia="宋体" w:cs="Times New Roman"/>
                      <w:i w:val="0"/>
                      <w:iCs w:val="0"/>
                      <w:color w:val="auto"/>
                      <w:sz w:val="18"/>
                      <w:szCs w:val="18"/>
                      <w:u w:val="none"/>
                    </w:rPr>
                  </w:pPr>
                </w:p>
              </w:tc>
              <w:tc>
                <w:tcPr>
                  <w:tcW w:w="384" w:type="pct"/>
                  <w:tcBorders>
                    <w:top w:val="single" w:color="auto" w:sz="4" w:space="0"/>
                    <w:left w:val="single" w:color="auto" w:sz="4" w:space="0"/>
                    <w:bottom w:val="single" w:color="auto" w:sz="4" w:space="0"/>
                    <w:right w:val="single" w:color="auto" w:sz="4" w:space="0"/>
                  </w:tcBorders>
                  <w:shd w:val="clear" w:color="auto" w:fill="auto"/>
                  <w:vAlign w:val="center"/>
                </w:tcPr>
                <w:p w14:paraId="229C115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266" w:type="pct"/>
                  <w:tcBorders>
                    <w:top w:val="single" w:color="auto" w:sz="4" w:space="0"/>
                    <w:left w:val="single" w:color="auto" w:sz="4" w:space="0"/>
                    <w:bottom w:val="single" w:color="auto" w:sz="4" w:space="0"/>
                    <w:right w:val="single" w:color="auto" w:sz="4" w:space="0"/>
                  </w:tcBorders>
                  <w:shd w:val="clear" w:color="auto" w:fill="auto"/>
                  <w:vAlign w:val="center"/>
                </w:tcPr>
                <w:p w14:paraId="12AA223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175" w:type="pct"/>
                  <w:tcBorders>
                    <w:top w:val="single" w:color="auto" w:sz="4" w:space="0"/>
                    <w:left w:val="single" w:color="auto" w:sz="4" w:space="0"/>
                    <w:bottom w:val="single" w:color="auto" w:sz="4" w:space="0"/>
                    <w:right w:val="single" w:color="auto" w:sz="4" w:space="0"/>
                  </w:tcBorders>
                  <w:shd w:val="clear" w:color="auto" w:fill="auto"/>
                  <w:vAlign w:val="center"/>
                </w:tcPr>
                <w:p w14:paraId="49A8AEA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245" w:type="pct"/>
                  <w:tcBorders>
                    <w:top w:val="single" w:color="auto" w:sz="4" w:space="0"/>
                    <w:left w:val="single" w:color="auto" w:sz="4" w:space="0"/>
                    <w:bottom w:val="single" w:color="auto" w:sz="4" w:space="0"/>
                    <w:right w:val="single" w:color="auto" w:sz="4" w:space="0"/>
                  </w:tcBorders>
                  <w:shd w:val="clear" w:color="auto" w:fill="auto"/>
                  <w:vAlign w:val="center"/>
                </w:tcPr>
                <w:p w14:paraId="17E1D2B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156"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D6F882B">
                  <w:pPr>
                    <w:jc w:val="center"/>
                    <w:rPr>
                      <w:rFonts w:hint="default" w:ascii="Times New Roman" w:hAnsi="Times New Roman" w:eastAsia="宋体" w:cs="Times New Roman"/>
                      <w:i w:val="0"/>
                      <w:iCs w:val="0"/>
                      <w:color w:val="auto"/>
                      <w:sz w:val="18"/>
                      <w:szCs w:val="18"/>
                      <w:u w:val="none"/>
                    </w:rPr>
                  </w:pPr>
                </w:p>
              </w:tc>
              <w:tc>
                <w:tcPr>
                  <w:tcW w:w="55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8F16D68">
                  <w:pPr>
                    <w:jc w:val="center"/>
                    <w:rPr>
                      <w:rFonts w:hint="default" w:ascii="Times New Roman" w:hAnsi="Times New Roman" w:eastAsia="宋体" w:cs="Times New Roman"/>
                      <w:i w:val="0"/>
                      <w:iCs w:val="0"/>
                      <w:color w:val="auto"/>
                      <w:sz w:val="18"/>
                      <w:szCs w:val="18"/>
                      <w:u w:val="none"/>
                    </w:rPr>
                  </w:pPr>
                </w:p>
              </w:tc>
              <w:tc>
                <w:tcPr>
                  <w:tcW w:w="235" w:type="pct"/>
                  <w:tcBorders>
                    <w:top w:val="single" w:color="auto" w:sz="4" w:space="0"/>
                    <w:left w:val="single" w:color="auto" w:sz="4" w:space="0"/>
                    <w:bottom w:val="single" w:color="auto" w:sz="4" w:space="0"/>
                    <w:right w:val="single" w:color="auto" w:sz="4" w:space="0"/>
                  </w:tcBorders>
                  <w:shd w:val="clear" w:color="auto" w:fill="auto"/>
                  <w:vAlign w:val="center"/>
                </w:tcPr>
                <w:p w14:paraId="09109D4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164" w:type="pct"/>
                  <w:tcBorders>
                    <w:top w:val="single" w:color="auto" w:sz="4" w:space="0"/>
                    <w:left w:val="single" w:color="auto" w:sz="4" w:space="0"/>
                    <w:bottom w:val="single" w:color="auto" w:sz="4" w:space="0"/>
                    <w:right w:val="single" w:color="auto" w:sz="4" w:space="0"/>
                  </w:tcBorders>
                  <w:shd w:val="clear" w:color="auto" w:fill="auto"/>
                  <w:vAlign w:val="center"/>
                </w:tcPr>
                <w:p w14:paraId="2FE0189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164"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E870CC2">
                  <w:pPr>
                    <w:jc w:val="center"/>
                    <w:rPr>
                      <w:rFonts w:hint="default" w:ascii="Times New Roman" w:hAnsi="Times New Roman" w:eastAsia="宋体" w:cs="Times New Roman"/>
                      <w:i w:val="0"/>
                      <w:iCs w:val="0"/>
                      <w:color w:val="auto"/>
                      <w:sz w:val="18"/>
                      <w:szCs w:val="18"/>
                      <w:u w:val="none"/>
                    </w:rPr>
                  </w:pPr>
                </w:p>
              </w:tc>
              <w:tc>
                <w:tcPr>
                  <w:tcW w:w="219" w:type="pct"/>
                  <w:tcBorders>
                    <w:top w:val="single" w:color="auto" w:sz="4" w:space="0"/>
                    <w:left w:val="single" w:color="auto" w:sz="4" w:space="0"/>
                    <w:bottom w:val="single" w:color="auto" w:sz="4" w:space="0"/>
                    <w:right w:val="single" w:color="auto" w:sz="4" w:space="0"/>
                  </w:tcBorders>
                  <w:shd w:val="clear" w:color="auto" w:fill="auto"/>
                  <w:vAlign w:val="center"/>
                </w:tcPr>
                <w:p w14:paraId="4121D2D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263" w:type="pct"/>
                  <w:tcBorders>
                    <w:top w:val="single" w:color="auto" w:sz="4" w:space="0"/>
                    <w:left w:val="single" w:color="auto" w:sz="4" w:space="0"/>
                    <w:bottom w:val="single" w:color="auto" w:sz="4" w:space="0"/>
                    <w:right w:val="single" w:color="auto" w:sz="4" w:space="0"/>
                  </w:tcBorders>
                  <w:shd w:val="clear" w:color="auto" w:fill="auto"/>
                  <w:vAlign w:val="center"/>
                </w:tcPr>
                <w:p w14:paraId="74FCC25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197" w:type="pct"/>
                  <w:tcBorders>
                    <w:top w:val="single" w:color="auto" w:sz="4" w:space="0"/>
                    <w:left w:val="single" w:color="auto" w:sz="4" w:space="0"/>
                    <w:bottom w:val="single" w:color="auto" w:sz="4" w:space="0"/>
                    <w:right w:val="single" w:color="auto" w:sz="4" w:space="0"/>
                  </w:tcBorders>
                  <w:shd w:val="clear" w:color="auto" w:fill="auto"/>
                  <w:vAlign w:val="center"/>
                </w:tcPr>
                <w:p w14:paraId="4471711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2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63D92B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19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EA0AE6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183"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2DCC344">
                  <w:pPr>
                    <w:jc w:val="center"/>
                    <w:rPr>
                      <w:rFonts w:hint="default" w:ascii="Times New Roman" w:hAnsi="Times New Roman" w:eastAsia="宋体" w:cs="Times New Roman"/>
                      <w:i w:val="0"/>
                      <w:iCs w:val="0"/>
                      <w:color w:val="auto"/>
                      <w:sz w:val="18"/>
                      <w:szCs w:val="18"/>
                      <w:u w:val="none"/>
                    </w:rPr>
                  </w:pPr>
                </w:p>
              </w:tc>
              <w:tc>
                <w:tcPr>
                  <w:tcW w:w="126"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913BA4D">
                  <w:pPr>
                    <w:jc w:val="center"/>
                    <w:rPr>
                      <w:rFonts w:hint="default" w:ascii="Times New Roman" w:hAnsi="Times New Roman" w:eastAsia="宋体" w:cs="Times New Roman"/>
                      <w:i w:val="0"/>
                      <w:iCs w:val="0"/>
                      <w:color w:val="auto"/>
                      <w:sz w:val="18"/>
                      <w:szCs w:val="18"/>
                      <w:u w:val="none"/>
                    </w:rPr>
                  </w:pPr>
                </w:p>
              </w:tc>
              <w:tc>
                <w:tcPr>
                  <w:tcW w:w="160"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1709C26">
                  <w:pPr>
                    <w:jc w:val="center"/>
                    <w:rPr>
                      <w:rFonts w:hint="default" w:ascii="Times New Roman" w:hAnsi="Times New Roman" w:eastAsia="宋体" w:cs="Times New Roman"/>
                      <w:i w:val="0"/>
                      <w:iCs w:val="0"/>
                      <w:color w:val="auto"/>
                      <w:sz w:val="18"/>
                      <w:szCs w:val="18"/>
                      <w:u w:val="none"/>
                    </w:rPr>
                  </w:pPr>
                </w:p>
              </w:tc>
              <w:tc>
                <w:tcPr>
                  <w:tcW w:w="189" w:type="pct"/>
                  <w:vMerge w:val="continue"/>
                  <w:tcBorders>
                    <w:top w:val="single" w:color="auto" w:sz="4" w:space="0"/>
                    <w:left w:val="single" w:color="auto" w:sz="4" w:space="0"/>
                    <w:bottom w:val="single" w:color="auto" w:sz="4" w:space="0"/>
                    <w:right w:val="nil"/>
                  </w:tcBorders>
                  <w:shd w:val="clear" w:color="auto" w:fill="auto"/>
                  <w:vAlign w:val="center"/>
                </w:tcPr>
                <w:p w14:paraId="4E7A787F">
                  <w:pPr>
                    <w:jc w:val="center"/>
                    <w:rPr>
                      <w:rFonts w:hint="default" w:ascii="Times New Roman" w:hAnsi="Times New Roman" w:eastAsia="宋体" w:cs="Times New Roman"/>
                      <w:i w:val="0"/>
                      <w:iCs w:val="0"/>
                      <w:color w:val="auto"/>
                      <w:sz w:val="18"/>
                      <w:szCs w:val="18"/>
                      <w:u w:val="none"/>
                    </w:rPr>
                  </w:pPr>
                </w:p>
              </w:tc>
            </w:tr>
            <w:tr w14:paraId="1E884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55" w:type="pct"/>
                  <w:tcBorders>
                    <w:top w:val="single" w:color="auto" w:sz="4" w:space="0"/>
                    <w:left w:val="nil"/>
                    <w:bottom w:val="single" w:color="auto" w:sz="4" w:space="0"/>
                    <w:right w:val="single" w:color="auto" w:sz="4" w:space="0"/>
                  </w:tcBorders>
                  <w:shd w:val="clear" w:color="auto" w:fill="auto"/>
                  <w:vAlign w:val="center"/>
                </w:tcPr>
                <w:p w14:paraId="78F6014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41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788CF3F">
                  <w:pPr>
                    <w:jc w:val="center"/>
                    <w:rPr>
                      <w:rFonts w:hint="default" w:ascii="Times New Roman" w:hAnsi="Times New Roman" w:eastAsia="宋体" w:cs="Times New Roman"/>
                      <w:i w:val="0"/>
                      <w:iCs w:val="0"/>
                      <w:color w:val="auto"/>
                      <w:sz w:val="18"/>
                      <w:szCs w:val="18"/>
                      <w:u w:val="none"/>
                    </w:rPr>
                  </w:pPr>
                </w:p>
              </w:tc>
              <w:tc>
                <w:tcPr>
                  <w:tcW w:w="330"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7D3BC12">
                  <w:pPr>
                    <w:jc w:val="center"/>
                    <w:rPr>
                      <w:rFonts w:hint="default" w:ascii="Times New Roman" w:hAnsi="Times New Roman" w:eastAsia="宋体" w:cs="Times New Roman"/>
                      <w:i w:val="0"/>
                      <w:iCs w:val="0"/>
                      <w:color w:val="auto"/>
                      <w:sz w:val="18"/>
                      <w:szCs w:val="18"/>
                      <w:u w:val="none"/>
                    </w:rPr>
                  </w:pPr>
                </w:p>
              </w:tc>
              <w:tc>
                <w:tcPr>
                  <w:tcW w:w="384" w:type="pct"/>
                  <w:tcBorders>
                    <w:top w:val="single" w:color="auto" w:sz="4" w:space="0"/>
                    <w:left w:val="single" w:color="auto" w:sz="4" w:space="0"/>
                    <w:bottom w:val="single" w:color="auto" w:sz="4" w:space="0"/>
                    <w:right w:val="single" w:color="auto" w:sz="4" w:space="0"/>
                  </w:tcBorders>
                  <w:shd w:val="clear" w:color="auto" w:fill="auto"/>
                  <w:vAlign w:val="center"/>
                </w:tcPr>
                <w:p w14:paraId="4E09864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266" w:type="pct"/>
                  <w:tcBorders>
                    <w:top w:val="single" w:color="auto" w:sz="4" w:space="0"/>
                    <w:left w:val="single" w:color="auto" w:sz="4" w:space="0"/>
                    <w:bottom w:val="single" w:color="auto" w:sz="4" w:space="0"/>
                    <w:right w:val="single" w:color="auto" w:sz="4" w:space="0"/>
                  </w:tcBorders>
                  <w:shd w:val="clear" w:color="auto" w:fill="auto"/>
                  <w:vAlign w:val="center"/>
                </w:tcPr>
                <w:p w14:paraId="5B5902C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175" w:type="pct"/>
                  <w:tcBorders>
                    <w:top w:val="single" w:color="auto" w:sz="4" w:space="0"/>
                    <w:left w:val="single" w:color="auto" w:sz="4" w:space="0"/>
                    <w:bottom w:val="single" w:color="auto" w:sz="4" w:space="0"/>
                    <w:right w:val="single" w:color="auto" w:sz="4" w:space="0"/>
                  </w:tcBorders>
                  <w:shd w:val="clear" w:color="auto" w:fill="auto"/>
                  <w:vAlign w:val="center"/>
                </w:tcPr>
                <w:p w14:paraId="6C54F47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245" w:type="pct"/>
                  <w:tcBorders>
                    <w:top w:val="single" w:color="auto" w:sz="4" w:space="0"/>
                    <w:left w:val="single" w:color="auto" w:sz="4" w:space="0"/>
                    <w:bottom w:val="single" w:color="auto" w:sz="4" w:space="0"/>
                    <w:right w:val="single" w:color="auto" w:sz="4" w:space="0"/>
                  </w:tcBorders>
                  <w:shd w:val="clear" w:color="auto" w:fill="auto"/>
                  <w:vAlign w:val="center"/>
                </w:tcPr>
                <w:p w14:paraId="6A39545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156"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1451438">
                  <w:pPr>
                    <w:jc w:val="center"/>
                    <w:rPr>
                      <w:rFonts w:hint="default" w:ascii="Times New Roman" w:hAnsi="Times New Roman" w:eastAsia="宋体" w:cs="Times New Roman"/>
                      <w:i w:val="0"/>
                      <w:iCs w:val="0"/>
                      <w:color w:val="auto"/>
                      <w:sz w:val="18"/>
                      <w:szCs w:val="18"/>
                      <w:u w:val="none"/>
                    </w:rPr>
                  </w:pPr>
                </w:p>
              </w:tc>
              <w:tc>
                <w:tcPr>
                  <w:tcW w:w="55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1B61B18">
                  <w:pPr>
                    <w:jc w:val="center"/>
                    <w:rPr>
                      <w:rFonts w:hint="default" w:ascii="Times New Roman" w:hAnsi="Times New Roman" w:eastAsia="宋体" w:cs="Times New Roman"/>
                      <w:i w:val="0"/>
                      <w:iCs w:val="0"/>
                      <w:color w:val="auto"/>
                      <w:sz w:val="18"/>
                      <w:szCs w:val="18"/>
                      <w:u w:val="none"/>
                    </w:rPr>
                  </w:pPr>
                </w:p>
              </w:tc>
              <w:tc>
                <w:tcPr>
                  <w:tcW w:w="235" w:type="pct"/>
                  <w:tcBorders>
                    <w:top w:val="single" w:color="auto" w:sz="4" w:space="0"/>
                    <w:left w:val="single" w:color="auto" w:sz="4" w:space="0"/>
                    <w:bottom w:val="single" w:color="auto" w:sz="4" w:space="0"/>
                    <w:right w:val="single" w:color="auto" w:sz="4" w:space="0"/>
                  </w:tcBorders>
                  <w:shd w:val="clear" w:color="auto" w:fill="auto"/>
                  <w:vAlign w:val="center"/>
                </w:tcPr>
                <w:p w14:paraId="5818161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164" w:type="pct"/>
                  <w:tcBorders>
                    <w:top w:val="single" w:color="auto" w:sz="4" w:space="0"/>
                    <w:left w:val="single" w:color="auto" w:sz="4" w:space="0"/>
                    <w:bottom w:val="single" w:color="auto" w:sz="4" w:space="0"/>
                    <w:right w:val="single" w:color="auto" w:sz="4" w:space="0"/>
                  </w:tcBorders>
                  <w:shd w:val="clear" w:color="auto" w:fill="auto"/>
                  <w:vAlign w:val="center"/>
                </w:tcPr>
                <w:p w14:paraId="171F43D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164"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D29D0A9">
                  <w:pPr>
                    <w:jc w:val="center"/>
                    <w:rPr>
                      <w:rFonts w:hint="default" w:ascii="Times New Roman" w:hAnsi="Times New Roman" w:eastAsia="宋体" w:cs="Times New Roman"/>
                      <w:i w:val="0"/>
                      <w:iCs w:val="0"/>
                      <w:color w:val="auto"/>
                      <w:sz w:val="18"/>
                      <w:szCs w:val="18"/>
                      <w:u w:val="none"/>
                    </w:rPr>
                  </w:pPr>
                </w:p>
              </w:tc>
              <w:tc>
                <w:tcPr>
                  <w:tcW w:w="219" w:type="pct"/>
                  <w:tcBorders>
                    <w:top w:val="single" w:color="auto" w:sz="4" w:space="0"/>
                    <w:left w:val="single" w:color="auto" w:sz="4" w:space="0"/>
                    <w:bottom w:val="single" w:color="auto" w:sz="4" w:space="0"/>
                    <w:right w:val="single" w:color="auto" w:sz="4" w:space="0"/>
                  </w:tcBorders>
                  <w:shd w:val="clear" w:color="auto" w:fill="auto"/>
                  <w:vAlign w:val="center"/>
                </w:tcPr>
                <w:p w14:paraId="756BB1C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263" w:type="pct"/>
                  <w:tcBorders>
                    <w:top w:val="single" w:color="auto" w:sz="4" w:space="0"/>
                    <w:left w:val="single" w:color="auto" w:sz="4" w:space="0"/>
                    <w:bottom w:val="single" w:color="auto" w:sz="4" w:space="0"/>
                    <w:right w:val="single" w:color="auto" w:sz="4" w:space="0"/>
                  </w:tcBorders>
                  <w:shd w:val="clear" w:color="auto" w:fill="auto"/>
                  <w:vAlign w:val="center"/>
                </w:tcPr>
                <w:p w14:paraId="1023A3C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197" w:type="pct"/>
                  <w:tcBorders>
                    <w:top w:val="single" w:color="auto" w:sz="4" w:space="0"/>
                    <w:left w:val="single" w:color="auto" w:sz="4" w:space="0"/>
                    <w:bottom w:val="single" w:color="auto" w:sz="4" w:space="0"/>
                    <w:right w:val="single" w:color="auto" w:sz="4" w:space="0"/>
                  </w:tcBorders>
                  <w:shd w:val="clear" w:color="auto" w:fill="auto"/>
                  <w:vAlign w:val="center"/>
                </w:tcPr>
                <w:p w14:paraId="3E1408B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2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C15B1A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19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D72040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183"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9796242">
                  <w:pPr>
                    <w:jc w:val="center"/>
                    <w:rPr>
                      <w:rFonts w:hint="default" w:ascii="Times New Roman" w:hAnsi="Times New Roman" w:eastAsia="宋体" w:cs="Times New Roman"/>
                      <w:i w:val="0"/>
                      <w:iCs w:val="0"/>
                      <w:color w:val="auto"/>
                      <w:sz w:val="18"/>
                      <w:szCs w:val="18"/>
                      <w:u w:val="none"/>
                    </w:rPr>
                  </w:pPr>
                </w:p>
              </w:tc>
              <w:tc>
                <w:tcPr>
                  <w:tcW w:w="126"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6165429">
                  <w:pPr>
                    <w:jc w:val="center"/>
                    <w:rPr>
                      <w:rFonts w:hint="default" w:ascii="Times New Roman" w:hAnsi="Times New Roman" w:eastAsia="宋体" w:cs="Times New Roman"/>
                      <w:i w:val="0"/>
                      <w:iCs w:val="0"/>
                      <w:color w:val="auto"/>
                      <w:sz w:val="18"/>
                      <w:szCs w:val="18"/>
                      <w:u w:val="none"/>
                    </w:rPr>
                  </w:pPr>
                </w:p>
              </w:tc>
              <w:tc>
                <w:tcPr>
                  <w:tcW w:w="160"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AD00C32">
                  <w:pPr>
                    <w:jc w:val="center"/>
                    <w:rPr>
                      <w:rFonts w:hint="default" w:ascii="Times New Roman" w:hAnsi="Times New Roman" w:eastAsia="宋体" w:cs="Times New Roman"/>
                      <w:i w:val="0"/>
                      <w:iCs w:val="0"/>
                      <w:color w:val="auto"/>
                      <w:sz w:val="18"/>
                      <w:szCs w:val="18"/>
                      <w:u w:val="none"/>
                    </w:rPr>
                  </w:pPr>
                </w:p>
              </w:tc>
              <w:tc>
                <w:tcPr>
                  <w:tcW w:w="189" w:type="pct"/>
                  <w:vMerge w:val="continue"/>
                  <w:tcBorders>
                    <w:top w:val="single" w:color="auto" w:sz="4" w:space="0"/>
                    <w:left w:val="single" w:color="auto" w:sz="4" w:space="0"/>
                    <w:bottom w:val="single" w:color="auto" w:sz="4" w:space="0"/>
                    <w:right w:val="nil"/>
                  </w:tcBorders>
                  <w:shd w:val="clear" w:color="auto" w:fill="auto"/>
                  <w:vAlign w:val="center"/>
                </w:tcPr>
                <w:p w14:paraId="1C43BF4B">
                  <w:pPr>
                    <w:jc w:val="center"/>
                    <w:rPr>
                      <w:rFonts w:hint="default" w:ascii="Times New Roman" w:hAnsi="Times New Roman" w:eastAsia="宋体" w:cs="Times New Roman"/>
                      <w:i w:val="0"/>
                      <w:iCs w:val="0"/>
                      <w:color w:val="auto"/>
                      <w:sz w:val="18"/>
                      <w:szCs w:val="18"/>
                      <w:u w:val="none"/>
                    </w:rPr>
                  </w:pPr>
                </w:p>
              </w:tc>
            </w:tr>
            <w:tr w14:paraId="5F013D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5" w:type="pct"/>
                  <w:tcBorders>
                    <w:top w:val="single" w:color="auto" w:sz="4" w:space="0"/>
                    <w:left w:val="nil"/>
                    <w:bottom w:val="single" w:color="auto" w:sz="4" w:space="0"/>
                    <w:right w:val="single" w:color="auto" w:sz="4" w:space="0"/>
                  </w:tcBorders>
                  <w:shd w:val="clear" w:color="auto" w:fill="auto"/>
                  <w:vAlign w:val="center"/>
                </w:tcPr>
                <w:p w14:paraId="20DE11B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41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F6CE74E">
                  <w:pPr>
                    <w:jc w:val="center"/>
                    <w:rPr>
                      <w:rFonts w:hint="default" w:ascii="Times New Roman" w:hAnsi="Times New Roman" w:eastAsia="宋体" w:cs="Times New Roman"/>
                      <w:i w:val="0"/>
                      <w:iCs w:val="0"/>
                      <w:color w:val="auto"/>
                      <w:sz w:val="18"/>
                      <w:szCs w:val="18"/>
                      <w:u w:val="none"/>
                    </w:rPr>
                  </w:pPr>
                </w:p>
              </w:tc>
              <w:tc>
                <w:tcPr>
                  <w:tcW w:w="330"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35166F2">
                  <w:pPr>
                    <w:jc w:val="center"/>
                    <w:rPr>
                      <w:rFonts w:hint="default" w:ascii="Times New Roman" w:hAnsi="Times New Roman" w:eastAsia="宋体" w:cs="Times New Roman"/>
                      <w:i w:val="0"/>
                      <w:iCs w:val="0"/>
                      <w:color w:val="auto"/>
                      <w:sz w:val="18"/>
                      <w:szCs w:val="18"/>
                      <w:u w:val="none"/>
                    </w:rPr>
                  </w:pPr>
                </w:p>
              </w:tc>
              <w:tc>
                <w:tcPr>
                  <w:tcW w:w="384" w:type="pct"/>
                  <w:tcBorders>
                    <w:top w:val="single" w:color="auto" w:sz="4" w:space="0"/>
                    <w:left w:val="single" w:color="auto" w:sz="4" w:space="0"/>
                    <w:bottom w:val="single" w:color="auto" w:sz="4" w:space="0"/>
                    <w:right w:val="single" w:color="auto" w:sz="4" w:space="0"/>
                  </w:tcBorders>
                  <w:shd w:val="clear" w:color="auto" w:fill="auto"/>
                  <w:vAlign w:val="center"/>
                </w:tcPr>
                <w:p w14:paraId="114FCBD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266" w:type="pct"/>
                  <w:tcBorders>
                    <w:top w:val="single" w:color="auto" w:sz="4" w:space="0"/>
                    <w:left w:val="single" w:color="auto" w:sz="4" w:space="0"/>
                    <w:bottom w:val="single" w:color="auto" w:sz="4" w:space="0"/>
                    <w:right w:val="single" w:color="auto" w:sz="4" w:space="0"/>
                  </w:tcBorders>
                  <w:shd w:val="clear" w:color="auto" w:fill="auto"/>
                  <w:vAlign w:val="center"/>
                </w:tcPr>
                <w:p w14:paraId="2237DED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175" w:type="pct"/>
                  <w:tcBorders>
                    <w:top w:val="single" w:color="auto" w:sz="4" w:space="0"/>
                    <w:left w:val="single" w:color="auto" w:sz="4" w:space="0"/>
                    <w:bottom w:val="single" w:color="auto" w:sz="4" w:space="0"/>
                    <w:right w:val="single" w:color="auto" w:sz="4" w:space="0"/>
                  </w:tcBorders>
                  <w:shd w:val="clear" w:color="auto" w:fill="auto"/>
                  <w:vAlign w:val="center"/>
                </w:tcPr>
                <w:p w14:paraId="0E507AB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245" w:type="pct"/>
                  <w:tcBorders>
                    <w:top w:val="single" w:color="auto" w:sz="4" w:space="0"/>
                    <w:left w:val="single" w:color="auto" w:sz="4" w:space="0"/>
                    <w:bottom w:val="single" w:color="auto" w:sz="4" w:space="0"/>
                    <w:right w:val="single" w:color="auto" w:sz="4" w:space="0"/>
                  </w:tcBorders>
                  <w:shd w:val="clear" w:color="auto" w:fill="auto"/>
                  <w:vAlign w:val="center"/>
                </w:tcPr>
                <w:p w14:paraId="24E4C6D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156"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52F07DF">
                  <w:pPr>
                    <w:jc w:val="center"/>
                    <w:rPr>
                      <w:rFonts w:hint="default" w:ascii="Times New Roman" w:hAnsi="Times New Roman" w:eastAsia="宋体" w:cs="Times New Roman"/>
                      <w:i w:val="0"/>
                      <w:iCs w:val="0"/>
                      <w:color w:val="auto"/>
                      <w:sz w:val="18"/>
                      <w:szCs w:val="18"/>
                      <w:u w:val="none"/>
                    </w:rPr>
                  </w:pPr>
                </w:p>
              </w:tc>
              <w:tc>
                <w:tcPr>
                  <w:tcW w:w="55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1AADB57">
                  <w:pPr>
                    <w:jc w:val="center"/>
                    <w:rPr>
                      <w:rFonts w:hint="default" w:ascii="Times New Roman" w:hAnsi="Times New Roman" w:eastAsia="宋体" w:cs="Times New Roman"/>
                      <w:i w:val="0"/>
                      <w:iCs w:val="0"/>
                      <w:color w:val="auto"/>
                      <w:sz w:val="18"/>
                      <w:szCs w:val="18"/>
                      <w:u w:val="none"/>
                    </w:rPr>
                  </w:pPr>
                </w:p>
              </w:tc>
              <w:tc>
                <w:tcPr>
                  <w:tcW w:w="235" w:type="pct"/>
                  <w:tcBorders>
                    <w:top w:val="single" w:color="auto" w:sz="4" w:space="0"/>
                    <w:left w:val="single" w:color="auto" w:sz="4" w:space="0"/>
                    <w:bottom w:val="single" w:color="auto" w:sz="4" w:space="0"/>
                    <w:right w:val="single" w:color="auto" w:sz="4" w:space="0"/>
                  </w:tcBorders>
                  <w:shd w:val="clear" w:color="auto" w:fill="auto"/>
                  <w:vAlign w:val="center"/>
                </w:tcPr>
                <w:p w14:paraId="3A33847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164" w:type="pct"/>
                  <w:tcBorders>
                    <w:top w:val="single" w:color="auto" w:sz="4" w:space="0"/>
                    <w:left w:val="single" w:color="auto" w:sz="4" w:space="0"/>
                    <w:bottom w:val="single" w:color="auto" w:sz="4" w:space="0"/>
                    <w:right w:val="single" w:color="auto" w:sz="4" w:space="0"/>
                  </w:tcBorders>
                  <w:shd w:val="clear" w:color="auto" w:fill="auto"/>
                  <w:vAlign w:val="center"/>
                </w:tcPr>
                <w:p w14:paraId="0FD058F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164"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465238E">
                  <w:pPr>
                    <w:jc w:val="center"/>
                    <w:rPr>
                      <w:rFonts w:hint="default" w:ascii="Times New Roman" w:hAnsi="Times New Roman" w:eastAsia="宋体" w:cs="Times New Roman"/>
                      <w:i w:val="0"/>
                      <w:iCs w:val="0"/>
                      <w:color w:val="auto"/>
                      <w:sz w:val="18"/>
                      <w:szCs w:val="18"/>
                      <w:u w:val="none"/>
                    </w:rPr>
                  </w:pPr>
                </w:p>
              </w:tc>
              <w:tc>
                <w:tcPr>
                  <w:tcW w:w="219" w:type="pct"/>
                  <w:tcBorders>
                    <w:top w:val="single" w:color="auto" w:sz="4" w:space="0"/>
                    <w:left w:val="single" w:color="auto" w:sz="4" w:space="0"/>
                    <w:bottom w:val="single" w:color="auto" w:sz="4" w:space="0"/>
                    <w:right w:val="single" w:color="auto" w:sz="4" w:space="0"/>
                  </w:tcBorders>
                  <w:shd w:val="clear" w:color="auto" w:fill="auto"/>
                  <w:vAlign w:val="center"/>
                </w:tcPr>
                <w:p w14:paraId="4C7F62B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263" w:type="pct"/>
                  <w:tcBorders>
                    <w:top w:val="single" w:color="auto" w:sz="4" w:space="0"/>
                    <w:left w:val="single" w:color="auto" w:sz="4" w:space="0"/>
                    <w:bottom w:val="single" w:color="auto" w:sz="4" w:space="0"/>
                    <w:right w:val="single" w:color="auto" w:sz="4" w:space="0"/>
                  </w:tcBorders>
                  <w:shd w:val="clear" w:color="auto" w:fill="auto"/>
                  <w:vAlign w:val="center"/>
                </w:tcPr>
                <w:p w14:paraId="0DA4C64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197" w:type="pct"/>
                  <w:tcBorders>
                    <w:top w:val="single" w:color="auto" w:sz="4" w:space="0"/>
                    <w:left w:val="single" w:color="auto" w:sz="4" w:space="0"/>
                    <w:bottom w:val="single" w:color="auto" w:sz="4" w:space="0"/>
                    <w:right w:val="single" w:color="auto" w:sz="4" w:space="0"/>
                  </w:tcBorders>
                  <w:shd w:val="clear" w:color="auto" w:fill="auto"/>
                  <w:vAlign w:val="center"/>
                </w:tcPr>
                <w:p w14:paraId="3821773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2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701F82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19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9BBBE9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183"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5284B20">
                  <w:pPr>
                    <w:jc w:val="center"/>
                    <w:rPr>
                      <w:rFonts w:hint="default" w:ascii="Times New Roman" w:hAnsi="Times New Roman" w:eastAsia="宋体" w:cs="Times New Roman"/>
                      <w:i w:val="0"/>
                      <w:iCs w:val="0"/>
                      <w:color w:val="auto"/>
                      <w:sz w:val="18"/>
                      <w:szCs w:val="18"/>
                      <w:u w:val="none"/>
                    </w:rPr>
                  </w:pPr>
                </w:p>
              </w:tc>
              <w:tc>
                <w:tcPr>
                  <w:tcW w:w="126"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CC664CD">
                  <w:pPr>
                    <w:jc w:val="center"/>
                    <w:rPr>
                      <w:rFonts w:hint="default" w:ascii="Times New Roman" w:hAnsi="Times New Roman" w:eastAsia="宋体" w:cs="Times New Roman"/>
                      <w:i w:val="0"/>
                      <w:iCs w:val="0"/>
                      <w:color w:val="auto"/>
                      <w:sz w:val="18"/>
                      <w:szCs w:val="18"/>
                      <w:u w:val="none"/>
                    </w:rPr>
                  </w:pPr>
                </w:p>
              </w:tc>
              <w:tc>
                <w:tcPr>
                  <w:tcW w:w="160"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2FCE51A">
                  <w:pPr>
                    <w:jc w:val="center"/>
                    <w:rPr>
                      <w:rFonts w:hint="default" w:ascii="Times New Roman" w:hAnsi="Times New Roman" w:eastAsia="宋体" w:cs="Times New Roman"/>
                      <w:i w:val="0"/>
                      <w:iCs w:val="0"/>
                      <w:color w:val="auto"/>
                      <w:sz w:val="18"/>
                      <w:szCs w:val="18"/>
                      <w:u w:val="none"/>
                    </w:rPr>
                  </w:pPr>
                </w:p>
              </w:tc>
              <w:tc>
                <w:tcPr>
                  <w:tcW w:w="189" w:type="pct"/>
                  <w:vMerge w:val="continue"/>
                  <w:tcBorders>
                    <w:top w:val="single" w:color="auto" w:sz="4" w:space="0"/>
                    <w:left w:val="single" w:color="auto" w:sz="4" w:space="0"/>
                    <w:bottom w:val="single" w:color="auto" w:sz="4" w:space="0"/>
                    <w:right w:val="nil"/>
                  </w:tcBorders>
                  <w:shd w:val="clear" w:color="auto" w:fill="auto"/>
                  <w:vAlign w:val="center"/>
                </w:tcPr>
                <w:p w14:paraId="4C13044C">
                  <w:pPr>
                    <w:jc w:val="center"/>
                    <w:rPr>
                      <w:rFonts w:hint="default" w:ascii="Times New Roman" w:hAnsi="Times New Roman" w:eastAsia="宋体" w:cs="Times New Roman"/>
                      <w:i w:val="0"/>
                      <w:iCs w:val="0"/>
                      <w:color w:val="auto"/>
                      <w:sz w:val="18"/>
                      <w:szCs w:val="18"/>
                      <w:u w:val="none"/>
                    </w:rPr>
                  </w:pPr>
                </w:p>
              </w:tc>
            </w:tr>
            <w:tr w14:paraId="1FB26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5" w:type="pct"/>
                  <w:tcBorders>
                    <w:top w:val="single" w:color="auto" w:sz="4" w:space="0"/>
                    <w:left w:val="nil"/>
                    <w:bottom w:val="single" w:color="auto" w:sz="4" w:space="0"/>
                    <w:right w:val="single" w:color="auto" w:sz="4" w:space="0"/>
                  </w:tcBorders>
                  <w:shd w:val="clear" w:color="auto" w:fill="auto"/>
                  <w:vAlign w:val="center"/>
                </w:tcPr>
                <w:p w14:paraId="228404D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41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7A4AF45">
                  <w:pPr>
                    <w:jc w:val="center"/>
                    <w:rPr>
                      <w:rFonts w:hint="default" w:ascii="Times New Roman" w:hAnsi="Times New Roman" w:eastAsia="宋体" w:cs="Times New Roman"/>
                      <w:i w:val="0"/>
                      <w:iCs w:val="0"/>
                      <w:color w:val="auto"/>
                      <w:sz w:val="18"/>
                      <w:szCs w:val="18"/>
                      <w:u w:val="none"/>
                    </w:rPr>
                  </w:pPr>
                </w:p>
              </w:tc>
              <w:tc>
                <w:tcPr>
                  <w:tcW w:w="330"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727B891">
                  <w:pPr>
                    <w:jc w:val="center"/>
                    <w:rPr>
                      <w:rFonts w:hint="default" w:ascii="Times New Roman" w:hAnsi="Times New Roman" w:eastAsia="宋体" w:cs="Times New Roman"/>
                      <w:i w:val="0"/>
                      <w:iCs w:val="0"/>
                      <w:color w:val="auto"/>
                      <w:sz w:val="18"/>
                      <w:szCs w:val="18"/>
                      <w:u w:val="none"/>
                    </w:rPr>
                  </w:pPr>
                </w:p>
              </w:tc>
              <w:tc>
                <w:tcPr>
                  <w:tcW w:w="384" w:type="pct"/>
                  <w:tcBorders>
                    <w:top w:val="single" w:color="auto" w:sz="4" w:space="0"/>
                    <w:left w:val="single" w:color="auto" w:sz="4" w:space="0"/>
                    <w:bottom w:val="single" w:color="auto" w:sz="4" w:space="0"/>
                    <w:right w:val="single" w:color="auto" w:sz="4" w:space="0"/>
                  </w:tcBorders>
                  <w:shd w:val="clear" w:color="auto" w:fill="auto"/>
                  <w:vAlign w:val="center"/>
                </w:tcPr>
                <w:p w14:paraId="1DDE411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266" w:type="pct"/>
                  <w:tcBorders>
                    <w:top w:val="single" w:color="auto" w:sz="4" w:space="0"/>
                    <w:left w:val="single" w:color="auto" w:sz="4" w:space="0"/>
                    <w:bottom w:val="single" w:color="auto" w:sz="4" w:space="0"/>
                    <w:right w:val="single" w:color="auto" w:sz="4" w:space="0"/>
                  </w:tcBorders>
                  <w:shd w:val="clear" w:color="auto" w:fill="auto"/>
                  <w:vAlign w:val="center"/>
                </w:tcPr>
                <w:p w14:paraId="61BEB0C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175" w:type="pct"/>
                  <w:tcBorders>
                    <w:top w:val="single" w:color="auto" w:sz="4" w:space="0"/>
                    <w:left w:val="single" w:color="auto" w:sz="4" w:space="0"/>
                    <w:bottom w:val="single" w:color="auto" w:sz="4" w:space="0"/>
                    <w:right w:val="single" w:color="auto" w:sz="4" w:space="0"/>
                  </w:tcBorders>
                  <w:shd w:val="clear" w:color="auto" w:fill="auto"/>
                  <w:vAlign w:val="center"/>
                </w:tcPr>
                <w:p w14:paraId="3229268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245" w:type="pct"/>
                  <w:tcBorders>
                    <w:top w:val="single" w:color="auto" w:sz="4" w:space="0"/>
                    <w:left w:val="single" w:color="auto" w:sz="4" w:space="0"/>
                    <w:bottom w:val="single" w:color="auto" w:sz="4" w:space="0"/>
                    <w:right w:val="single" w:color="auto" w:sz="4" w:space="0"/>
                  </w:tcBorders>
                  <w:shd w:val="clear" w:color="auto" w:fill="auto"/>
                  <w:vAlign w:val="center"/>
                </w:tcPr>
                <w:p w14:paraId="60186A1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156"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9519605">
                  <w:pPr>
                    <w:jc w:val="center"/>
                    <w:rPr>
                      <w:rFonts w:hint="default" w:ascii="Times New Roman" w:hAnsi="Times New Roman" w:eastAsia="宋体" w:cs="Times New Roman"/>
                      <w:i w:val="0"/>
                      <w:iCs w:val="0"/>
                      <w:color w:val="auto"/>
                      <w:sz w:val="18"/>
                      <w:szCs w:val="18"/>
                      <w:u w:val="none"/>
                    </w:rPr>
                  </w:pPr>
                </w:p>
              </w:tc>
              <w:tc>
                <w:tcPr>
                  <w:tcW w:w="55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F28CF8A">
                  <w:pPr>
                    <w:jc w:val="center"/>
                    <w:rPr>
                      <w:rFonts w:hint="default" w:ascii="Times New Roman" w:hAnsi="Times New Roman" w:eastAsia="宋体" w:cs="Times New Roman"/>
                      <w:i w:val="0"/>
                      <w:iCs w:val="0"/>
                      <w:color w:val="auto"/>
                      <w:sz w:val="18"/>
                      <w:szCs w:val="18"/>
                      <w:u w:val="none"/>
                    </w:rPr>
                  </w:pPr>
                </w:p>
              </w:tc>
              <w:tc>
                <w:tcPr>
                  <w:tcW w:w="235" w:type="pct"/>
                  <w:tcBorders>
                    <w:top w:val="single" w:color="auto" w:sz="4" w:space="0"/>
                    <w:left w:val="single" w:color="auto" w:sz="4" w:space="0"/>
                    <w:bottom w:val="single" w:color="auto" w:sz="4" w:space="0"/>
                    <w:right w:val="single" w:color="auto" w:sz="4" w:space="0"/>
                  </w:tcBorders>
                  <w:shd w:val="clear" w:color="auto" w:fill="auto"/>
                  <w:vAlign w:val="center"/>
                </w:tcPr>
                <w:p w14:paraId="255B8AA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164" w:type="pct"/>
                  <w:tcBorders>
                    <w:top w:val="single" w:color="auto" w:sz="4" w:space="0"/>
                    <w:left w:val="single" w:color="auto" w:sz="4" w:space="0"/>
                    <w:bottom w:val="single" w:color="auto" w:sz="4" w:space="0"/>
                    <w:right w:val="single" w:color="auto" w:sz="4" w:space="0"/>
                  </w:tcBorders>
                  <w:shd w:val="clear" w:color="auto" w:fill="auto"/>
                  <w:vAlign w:val="center"/>
                </w:tcPr>
                <w:p w14:paraId="4016D51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164"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C87B4A7">
                  <w:pPr>
                    <w:jc w:val="center"/>
                    <w:rPr>
                      <w:rFonts w:hint="default" w:ascii="Times New Roman" w:hAnsi="Times New Roman" w:eastAsia="宋体" w:cs="Times New Roman"/>
                      <w:i w:val="0"/>
                      <w:iCs w:val="0"/>
                      <w:color w:val="auto"/>
                      <w:sz w:val="18"/>
                      <w:szCs w:val="18"/>
                      <w:u w:val="none"/>
                    </w:rPr>
                  </w:pPr>
                </w:p>
              </w:tc>
              <w:tc>
                <w:tcPr>
                  <w:tcW w:w="219" w:type="pct"/>
                  <w:tcBorders>
                    <w:top w:val="single" w:color="auto" w:sz="4" w:space="0"/>
                    <w:left w:val="single" w:color="auto" w:sz="4" w:space="0"/>
                    <w:bottom w:val="single" w:color="auto" w:sz="4" w:space="0"/>
                    <w:right w:val="single" w:color="auto" w:sz="4" w:space="0"/>
                  </w:tcBorders>
                  <w:shd w:val="clear" w:color="auto" w:fill="auto"/>
                  <w:vAlign w:val="center"/>
                </w:tcPr>
                <w:p w14:paraId="3E632A4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263" w:type="pct"/>
                  <w:tcBorders>
                    <w:top w:val="single" w:color="auto" w:sz="4" w:space="0"/>
                    <w:left w:val="single" w:color="auto" w:sz="4" w:space="0"/>
                    <w:bottom w:val="single" w:color="auto" w:sz="4" w:space="0"/>
                    <w:right w:val="single" w:color="auto" w:sz="4" w:space="0"/>
                  </w:tcBorders>
                  <w:shd w:val="clear" w:color="auto" w:fill="auto"/>
                  <w:vAlign w:val="center"/>
                </w:tcPr>
                <w:p w14:paraId="0DFE97D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197" w:type="pct"/>
                  <w:tcBorders>
                    <w:top w:val="single" w:color="auto" w:sz="4" w:space="0"/>
                    <w:left w:val="single" w:color="auto" w:sz="4" w:space="0"/>
                    <w:bottom w:val="single" w:color="auto" w:sz="4" w:space="0"/>
                    <w:right w:val="single" w:color="auto" w:sz="4" w:space="0"/>
                  </w:tcBorders>
                  <w:shd w:val="clear" w:color="auto" w:fill="auto"/>
                  <w:vAlign w:val="center"/>
                </w:tcPr>
                <w:p w14:paraId="5A5A356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2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681240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19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E3DF3B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183"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FF74D16">
                  <w:pPr>
                    <w:jc w:val="center"/>
                    <w:rPr>
                      <w:rFonts w:hint="default" w:ascii="Times New Roman" w:hAnsi="Times New Roman" w:eastAsia="宋体" w:cs="Times New Roman"/>
                      <w:i w:val="0"/>
                      <w:iCs w:val="0"/>
                      <w:color w:val="auto"/>
                      <w:sz w:val="18"/>
                      <w:szCs w:val="18"/>
                      <w:u w:val="none"/>
                    </w:rPr>
                  </w:pPr>
                </w:p>
              </w:tc>
              <w:tc>
                <w:tcPr>
                  <w:tcW w:w="126"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8A9E9E9">
                  <w:pPr>
                    <w:jc w:val="center"/>
                    <w:rPr>
                      <w:rFonts w:hint="default" w:ascii="Times New Roman" w:hAnsi="Times New Roman" w:eastAsia="宋体" w:cs="Times New Roman"/>
                      <w:i w:val="0"/>
                      <w:iCs w:val="0"/>
                      <w:color w:val="auto"/>
                      <w:sz w:val="18"/>
                      <w:szCs w:val="18"/>
                      <w:u w:val="none"/>
                    </w:rPr>
                  </w:pPr>
                </w:p>
              </w:tc>
              <w:tc>
                <w:tcPr>
                  <w:tcW w:w="160"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C98920A">
                  <w:pPr>
                    <w:jc w:val="center"/>
                    <w:rPr>
                      <w:rFonts w:hint="default" w:ascii="Times New Roman" w:hAnsi="Times New Roman" w:eastAsia="宋体" w:cs="Times New Roman"/>
                      <w:i w:val="0"/>
                      <w:iCs w:val="0"/>
                      <w:color w:val="auto"/>
                      <w:sz w:val="18"/>
                      <w:szCs w:val="18"/>
                      <w:u w:val="none"/>
                    </w:rPr>
                  </w:pPr>
                </w:p>
              </w:tc>
              <w:tc>
                <w:tcPr>
                  <w:tcW w:w="189" w:type="pct"/>
                  <w:vMerge w:val="continue"/>
                  <w:tcBorders>
                    <w:top w:val="single" w:color="auto" w:sz="4" w:space="0"/>
                    <w:left w:val="single" w:color="auto" w:sz="4" w:space="0"/>
                    <w:bottom w:val="single" w:color="auto" w:sz="4" w:space="0"/>
                    <w:right w:val="nil"/>
                  </w:tcBorders>
                  <w:shd w:val="clear" w:color="auto" w:fill="auto"/>
                  <w:vAlign w:val="center"/>
                </w:tcPr>
                <w:p w14:paraId="6F198665">
                  <w:pPr>
                    <w:jc w:val="center"/>
                    <w:rPr>
                      <w:rFonts w:hint="default" w:ascii="Times New Roman" w:hAnsi="Times New Roman" w:eastAsia="宋体" w:cs="Times New Roman"/>
                      <w:i w:val="0"/>
                      <w:iCs w:val="0"/>
                      <w:color w:val="auto"/>
                      <w:sz w:val="18"/>
                      <w:szCs w:val="18"/>
                      <w:u w:val="none"/>
                    </w:rPr>
                  </w:pPr>
                </w:p>
              </w:tc>
            </w:tr>
            <w:tr w14:paraId="0C8776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5" w:type="pct"/>
                  <w:tcBorders>
                    <w:top w:val="single" w:color="auto" w:sz="4" w:space="0"/>
                    <w:left w:val="nil"/>
                    <w:bottom w:val="single" w:color="auto" w:sz="4" w:space="0"/>
                    <w:right w:val="single" w:color="auto" w:sz="4" w:space="0"/>
                  </w:tcBorders>
                  <w:shd w:val="clear" w:color="auto" w:fill="auto"/>
                  <w:vAlign w:val="center"/>
                </w:tcPr>
                <w:p w14:paraId="10E2677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41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94721AB">
                  <w:pPr>
                    <w:jc w:val="center"/>
                    <w:rPr>
                      <w:rFonts w:hint="default" w:ascii="Times New Roman" w:hAnsi="Times New Roman" w:eastAsia="宋体" w:cs="Times New Roman"/>
                      <w:i w:val="0"/>
                      <w:iCs w:val="0"/>
                      <w:color w:val="auto"/>
                      <w:sz w:val="18"/>
                      <w:szCs w:val="18"/>
                      <w:u w:val="none"/>
                    </w:rPr>
                  </w:pPr>
                </w:p>
              </w:tc>
              <w:tc>
                <w:tcPr>
                  <w:tcW w:w="330"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3153E4B">
                  <w:pPr>
                    <w:jc w:val="center"/>
                    <w:rPr>
                      <w:rFonts w:hint="default" w:ascii="Times New Roman" w:hAnsi="Times New Roman" w:eastAsia="宋体" w:cs="Times New Roman"/>
                      <w:i w:val="0"/>
                      <w:iCs w:val="0"/>
                      <w:color w:val="auto"/>
                      <w:sz w:val="18"/>
                      <w:szCs w:val="18"/>
                      <w:u w:val="none"/>
                    </w:rPr>
                  </w:pPr>
                </w:p>
              </w:tc>
              <w:tc>
                <w:tcPr>
                  <w:tcW w:w="384" w:type="pct"/>
                  <w:tcBorders>
                    <w:top w:val="single" w:color="auto" w:sz="4" w:space="0"/>
                    <w:left w:val="single" w:color="auto" w:sz="4" w:space="0"/>
                    <w:bottom w:val="single" w:color="auto" w:sz="4" w:space="0"/>
                    <w:right w:val="single" w:color="auto" w:sz="4" w:space="0"/>
                  </w:tcBorders>
                  <w:shd w:val="clear" w:color="auto" w:fill="auto"/>
                  <w:vAlign w:val="center"/>
                </w:tcPr>
                <w:p w14:paraId="72B4718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266" w:type="pct"/>
                  <w:tcBorders>
                    <w:top w:val="single" w:color="auto" w:sz="4" w:space="0"/>
                    <w:left w:val="single" w:color="auto" w:sz="4" w:space="0"/>
                    <w:bottom w:val="single" w:color="auto" w:sz="4" w:space="0"/>
                    <w:right w:val="single" w:color="auto" w:sz="4" w:space="0"/>
                  </w:tcBorders>
                  <w:shd w:val="clear" w:color="auto" w:fill="auto"/>
                  <w:vAlign w:val="center"/>
                </w:tcPr>
                <w:p w14:paraId="3E994F7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175" w:type="pct"/>
                  <w:tcBorders>
                    <w:top w:val="single" w:color="auto" w:sz="4" w:space="0"/>
                    <w:left w:val="single" w:color="auto" w:sz="4" w:space="0"/>
                    <w:bottom w:val="single" w:color="auto" w:sz="4" w:space="0"/>
                    <w:right w:val="single" w:color="auto" w:sz="4" w:space="0"/>
                  </w:tcBorders>
                  <w:shd w:val="clear" w:color="auto" w:fill="auto"/>
                  <w:vAlign w:val="center"/>
                </w:tcPr>
                <w:p w14:paraId="3C9336A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245" w:type="pct"/>
                  <w:tcBorders>
                    <w:top w:val="single" w:color="auto" w:sz="4" w:space="0"/>
                    <w:left w:val="single" w:color="auto" w:sz="4" w:space="0"/>
                    <w:bottom w:val="single" w:color="auto" w:sz="4" w:space="0"/>
                    <w:right w:val="single" w:color="auto" w:sz="4" w:space="0"/>
                  </w:tcBorders>
                  <w:shd w:val="clear" w:color="auto" w:fill="auto"/>
                  <w:vAlign w:val="center"/>
                </w:tcPr>
                <w:p w14:paraId="7687D32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156"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4EC7713">
                  <w:pPr>
                    <w:jc w:val="center"/>
                    <w:rPr>
                      <w:rFonts w:hint="default" w:ascii="Times New Roman" w:hAnsi="Times New Roman" w:eastAsia="宋体" w:cs="Times New Roman"/>
                      <w:i w:val="0"/>
                      <w:iCs w:val="0"/>
                      <w:color w:val="auto"/>
                      <w:sz w:val="18"/>
                      <w:szCs w:val="18"/>
                      <w:u w:val="none"/>
                    </w:rPr>
                  </w:pPr>
                </w:p>
              </w:tc>
              <w:tc>
                <w:tcPr>
                  <w:tcW w:w="55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3505A1C">
                  <w:pPr>
                    <w:jc w:val="center"/>
                    <w:rPr>
                      <w:rFonts w:hint="default" w:ascii="Times New Roman" w:hAnsi="Times New Roman" w:eastAsia="宋体" w:cs="Times New Roman"/>
                      <w:i w:val="0"/>
                      <w:iCs w:val="0"/>
                      <w:color w:val="auto"/>
                      <w:sz w:val="18"/>
                      <w:szCs w:val="18"/>
                      <w:u w:val="none"/>
                    </w:rPr>
                  </w:pPr>
                </w:p>
              </w:tc>
              <w:tc>
                <w:tcPr>
                  <w:tcW w:w="235" w:type="pct"/>
                  <w:tcBorders>
                    <w:top w:val="single" w:color="auto" w:sz="4" w:space="0"/>
                    <w:left w:val="single" w:color="auto" w:sz="4" w:space="0"/>
                    <w:bottom w:val="single" w:color="auto" w:sz="4" w:space="0"/>
                    <w:right w:val="single" w:color="auto" w:sz="4" w:space="0"/>
                  </w:tcBorders>
                  <w:shd w:val="clear" w:color="auto" w:fill="auto"/>
                  <w:vAlign w:val="center"/>
                </w:tcPr>
                <w:p w14:paraId="2850204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164" w:type="pct"/>
                  <w:tcBorders>
                    <w:top w:val="single" w:color="auto" w:sz="4" w:space="0"/>
                    <w:left w:val="single" w:color="auto" w:sz="4" w:space="0"/>
                    <w:bottom w:val="single" w:color="auto" w:sz="4" w:space="0"/>
                    <w:right w:val="single" w:color="auto" w:sz="4" w:space="0"/>
                  </w:tcBorders>
                  <w:shd w:val="clear" w:color="auto" w:fill="auto"/>
                  <w:vAlign w:val="center"/>
                </w:tcPr>
                <w:p w14:paraId="03B12BC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164"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69918FF">
                  <w:pPr>
                    <w:jc w:val="center"/>
                    <w:rPr>
                      <w:rFonts w:hint="default" w:ascii="Times New Roman" w:hAnsi="Times New Roman" w:eastAsia="宋体" w:cs="Times New Roman"/>
                      <w:i w:val="0"/>
                      <w:iCs w:val="0"/>
                      <w:color w:val="auto"/>
                      <w:sz w:val="18"/>
                      <w:szCs w:val="18"/>
                      <w:u w:val="none"/>
                    </w:rPr>
                  </w:pPr>
                </w:p>
              </w:tc>
              <w:tc>
                <w:tcPr>
                  <w:tcW w:w="219" w:type="pct"/>
                  <w:tcBorders>
                    <w:top w:val="single" w:color="auto" w:sz="4" w:space="0"/>
                    <w:left w:val="single" w:color="auto" w:sz="4" w:space="0"/>
                    <w:bottom w:val="single" w:color="auto" w:sz="4" w:space="0"/>
                    <w:right w:val="single" w:color="auto" w:sz="4" w:space="0"/>
                  </w:tcBorders>
                  <w:shd w:val="clear" w:color="auto" w:fill="auto"/>
                  <w:vAlign w:val="center"/>
                </w:tcPr>
                <w:p w14:paraId="0309D9F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263" w:type="pct"/>
                  <w:tcBorders>
                    <w:top w:val="single" w:color="auto" w:sz="4" w:space="0"/>
                    <w:left w:val="single" w:color="auto" w:sz="4" w:space="0"/>
                    <w:bottom w:val="single" w:color="auto" w:sz="4" w:space="0"/>
                    <w:right w:val="single" w:color="auto" w:sz="4" w:space="0"/>
                  </w:tcBorders>
                  <w:shd w:val="clear" w:color="auto" w:fill="auto"/>
                  <w:vAlign w:val="center"/>
                </w:tcPr>
                <w:p w14:paraId="3C97D41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197" w:type="pct"/>
                  <w:tcBorders>
                    <w:top w:val="single" w:color="auto" w:sz="4" w:space="0"/>
                    <w:left w:val="single" w:color="auto" w:sz="4" w:space="0"/>
                    <w:bottom w:val="single" w:color="auto" w:sz="4" w:space="0"/>
                    <w:right w:val="single" w:color="auto" w:sz="4" w:space="0"/>
                  </w:tcBorders>
                  <w:shd w:val="clear" w:color="auto" w:fill="auto"/>
                  <w:vAlign w:val="center"/>
                </w:tcPr>
                <w:p w14:paraId="4164CF3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2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1503F9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19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64C9F3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183"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355D77D">
                  <w:pPr>
                    <w:jc w:val="center"/>
                    <w:rPr>
                      <w:rFonts w:hint="default" w:ascii="Times New Roman" w:hAnsi="Times New Roman" w:eastAsia="宋体" w:cs="Times New Roman"/>
                      <w:i w:val="0"/>
                      <w:iCs w:val="0"/>
                      <w:color w:val="auto"/>
                      <w:sz w:val="18"/>
                      <w:szCs w:val="18"/>
                      <w:u w:val="none"/>
                    </w:rPr>
                  </w:pPr>
                </w:p>
              </w:tc>
              <w:tc>
                <w:tcPr>
                  <w:tcW w:w="126"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CE1065C">
                  <w:pPr>
                    <w:jc w:val="center"/>
                    <w:rPr>
                      <w:rFonts w:hint="default" w:ascii="Times New Roman" w:hAnsi="Times New Roman" w:eastAsia="宋体" w:cs="Times New Roman"/>
                      <w:i w:val="0"/>
                      <w:iCs w:val="0"/>
                      <w:color w:val="auto"/>
                      <w:sz w:val="18"/>
                      <w:szCs w:val="18"/>
                      <w:u w:val="none"/>
                    </w:rPr>
                  </w:pPr>
                </w:p>
              </w:tc>
              <w:tc>
                <w:tcPr>
                  <w:tcW w:w="160"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124DFA7">
                  <w:pPr>
                    <w:jc w:val="center"/>
                    <w:rPr>
                      <w:rFonts w:hint="default" w:ascii="Times New Roman" w:hAnsi="Times New Roman" w:eastAsia="宋体" w:cs="Times New Roman"/>
                      <w:i w:val="0"/>
                      <w:iCs w:val="0"/>
                      <w:color w:val="auto"/>
                      <w:sz w:val="18"/>
                      <w:szCs w:val="18"/>
                      <w:u w:val="none"/>
                    </w:rPr>
                  </w:pPr>
                </w:p>
              </w:tc>
              <w:tc>
                <w:tcPr>
                  <w:tcW w:w="189" w:type="pct"/>
                  <w:vMerge w:val="continue"/>
                  <w:tcBorders>
                    <w:top w:val="single" w:color="auto" w:sz="4" w:space="0"/>
                    <w:left w:val="single" w:color="auto" w:sz="4" w:space="0"/>
                    <w:bottom w:val="single" w:color="auto" w:sz="4" w:space="0"/>
                    <w:right w:val="nil"/>
                  </w:tcBorders>
                  <w:shd w:val="clear" w:color="auto" w:fill="auto"/>
                  <w:vAlign w:val="center"/>
                </w:tcPr>
                <w:p w14:paraId="7E75977F">
                  <w:pPr>
                    <w:jc w:val="center"/>
                    <w:rPr>
                      <w:rFonts w:hint="default" w:ascii="Times New Roman" w:hAnsi="Times New Roman" w:eastAsia="宋体" w:cs="Times New Roman"/>
                      <w:i w:val="0"/>
                      <w:iCs w:val="0"/>
                      <w:color w:val="auto"/>
                      <w:sz w:val="18"/>
                      <w:szCs w:val="18"/>
                      <w:u w:val="none"/>
                    </w:rPr>
                  </w:pPr>
                </w:p>
              </w:tc>
            </w:tr>
            <w:tr w14:paraId="41ED3B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5" w:type="pct"/>
                  <w:tcBorders>
                    <w:top w:val="single" w:color="auto" w:sz="4" w:space="0"/>
                    <w:left w:val="nil"/>
                    <w:bottom w:val="single" w:color="auto" w:sz="4" w:space="0"/>
                    <w:right w:val="single" w:color="auto" w:sz="4" w:space="0"/>
                  </w:tcBorders>
                  <w:shd w:val="clear" w:color="auto" w:fill="auto"/>
                  <w:vAlign w:val="center"/>
                </w:tcPr>
                <w:p w14:paraId="5A76F83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lang w:val="en-US"/>
                    </w:rPr>
                  </w:pPr>
                </w:p>
              </w:tc>
              <w:tc>
                <w:tcPr>
                  <w:tcW w:w="41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78988B9">
                  <w:pPr>
                    <w:jc w:val="center"/>
                    <w:rPr>
                      <w:rFonts w:hint="default" w:ascii="Times New Roman" w:hAnsi="Times New Roman" w:eastAsia="宋体" w:cs="Times New Roman"/>
                      <w:i w:val="0"/>
                      <w:iCs w:val="0"/>
                      <w:color w:val="auto"/>
                      <w:sz w:val="18"/>
                      <w:szCs w:val="18"/>
                      <w:u w:val="none"/>
                    </w:rPr>
                  </w:pPr>
                </w:p>
              </w:tc>
              <w:tc>
                <w:tcPr>
                  <w:tcW w:w="330"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C326161">
                  <w:pPr>
                    <w:jc w:val="center"/>
                    <w:rPr>
                      <w:rFonts w:hint="default" w:ascii="Times New Roman" w:hAnsi="Times New Roman" w:eastAsia="宋体" w:cs="Times New Roman"/>
                      <w:i w:val="0"/>
                      <w:iCs w:val="0"/>
                      <w:color w:val="auto"/>
                      <w:sz w:val="18"/>
                      <w:szCs w:val="18"/>
                      <w:u w:val="none"/>
                    </w:rPr>
                  </w:pPr>
                </w:p>
              </w:tc>
              <w:tc>
                <w:tcPr>
                  <w:tcW w:w="38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04EE90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266" w:type="pct"/>
                  <w:tcBorders>
                    <w:top w:val="single" w:color="auto" w:sz="4" w:space="0"/>
                    <w:left w:val="single" w:color="auto" w:sz="4" w:space="0"/>
                    <w:bottom w:val="single" w:color="auto" w:sz="4" w:space="0"/>
                    <w:right w:val="single" w:color="auto" w:sz="4" w:space="0"/>
                  </w:tcBorders>
                  <w:shd w:val="clear" w:color="auto" w:fill="auto"/>
                  <w:vAlign w:val="center"/>
                </w:tcPr>
                <w:p w14:paraId="7BA9CF9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175" w:type="pct"/>
                  <w:tcBorders>
                    <w:top w:val="single" w:color="auto" w:sz="4" w:space="0"/>
                    <w:left w:val="single" w:color="auto" w:sz="4" w:space="0"/>
                    <w:bottom w:val="single" w:color="auto" w:sz="4" w:space="0"/>
                    <w:right w:val="single" w:color="auto" w:sz="4" w:space="0"/>
                  </w:tcBorders>
                  <w:shd w:val="clear" w:color="auto" w:fill="auto"/>
                  <w:vAlign w:val="center"/>
                </w:tcPr>
                <w:p w14:paraId="0599089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245" w:type="pct"/>
                  <w:tcBorders>
                    <w:top w:val="single" w:color="auto" w:sz="4" w:space="0"/>
                    <w:left w:val="single" w:color="auto" w:sz="4" w:space="0"/>
                    <w:bottom w:val="single" w:color="auto" w:sz="4" w:space="0"/>
                    <w:right w:val="single" w:color="auto" w:sz="4" w:space="0"/>
                  </w:tcBorders>
                  <w:shd w:val="clear" w:color="auto" w:fill="auto"/>
                  <w:vAlign w:val="center"/>
                </w:tcPr>
                <w:p w14:paraId="325F57C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156"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3CA59E9">
                  <w:pPr>
                    <w:jc w:val="center"/>
                    <w:rPr>
                      <w:rFonts w:hint="default" w:ascii="Times New Roman" w:hAnsi="Times New Roman" w:eastAsia="宋体" w:cs="Times New Roman"/>
                      <w:i w:val="0"/>
                      <w:iCs w:val="0"/>
                      <w:color w:val="auto"/>
                      <w:sz w:val="18"/>
                      <w:szCs w:val="18"/>
                      <w:u w:val="none"/>
                    </w:rPr>
                  </w:pPr>
                </w:p>
              </w:tc>
              <w:tc>
                <w:tcPr>
                  <w:tcW w:w="55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914BD5F">
                  <w:pPr>
                    <w:jc w:val="center"/>
                    <w:rPr>
                      <w:rFonts w:hint="default" w:ascii="Times New Roman" w:hAnsi="Times New Roman" w:eastAsia="宋体" w:cs="Times New Roman"/>
                      <w:i w:val="0"/>
                      <w:iCs w:val="0"/>
                      <w:color w:val="auto"/>
                      <w:sz w:val="18"/>
                      <w:szCs w:val="18"/>
                      <w:u w:val="none"/>
                    </w:rPr>
                  </w:pPr>
                </w:p>
              </w:tc>
              <w:tc>
                <w:tcPr>
                  <w:tcW w:w="23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829682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164" w:type="pct"/>
                  <w:tcBorders>
                    <w:top w:val="single" w:color="auto" w:sz="4" w:space="0"/>
                    <w:left w:val="single" w:color="auto" w:sz="4" w:space="0"/>
                    <w:bottom w:val="single" w:color="auto" w:sz="4" w:space="0"/>
                    <w:right w:val="single" w:color="auto" w:sz="4" w:space="0"/>
                  </w:tcBorders>
                  <w:shd w:val="clear" w:color="auto" w:fill="auto"/>
                  <w:vAlign w:val="center"/>
                </w:tcPr>
                <w:p w14:paraId="70FC78D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164"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B01E16A">
                  <w:pPr>
                    <w:jc w:val="center"/>
                    <w:rPr>
                      <w:rFonts w:hint="default" w:ascii="Times New Roman" w:hAnsi="Times New Roman" w:eastAsia="宋体" w:cs="Times New Roman"/>
                      <w:i w:val="0"/>
                      <w:iCs w:val="0"/>
                      <w:color w:val="auto"/>
                      <w:sz w:val="18"/>
                      <w:szCs w:val="18"/>
                      <w:u w:val="none"/>
                    </w:rPr>
                  </w:pPr>
                </w:p>
              </w:tc>
              <w:tc>
                <w:tcPr>
                  <w:tcW w:w="219" w:type="pct"/>
                  <w:tcBorders>
                    <w:top w:val="single" w:color="auto" w:sz="4" w:space="0"/>
                    <w:left w:val="single" w:color="auto" w:sz="4" w:space="0"/>
                    <w:bottom w:val="single" w:color="auto" w:sz="4" w:space="0"/>
                    <w:right w:val="single" w:color="auto" w:sz="4" w:space="0"/>
                  </w:tcBorders>
                  <w:shd w:val="clear" w:color="auto" w:fill="auto"/>
                  <w:vAlign w:val="center"/>
                </w:tcPr>
                <w:p w14:paraId="4EB0FF7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263" w:type="pct"/>
                  <w:tcBorders>
                    <w:top w:val="single" w:color="auto" w:sz="4" w:space="0"/>
                    <w:left w:val="single" w:color="auto" w:sz="4" w:space="0"/>
                    <w:bottom w:val="single" w:color="auto" w:sz="4" w:space="0"/>
                    <w:right w:val="single" w:color="auto" w:sz="4" w:space="0"/>
                  </w:tcBorders>
                  <w:shd w:val="clear" w:color="auto" w:fill="auto"/>
                  <w:vAlign w:val="center"/>
                </w:tcPr>
                <w:p w14:paraId="3F09630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197" w:type="pct"/>
                  <w:tcBorders>
                    <w:top w:val="single" w:color="auto" w:sz="4" w:space="0"/>
                    <w:left w:val="single" w:color="auto" w:sz="4" w:space="0"/>
                    <w:bottom w:val="single" w:color="auto" w:sz="4" w:space="0"/>
                    <w:right w:val="single" w:color="auto" w:sz="4" w:space="0"/>
                  </w:tcBorders>
                  <w:shd w:val="clear" w:color="auto" w:fill="auto"/>
                  <w:vAlign w:val="center"/>
                </w:tcPr>
                <w:p w14:paraId="6C47679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2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CC0D92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19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9E7A61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183"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B805CDC">
                  <w:pPr>
                    <w:jc w:val="center"/>
                    <w:rPr>
                      <w:rFonts w:hint="default" w:ascii="Times New Roman" w:hAnsi="Times New Roman" w:eastAsia="宋体" w:cs="Times New Roman"/>
                      <w:i w:val="0"/>
                      <w:iCs w:val="0"/>
                      <w:color w:val="auto"/>
                      <w:sz w:val="18"/>
                      <w:szCs w:val="18"/>
                      <w:u w:val="none"/>
                    </w:rPr>
                  </w:pPr>
                </w:p>
              </w:tc>
              <w:tc>
                <w:tcPr>
                  <w:tcW w:w="126"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E5E6A0A">
                  <w:pPr>
                    <w:jc w:val="center"/>
                    <w:rPr>
                      <w:rFonts w:hint="default" w:ascii="Times New Roman" w:hAnsi="Times New Roman" w:eastAsia="宋体" w:cs="Times New Roman"/>
                      <w:i w:val="0"/>
                      <w:iCs w:val="0"/>
                      <w:color w:val="auto"/>
                      <w:sz w:val="18"/>
                      <w:szCs w:val="18"/>
                      <w:u w:val="none"/>
                    </w:rPr>
                  </w:pPr>
                </w:p>
              </w:tc>
              <w:tc>
                <w:tcPr>
                  <w:tcW w:w="160"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12CF298">
                  <w:pPr>
                    <w:jc w:val="center"/>
                    <w:rPr>
                      <w:rFonts w:hint="default" w:ascii="Times New Roman" w:hAnsi="Times New Roman" w:eastAsia="宋体" w:cs="Times New Roman"/>
                      <w:i w:val="0"/>
                      <w:iCs w:val="0"/>
                      <w:color w:val="auto"/>
                      <w:sz w:val="18"/>
                      <w:szCs w:val="18"/>
                      <w:u w:val="none"/>
                    </w:rPr>
                  </w:pPr>
                </w:p>
              </w:tc>
              <w:tc>
                <w:tcPr>
                  <w:tcW w:w="189" w:type="pct"/>
                  <w:vMerge w:val="continue"/>
                  <w:tcBorders>
                    <w:top w:val="single" w:color="auto" w:sz="4" w:space="0"/>
                    <w:left w:val="single" w:color="auto" w:sz="4" w:space="0"/>
                    <w:bottom w:val="single" w:color="auto" w:sz="4" w:space="0"/>
                    <w:right w:val="nil"/>
                  </w:tcBorders>
                  <w:shd w:val="clear" w:color="auto" w:fill="auto"/>
                  <w:vAlign w:val="center"/>
                </w:tcPr>
                <w:p w14:paraId="1D1B72DA">
                  <w:pPr>
                    <w:jc w:val="center"/>
                    <w:rPr>
                      <w:rFonts w:hint="default" w:ascii="Times New Roman" w:hAnsi="Times New Roman" w:eastAsia="宋体" w:cs="Times New Roman"/>
                      <w:i w:val="0"/>
                      <w:iCs w:val="0"/>
                      <w:color w:val="auto"/>
                      <w:sz w:val="18"/>
                      <w:szCs w:val="18"/>
                      <w:u w:val="none"/>
                    </w:rPr>
                  </w:pPr>
                </w:p>
              </w:tc>
            </w:tr>
            <w:tr w14:paraId="3D835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4" w:hRule="atLeast"/>
              </w:trPr>
              <w:tc>
                <w:tcPr>
                  <w:tcW w:w="155" w:type="pct"/>
                  <w:tcBorders>
                    <w:top w:val="single" w:color="auto" w:sz="4" w:space="0"/>
                    <w:left w:val="nil"/>
                    <w:bottom w:val="single" w:color="auto" w:sz="4" w:space="0"/>
                    <w:right w:val="single" w:color="auto" w:sz="4" w:space="0"/>
                  </w:tcBorders>
                  <w:shd w:val="clear" w:color="auto" w:fill="auto"/>
                  <w:vAlign w:val="center"/>
                </w:tcPr>
                <w:p w14:paraId="63C6FEA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41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3A3C35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330" w:type="pct"/>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0DE9A1C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384" w:type="pct"/>
                  <w:tcBorders>
                    <w:top w:val="single" w:color="auto" w:sz="4" w:space="0"/>
                    <w:left w:val="single" w:color="auto" w:sz="4" w:space="0"/>
                    <w:bottom w:val="single" w:color="auto" w:sz="4" w:space="0"/>
                    <w:right w:val="single" w:color="auto" w:sz="4" w:space="0"/>
                  </w:tcBorders>
                  <w:shd w:val="clear" w:color="auto" w:fill="auto"/>
                  <w:vAlign w:val="center"/>
                </w:tcPr>
                <w:p w14:paraId="348EA70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26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89492A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175" w:type="pct"/>
                  <w:tcBorders>
                    <w:top w:val="single" w:color="auto" w:sz="4" w:space="0"/>
                    <w:left w:val="single" w:color="auto" w:sz="4" w:space="0"/>
                    <w:bottom w:val="single" w:color="auto" w:sz="4" w:space="0"/>
                    <w:right w:val="single" w:color="auto" w:sz="4" w:space="0"/>
                  </w:tcBorders>
                  <w:shd w:val="clear" w:color="auto" w:fill="auto"/>
                  <w:vAlign w:val="center"/>
                </w:tcPr>
                <w:p w14:paraId="79DE42B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245" w:type="pct"/>
                  <w:tcBorders>
                    <w:top w:val="single" w:color="auto" w:sz="4" w:space="0"/>
                    <w:left w:val="single" w:color="auto" w:sz="4" w:space="0"/>
                    <w:bottom w:val="single" w:color="auto" w:sz="4" w:space="0"/>
                    <w:right w:val="single" w:color="auto" w:sz="4" w:space="0"/>
                  </w:tcBorders>
                  <w:shd w:val="clear" w:color="auto" w:fill="auto"/>
                  <w:vAlign w:val="center"/>
                </w:tcPr>
                <w:p w14:paraId="48F8CB1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156"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E3CE1AE">
                  <w:pPr>
                    <w:jc w:val="center"/>
                    <w:rPr>
                      <w:rFonts w:hint="default" w:ascii="Times New Roman" w:hAnsi="Times New Roman" w:eastAsia="宋体" w:cs="Times New Roman"/>
                      <w:i w:val="0"/>
                      <w:iCs w:val="0"/>
                      <w:color w:val="auto"/>
                      <w:sz w:val="18"/>
                      <w:szCs w:val="18"/>
                      <w:u w:val="none"/>
                    </w:rPr>
                  </w:pPr>
                </w:p>
              </w:tc>
              <w:tc>
                <w:tcPr>
                  <w:tcW w:w="551" w:type="pct"/>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2707795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23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7923167">
                  <w:pPr>
                    <w:jc w:val="center"/>
                    <w:rPr>
                      <w:rFonts w:hint="default" w:ascii="Times New Roman" w:hAnsi="Times New Roman" w:eastAsia="宋体" w:cs="Times New Roman"/>
                      <w:i w:val="0"/>
                      <w:iCs w:val="0"/>
                      <w:color w:val="auto"/>
                      <w:sz w:val="18"/>
                      <w:szCs w:val="18"/>
                      <w:u w:val="none"/>
                    </w:rPr>
                  </w:pPr>
                </w:p>
              </w:tc>
              <w:tc>
                <w:tcPr>
                  <w:tcW w:w="1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CC692AF">
                  <w:pPr>
                    <w:jc w:val="center"/>
                    <w:rPr>
                      <w:rFonts w:hint="default" w:ascii="Times New Roman" w:hAnsi="Times New Roman" w:eastAsia="宋体" w:cs="Times New Roman"/>
                      <w:i w:val="0"/>
                      <w:iCs w:val="0"/>
                      <w:color w:val="auto"/>
                      <w:sz w:val="18"/>
                      <w:szCs w:val="18"/>
                      <w:u w:val="none"/>
                    </w:rPr>
                  </w:pPr>
                </w:p>
              </w:tc>
              <w:tc>
                <w:tcPr>
                  <w:tcW w:w="1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D848925">
                  <w:pPr>
                    <w:jc w:val="center"/>
                    <w:rPr>
                      <w:rFonts w:hint="default" w:ascii="Times New Roman" w:hAnsi="Times New Roman" w:eastAsia="宋体" w:cs="Times New Roman"/>
                      <w:i w:val="0"/>
                      <w:iCs w:val="0"/>
                      <w:color w:val="auto"/>
                      <w:sz w:val="18"/>
                      <w:szCs w:val="18"/>
                      <w:u w:val="none"/>
                    </w:rPr>
                  </w:pPr>
                </w:p>
              </w:tc>
              <w:tc>
                <w:tcPr>
                  <w:tcW w:w="21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BEAC003">
                  <w:pPr>
                    <w:jc w:val="center"/>
                    <w:rPr>
                      <w:rFonts w:hint="default" w:ascii="Times New Roman" w:hAnsi="Times New Roman" w:eastAsia="宋体" w:cs="Times New Roman"/>
                      <w:i w:val="0"/>
                      <w:iCs w:val="0"/>
                      <w:color w:val="auto"/>
                      <w:sz w:val="18"/>
                      <w:szCs w:val="18"/>
                      <w:u w:val="none"/>
                    </w:rPr>
                  </w:pPr>
                </w:p>
              </w:tc>
              <w:tc>
                <w:tcPr>
                  <w:tcW w:w="26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644D402">
                  <w:pPr>
                    <w:jc w:val="center"/>
                    <w:rPr>
                      <w:rFonts w:hint="default" w:ascii="Times New Roman" w:hAnsi="Times New Roman" w:eastAsia="宋体" w:cs="Times New Roman"/>
                      <w:i w:val="0"/>
                      <w:iCs w:val="0"/>
                      <w:color w:val="auto"/>
                      <w:sz w:val="18"/>
                      <w:szCs w:val="18"/>
                      <w:u w:val="none"/>
                    </w:rPr>
                  </w:pPr>
                </w:p>
              </w:tc>
              <w:tc>
                <w:tcPr>
                  <w:tcW w:w="19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CFCE9AA">
                  <w:pPr>
                    <w:jc w:val="center"/>
                    <w:rPr>
                      <w:rFonts w:hint="default" w:ascii="Times New Roman" w:hAnsi="Times New Roman" w:eastAsia="宋体" w:cs="Times New Roman"/>
                      <w:i w:val="0"/>
                      <w:iCs w:val="0"/>
                      <w:color w:val="auto"/>
                      <w:sz w:val="18"/>
                      <w:szCs w:val="18"/>
                      <w:u w:val="none"/>
                    </w:rPr>
                  </w:pPr>
                </w:p>
              </w:tc>
              <w:tc>
                <w:tcPr>
                  <w:tcW w:w="2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505DEDF">
                  <w:pPr>
                    <w:jc w:val="center"/>
                    <w:rPr>
                      <w:rFonts w:hint="default" w:ascii="Times New Roman" w:hAnsi="Times New Roman" w:eastAsia="宋体" w:cs="Times New Roman"/>
                      <w:i w:val="0"/>
                      <w:iCs w:val="0"/>
                      <w:color w:val="auto"/>
                      <w:sz w:val="18"/>
                      <w:szCs w:val="18"/>
                      <w:u w:val="none"/>
                    </w:rPr>
                  </w:pPr>
                </w:p>
              </w:tc>
              <w:tc>
                <w:tcPr>
                  <w:tcW w:w="19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FEA5513">
                  <w:pPr>
                    <w:jc w:val="center"/>
                    <w:rPr>
                      <w:rFonts w:hint="default" w:ascii="Times New Roman" w:hAnsi="Times New Roman" w:eastAsia="宋体" w:cs="Times New Roman"/>
                      <w:i w:val="0"/>
                      <w:iCs w:val="0"/>
                      <w:color w:val="auto"/>
                      <w:sz w:val="18"/>
                      <w:szCs w:val="18"/>
                      <w:u w:val="none"/>
                    </w:rPr>
                  </w:pPr>
                </w:p>
              </w:tc>
              <w:tc>
                <w:tcPr>
                  <w:tcW w:w="18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C57DB39">
                  <w:pPr>
                    <w:jc w:val="center"/>
                    <w:rPr>
                      <w:rFonts w:hint="default" w:ascii="Times New Roman" w:hAnsi="Times New Roman" w:eastAsia="宋体" w:cs="Times New Roman"/>
                      <w:i w:val="0"/>
                      <w:iCs w:val="0"/>
                      <w:color w:val="auto"/>
                      <w:sz w:val="18"/>
                      <w:szCs w:val="18"/>
                      <w:u w:val="none"/>
                    </w:rPr>
                  </w:pPr>
                </w:p>
              </w:tc>
              <w:tc>
                <w:tcPr>
                  <w:tcW w:w="12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D18FB34">
                  <w:pPr>
                    <w:jc w:val="center"/>
                    <w:rPr>
                      <w:rFonts w:hint="default" w:ascii="Times New Roman" w:hAnsi="Times New Roman" w:eastAsia="宋体" w:cs="Times New Roman"/>
                      <w:i w:val="0"/>
                      <w:iCs w:val="0"/>
                      <w:color w:val="auto"/>
                      <w:sz w:val="18"/>
                      <w:szCs w:val="18"/>
                      <w:u w:val="none"/>
                    </w:rPr>
                  </w:pPr>
                </w:p>
              </w:tc>
              <w:tc>
                <w:tcPr>
                  <w:tcW w:w="1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73114D3">
                  <w:pPr>
                    <w:jc w:val="center"/>
                    <w:rPr>
                      <w:rFonts w:hint="default" w:ascii="Times New Roman" w:hAnsi="Times New Roman" w:eastAsia="宋体" w:cs="Times New Roman"/>
                      <w:i w:val="0"/>
                      <w:iCs w:val="0"/>
                      <w:color w:val="auto"/>
                      <w:sz w:val="18"/>
                      <w:szCs w:val="18"/>
                      <w:u w:val="none"/>
                    </w:rPr>
                  </w:pPr>
                </w:p>
              </w:tc>
              <w:tc>
                <w:tcPr>
                  <w:tcW w:w="189" w:type="pct"/>
                  <w:tcBorders>
                    <w:top w:val="single" w:color="auto" w:sz="4" w:space="0"/>
                    <w:left w:val="single" w:color="auto" w:sz="4" w:space="0"/>
                    <w:bottom w:val="single" w:color="auto" w:sz="4" w:space="0"/>
                    <w:right w:val="nil"/>
                  </w:tcBorders>
                  <w:shd w:val="clear" w:color="auto" w:fill="auto"/>
                  <w:noWrap/>
                  <w:vAlign w:val="center"/>
                </w:tcPr>
                <w:p w14:paraId="71A7FDEA">
                  <w:pPr>
                    <w:jc w:val="center"/>
                    <w:rPr>
                      <w:rFonts w:hint="default" w:ascii="Times New Roman" w:hAnsi="Times New Roman" w:eastAsia="宋体" w:cs="Times New Roman"/>
                      <w:i w:val="0"/>
                      <w:iCs w:val="0"/>
                      <w:color w:val="auto"/>
                      <w:sz w:val="18"/>
                      <w:szCs w:val="18"/>
                      <w:u w:val="none"/>
                    </w:rPr>
                  </w:pPr>
                </w:p>
              </w:tc>
            </w:tr>
            <w:tr w14:paraId="215BF5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55" w:type="pct"/>
                  <w:tcBorders>
                    <w:top w:val="single" w:color="auto" w:sz="4" w:space="0"/>
                    <w:left w:val="nil"/>
                    <w:bottom w:val="single" w:color="auto" w:sz="4" w:space="0"/>
                    <w:right w:val="single" w:color="auto" w:sz="4" w:space="0"/>
                  </w:tcBorders>
                  <w:shd w:val="clear" w:color="auto" w:fill="auto"/>
                  <w:vAlign w:val="center"/>
                </w:tcPr>
                <w:p w14:paraId="0A7742F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lang w:val="en-US"/>
                    </w:rPr>
                  </w:pPr>
                </w:p>
              </w:tc>
              <w:tc>
                <w:tcPr>
                  <w:tcW w:w="41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6C010A2">
                  <w:pPr>
                    <w:jc w:val="center"/>
                    <w:rPr>
                      <w:rFonts w:hint="default" w:ascii="Times New Roman" w:hAnsi="Times New Roman" w:eastAsia="宋体" w:cs="Times New Roman"/>
                      <w:i w:val="0"/>
                      <w:iCs w:val="0"/>
                      <w:color w:val="auto"/>
                      <w:sz w:val="18"/>
                      <w:szCs w:val="18"/>
                      <w:u w:val="none"/>
                    </w:rPr>
                  </w:pPr>
                </w:p>
              </w:tc>
              <w:tc>
                <w:tcPr>
                  <w:tcW w:w="330" w:type="pct"/>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5466AA25">
                  <w:pPr>
                    <w:jc w:val="center"/>
                    <w:rPr>
                      <w:rFonts w:hint="default" w:ascii="Times New Roman" w:hAnsi="Times New Roman" w:eastAsia="宋体" w:cs="Times New Roman"/>
                      <w:i w:val="0"/>
                      <w:iCs w:val="0"/>
                      <w:color w:val="auto"/>
                      <w:sz w:val="18"/>
                      <w:szCs w:val="18"/>
                      <w:u w:val="none"/>
                    </w:rPr>
                  </w:pPr>
                </w:p>
              </w:tc>
              <w:tc>
                <w:tcPr>
                  <w:tcW w:w="384" w:type="pct"/>
                  <w:tcBorders>
                    <w:top w:val="single" w:color="auto" w:sz="4" w:space="0"/>
                    <w:left w:val="single" w:color="auto" w:sz="4" w:space="0"/>
                    <w:bottom w:val="single" w:color="auto" w:sz="4" w:space="0"/>
                    <w:right w:val="single" w:color="auto" w:sz="4" w:space="0"/>
                  </w:tcBorders>
                  <w:shd w:val="clear" w:color="auto" w:fill="auto"/>
                  <w:vAlign w:val="center"/>
                </w:tcPr>
                <w:p w14:paraId="7F83892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26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5A1C47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175" w:type="pct"/>
                  <w:tcBorders>
                    <w:top w:val="single" w:color="auto" w:sz="4" w:space="0"/>
                    <w:left w:val="single" w:color="auto" w:sz="4" w:space="0"/>
                    <w:bottom w:val="single" w:color="auto" w:sz="4" w:space="0"/>
                    <w:right w:val="single" w:color="auto" w:sz="4" w:space="0"/>
                  </w:tcBorders>
                  <w:shd w:val="clear" w:color="auto" w:fill="auto"/>
                  <w:vAlign w:val="center"/>
                </w:tcPr>
                <w:p w14:paraId="277F052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245" w:type="pct"/>
                  <w:tcBorders>
                    <w:top w:val="single" w:color="auto" w:sz="4" w:space="0"/>
                    <w:left w:val="single" w:color="auto" w:sz="4" w:space="0"/>
                    <w:bottom w:val="single" w:color="auto" w:sz="4" w:space="0"/>
                    <w:right w:val="single" w:color="auto" w:sz="4" w:space="0"/>
                  </w:tcBorders>
                  <w:shd w:val="clear" w:color="auto" w:fill="auto"/>
                  <w:vAlign w:val="center"/>
                </w:tcPr>
                <w:p w14:paraId="4196CEE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156"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DDF23CD">
                  <w:pPr>
                    <w:jc w:val="center"/>
                    <w:rPr>
                      <w:rFonts w:hint="default" w:ascii="Times New Roman" w:hAnsi="Times New Roman" w:eastAsia="宋体" w:cs="Times New Roman"/>
                      <w:i w:val="0"/>
                      <w:iCs w:val="0"/>
                      <w:color w:val="auto"/>
                      <w:sz w:val="18"/>
                      <w:szCs w:val="18"/>
                      <w:u w:val="none"/>
                    </w:rPr>
                  </w:pPr>
                </w:p>
              </w:tc>
              <w:tc>
                <w:tcPr>
                  <w:tcW w:w="551" w:type="pct"/>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7E26431C">
                  <w:pPr>
                    <w:jc w:val="center"/>
                    <w:rPr>
                      <w:rFonts w:hint="default" w:ascii="Times New Roman" w:hAnsi="Times New Roman" w:eastAsia="宋体" w:cs="Times New Roman"/>
                      <w:i w:val="0"/>
                      <w:iCs w:val="0"/>
                      <w:color w:val="auto"/>
                      <w:sz w:val="18"/>
                      <w:szCs w:val="18"/>
                      <w:u w:val="none"/>
                    </w:rPr>
                  </w:pPr>
                </w:p>
              </w:tc>
              <w:tc>
                <w:tcPr>
                  <w:tcW w:w="23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8198B46">
                  <w:pPr>
                    <w:jc w:val="center"/>
                    <w:rPr>
                      <w:rFonts w:hint="default" w:ascii="Times New Roman" w:hAnsi="Times New Roman" w:eastAsia="宋体" w:cs="Times New Roman"/>
                      <w:i w:val="0"/>
                      <w:iCs w:val="0"/>
                      <w:color w:val="auto"/>
                      <w:sz w:val="18"/>
                      <w:szCs w:val="18"/>
                      <w:u w:val="none"/>
                    </w:rPr>
                  </w:pPr>
                </w:p>
              </w:tc>
              <w:tc>
                <w:tcPr>
                  <w:tcW w:w="1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E6D0630">
                  <w:pPr>
                    <w:jc w:val="center"/>
                    <w:rPr>
                      <w:rFonts w:hint="default" w:ascii="Times New Roman" w:hAnsi="Times New Roman" w:eastAsia="宋体" w:cs="Times New Roman"/>
                      <w:i w:val="0"/>
                      <w:iCs w:val="0"/>
                      <w:color w:val="auto"/>
                      <w:sz w:val="18"/>
                      <w:szCs w:val="18"/>
                      <w:u w:val="none"/>
                    </w:rPr>
                  </w:pPr>
                </w:p>
              </w:tc>
              <w:tc>
                <w:tcPr>
                  <w:tcW w:w="1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931AC16">
                  <w:pPr>
                    <w:jc w:val="center"/>
                    <w:rPr>
                      <w:rFonts w:hint="default" w:ascii="Times New Roman" w:hAnsi="Times New Roman" w:eastAsia="宋体" w:cs="Times New Roman"/>
                      <w:i w:val="0"/>
                      <w:iCs w:val="0"/>
                      <w:color w:val="auto"/>
                      <w:sz w:val="18"/>
                      <w:szCs w:val="18"/>
                      <w:u w:val="none"/>
                    </w:rPr>
                  </w:pPr>
                </w:p>
              </w:tc>
              <w:tc>
                <w:tcPr>
                  <w:tcW w:w="21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73272ED">
                  <w:pPr>
                    <w:jc w:val="center"/>
                    <w:rPr>
                      <w:rFonts w:hint="default" w:ascii="Times New Roman" w:hAnsi="Times New Roman" w:eastAsia="宋体" w:cs="Times New Roman"/>
                      <w:i w:val="0"/>
                      <w:iCs w:val="0"/>
                      <w:color w:val="auto"/>
                      <w:sz w:val="18"/>
                      <w:szCs w:val="18"/>
                      <w:u w:val="none"/>
                    </w:rPr>
                  </w:pPr>
                </w:p>
              </w:tc>
              <w:tc>
                <w:tcPr>
                  <w:tcW w:w="26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DAEC17B">
                  <w:pPr>
                    <w:jc w:val="center"/>
                    <w:rPr>
                      <w:rFonts w:hint="default" w:ascii="Times New Roman" w:hAnsi="Times New Roman" w:eastAsia="宋体" w:cs="Times New Roman"/>
                      <w:i w:val="0"/>
                      <w:iCs w:val="0"/>
                      <w:color w:val="auto"/>
                      <w:sz w:val="18"/>
                      <w:szCs w:val="18"/>
                      <w:u w:val="none"/>
                    </w:rPr>
                  </w:pPr>
                </w:p>
              </w:tc>
              <w:tc>
                <w:tcPr>
                  <w:tcW w:w="19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9D31A24">
                  <w:pPr>
                    <w:jc w:val="center"/>
                    <w:rPr>
                      <w:rFonts w:hint="default" w:ascii="Times New Roman" w:hAnsi="Times New Roman" w:eastAsia="宋体" w:cs="Times New Roman"/>
                      <w:i w:val="0"/>
                      <w:iCs w:val="0"/>
                      <w:color w:val="auto"/>
                      <w:sz w:val="18"/>
                      <w:szCs w:val="18"/>
                      <w:u w:val="none"/>
                    </w:rPr>
                  </w:pPr>
                </w:p>
              </w:tc>
              <w:tc>
                <w:tcPr>
                  <w:tcW w:w="2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1111CAF">
                  <w:pPr>
                    <w:jc w:val="center"/>
                    <w:rPr>
                      <w:rFonts w:hint="default" w:ascii="Times New Roman" w:hAnsi="Times New Roman" w:eastAsia="宋体" w:cs="Times New Roman"/>
                      <w:i w:val="0"/>
                      <w:iCs w:val="0"/>
                      <w:color w:val="auto"/>
                      <w:sz w:val="18"/>
                      <w:szCs w:val="18"/>
                      <w:u w:val="none"/>
                    </w:rPr>
                  </w:pPr>
                </w:p>
              </w:tc>
              <w:tc>
                <w:tcPr>
                  <w:tcW w:w="19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BBCA18D">
                  <w:pPr>
                    <w:jc w:val="center"/>
                    <w:rPr>
                      <w:rFonts w:hint="default" w:ascii="Times New Roman" w:hAnsi="Times New Roman" w:eastAsia="宋体" w:cs="Times New Roman"/>
                      <w:i w:val="0"/>
                      <w:iCs w:val="0"/>
                      <w:color w:val="auto"/>
                      <w:sz w:val="18"/>
                      <w:szCs w:val="18"/>
                      <w:u w:val="none"/>
                    </w:rPr>
                  </w:pPr>
                </w:p>
              </w:tc>
              <w:tc>
                <w:tcPr>
                  <w:tcW w:w="18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A28CD74">
                  <w:pPr>
                    <w:jc w:val="center"/>
                    <w:rPr>
                      <w:rFonts w:hint="default" w:ascii="Times New Roman" w:hAnsi="Times New Roman" w:eastAsia="宋体" w:cs="Times New Roman"/>
                      <w:i w:val="0"/>
                      <w:iCs w:val="0"/>
                      <w:color w:val="auto"/>
                      <w:sz w:val="18"/>
                      <w:szCs w:val="18"/>
                      <w:u w:val="none"/>
                    </w:rPr>
                  </w:pPr>
                </w:p>
              </w:tc>
              <w:tc>
                <w:tcPr>
                  <w:tcW w:w="12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83FEEF7">
                  <w:pPr>
                    <w:jc w:val="center"/>
                    <w:rPr>
                      <w:rFonts w:hint="default" w:ascii="Times New Roman" w:hAnsi="Times New Roman" w:eastAsia="宋体" w:cs="Times New Roman"/>
                      <w:i w:val="0"/>
                      <w:iCs w:val="0"/>
                      <w:color w:val="auto"/>
                      <w:sz w:val="18"/>
                      <w:szCs w:val="18"/>
                      <w:u w:val="none"/>
                    </w:rPr>
                  </w:pPr>
                </w:p>
              </w:tc>
              <w:tc>
                <w:tcPr>
                  <w:tcW w:w="1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212A881">
                  <w:pPr>
                    <w:jc w:val="center"/>
                    <w:rPr>
                      <w:rFonts w:hint="default" w:ascii="Times New Roman" w:hAnsi="Times New Roman" w:eastAsia="宋体" w:cs="Times New Roman"/>
                      <w:i w:val="0"/>
                      <w:iCs w:val="0"/>
                      <w:color w:val="auto"/>
                      <w:sz w:val="18"/>
                      <w:szCs w:val="18"/>
                      <w:u w:val="none"/>
                    </w:rPr>
                  </w:pPr>
                </w:p>
              </w:tc>
              <w:tc>
                <w:tcPr>
                  <w:tcW w:w="189" w:type="pct"/>
                  <w:tcBorders>
                    <w:top w:val="single" w:color="auto" w:sz="4" w:space="0"/>
                    <w:left w:val="single" w:color="auto" w:sz="4" w:space="0"/>
                    <w:bottom w:val="single" w:color="auto" w:sz="4" w:space="0"/>
                    <w:right w:val="nil"/>
                  </w:tcBorders>
                  <w:shd w:val="clear" w:color="auto" w:fill="auto"/>
                  <w:noWrap/>
                  <w:vAlign w:val="center"/>
                </w:tcPr>
                <w:p w14:paraId="1011248D">
                  <w:pPr>
                    <w:jc w:val="center"/>
                    <w:rPr>
                      <w:rFonts w:hint="default" w:ascii="Times New Roman" w:hAnsi="Times New Roman" w:eastAsia="宋体" w:cs="Times New Roman"/>
                      <w:i w:val="0"/>
                      <w:iCs w:val="0"/>
                      <w:color w:val="auto"/>
                      <w:sz w:val="18"/>
                      <w:szCs w:val="18"/>
                      <w:u w:val="none"/>
                    </w:rPr>
                  </w:pPr>
                </w:p>
              </w:tc>
            </w:tr>
            <w:tr w14:paraId="6DD12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5" w:type="pct"/>
                  <w:tcBorders>
                    <w:top w:val="single" w:color="auto" w:sz="4" w:space="0"/>
                    <w:left w:val="nil"/>
                    <w:bottom w:val="single" w:color="auto" w:sz="4" w:space="0"/>
                    <w:right w:val="single" w:color="auto" w:sz="4" w:space="0"/>
                  </w:tcBorders>
                  <w:shd w:val="clear" w:color="auto" w:fill="auto"/>
                  <w:vAlign w:val="center"/>
                </w:tcPr>
                <w:p w14:paraId="1FB9950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lang w:val="en-US"/>
                    </w:rPr>
                  </w:pPr>
                </w:p>
              </w:tc>
              <w:tc>
                <w:tcPr>
                  <w:tcW w:w="41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100B4E3">
                  <w:pPr>
                    <w:jc w:val="center"/>
                    <w:rPr>
                      <w:rFonts w:hint="default" w:ascii="Times New Roman" w:hAnsi="Times New Roman" w:eastAsia="宋体" w:cs="Times New Roman"/>
                      <w:i w:val="0"/>
                      <w:iCs w:val="0"/>
                      <w:color w:val="auto"/>
                      <w:sz w:val="18"/>
                      <w:szCs w:val="18"/>
                      <w:u w:val="none"/>
                    </w:rPr>
                  </w:pPr>
                </w:p>
              </w:tc>
              <w:tc>
                <w:tcPr>
                  <w:tcW w:w="330" w:type="pct"/>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1F70B726">
                  <w:pPr>
                    <w:jc w:val="center"/>
                    <w:rPr>
                      <w:rFonts w:hint="default" w:ascii="Times New Roman" w:hAnsi="Times New Roman" w:eastAsia="宋体" w:cs="Times New Roman"/>
                      <w:i w:val="0"/>
                      <w:iCs w:val="0"/>
                      <w:color w:val="auto"/>
                      <w:sz w:val="18"/>
                      <w:szCs w:val="18"/>
                      <w:u w:val="none"/>
                    </w:rPr>
                  </w:pPr>
                </w:p>
              </w:tc>
              <w:tc>
                <w:tcPr>
                  <w:tcW w:w="384" w:type="pct"/>
                  <w:tcBorders>
                    <w:top w:val="single" w:color="auto" w:sz="4" w:space="0"/>
                    <w:left w:val="single" w:color="auto" w:sz="4" w:space="0"/>
                    <w:bottom w:val="single" w:color="auto" w:sz="4" w:space="0"/>
                    <w:right w:val="single" w:color="auto" w:sz="4" w:space="0"/>
                  </w:tcBorders>
                  <w:shd w:val="clear" w:color="auto" w:fill="auto"/>
                  <w:vAlign w:val="center"/>
                </w:tcPr>
                <w:p w14:paraId="74BDB98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26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0B5426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175" w:type="pct"/>
                  <w:tcBorders>
                    <w:top w:val="single" w:color="auto" w:sz="4" w:space="0"/>
                    <w:left w:val="single" w:color="auto" w:sz="4" w:space="0"/>
                    <w:bottom w:val="single" w:color="auto" w:sz="4" w:space="0"/>
                    <w:right w:val="single" w:color="auto" w:sz="4" w:space="0"/>
                  </w:tcBorders>
                  <w:shd w:val="clear" w:color="auto" w:fill="auto"/>
                  <w:vAlign w:val="center"/>
                </w:tcPr>
                <w:p w14:paraId="3B4BE1B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245" w:type="pct"/>
                  <w:tcBorders>
                    <w:top w:val="single" w:color="auto" w:sz="4" w:space="0"/>
                    <w:left w:val="single" w:color="auto" w:sz="4" w:space="0"/>
                    <w:bottom w:val="single" w:color="auto" w:sz="4" w:space="0"/>
                    <w:right w:val="single" w:color="auto" w:sz="4" w:space="0"/>
                  </w:tcBorders>
                  <w:shd w:val="clear" w:color="auto" w:fill="auto"/>
                  <w:vAlign w:val="center"/>
                </w:tcPr>
                <w:p w14:paraId="25CE717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156"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546EAE8">
                  <w:pPr>
                    <w:jc w:val="center"/>
                    <w:rPr>
                      <w:rFonts w:hint="default" w:ascii="Times New Roman" w:hAnsi="Times New Roman" w:eastAsia="宋体" w:cs="Times New Roman"/>
                      <w:i w:val="0"/>
                      <w:iCs w:val="0"/>
                      <w:color w:val="auto"/>
                      <w:sz w:val="18"/>
                      <w:szCs w:val="18"/>
                      <w:u w:val="none"/>
                    </w:rPr>
                  </w:pPr>
                </w:p>
              </w:tc>
              <w:tc>
                <w:tcPr>
                  <w:tcW w:w="551" w:type="pct"/>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17234710">
                  <w:pPr>
                    <w:jc w:val="center"/>
                    <w:rPr>
                      <w:rFonts w:hint="default" w:ascii="Times New Roman" w:hAnsi="Times New Roman" w:eastAsia="宋体" w:cs="Times New Roman"/>
                      <w:i w:val="0"/>
                      <w:iCs w:val="0"/>
                      <w:color w:val="auto"/>
                      <w:sz w:val="18"/>
                      <w:szCs w:val="18"/>
                      <w:u w:val="none"/>
                    </w:rPr>
                  </w:pPr>
                </w:p>
              </w:tc>
              <w:tc>
                <w:tcPr>
                  <w:tcW w:w="23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D283830">
                  <w:pPr>
                    <w:jc w:val="center"/>
                    <w:rPr>
                      <w:rFonts w:hint="default" w:ascii="Times New Roman" w:hAnsi="Times New Roman" w:eastAsia="宋体" w:cs="Times New Roman"/>
                      <w:i w:val="0"/>
                      <w:iCs w:val="0"/>
                      <w:color w:val="auto"/>
                      <w:sz w:val="18"/>
                      <w:szCs w:val="18"/>
                      <w:u w:val="none"/>
                    </w:rPr>
                  </w:pPr>
                </w:p>
              </w:tc>
              <w:tc>
                <w:tcPr>
                  <w:tcW w:w="1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5ADE2FB">
                  <w:pPr>
                    <w:jc w:val="center"/>
                    <w:rPr>
                      <w:rFonts w:hint="default" w:ascii="Times New Roman" w:hAnsi="Times New Roman" w:eastAsia="宋体" w:cs="Times New Roman"/>
                      <w:i w:val="0"/>
                      <w:iCs w:val="0"/>
                      <w:color w:val="auto"/>
                      <w:sz w:val="18"/>
                      <w:szCs w:val="18"/>
                      <w:u w:val="none"/>
                    </w:rPr>
                  </w:pPr>
                </w:p>
              </w:tc>
              <w:tc>
                <w:tcPr>
                  <w:tcW w:w="1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8AFA7D6">
                  <w:pPr>
                    <w:jc w:val="center"/>
                    <w:rPr>
                      <w:rFonts w:hint="default" w:ascii="Times New Roman" w:hAnsi="Times New Roman" w:eastAsia="宋体" w:cs="Times New Roman"/>
                      <w:i w:val="0"/>
                      <w:iCs w:val="0"/>
                      <w:color w:val="auto"/>
                      <w:sz w:val="18"/>
                      <w:szCs w:val="18"/>
                      <w:u w:val="none"/>
                    </w:rPr>
                  </w:pPr>
                </w:p>
              </w:tc>
              <w:tc>
                <w:tcPr>
                  <w:tcW w:w="21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340F43F">
                  <w:pPr>
                    <w:jc w:val="center"/>
                    <w:rPr>
                      <w:rFonts w:hint="default" w:ascii="Times New Roman" w:hAnsi="Times New Roman" w:eastAsia="宋体" w:cs="Times New Roman"/>
                      <w:i w:val="0"/>
                      <w:iCs w:val="0"/>
                      <w:color w:val="auto"/>
                      <w:sz w:val="18"/>
                      <w:szCs w:val="18"/>
                      <w:u w:val="none"/>
                    </w:rPr>
                  </w:pPr>
                </w:p>
              </w:tc>
              <w:tc>
                <w:tcPr>
                  <w:tcW w:w="26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6D41F64">
                  <w:pPr>
                    <w:jc w:val="center"/>
                    <w:rPr>
                      <w:rFonts w:hint="default" w:ascii="Times New Roman" w:hAnsi="Times New Roman" w:eastAsia="宋体" w:cs="Times New Roman"/>
                      <w:i w:val="0"/>
                      <w:iCs w:val="0"/>
                      <w:color w:val="auto"/>
                      <w:sz w:val="18"/>
                      <w:szCs w:val="18"/>
                      <w:u w:val="none"/>
                    </w:rPr>
                  </w:pPr>
                </w:p>
              </w:tc>
              <w:tc>
                <w:tcPr>
                  <w:tcW w:w="19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9CD30F3">
                  <w:pPr>
                    <w:jc w:val="center"/>
                    <w:rPr>
                      <w:rFonts w:hint="default" w:ascii="Times New Roman" w:hAnsi="Times New Roman" w:eastAsia="宋体" w:cs="Times New Roman"/>
                      <w:i w:val="0"/>
                      <w:iCs w:val="0"/>
                      <w:color w:val="auto"/>
                      <w:sz w:val="18"/>
                      <w:szCs w:val="18"/>
                      <w:u w:val="none"/>
                    </w:rPr>
                  </w:pPr>
                </w:p>
              </w:tc>
              <w:tc>
                <w:tcPr>
                  <w:tcW w:w="2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57245F6">
                  <w:pPr>
                    <w:jc w:val="center"/>
                    <w:rPr>
                      <w:rFonts w:hint="default" w:ascii="Times New Roman" w:hAnsi="Times New Roman" w:eastAsia="宋体" w:cs="Times New Roman"/>
                      <w:i w:val="0"/>
                      <w:iCs w:val="0"/>
                      <w:color w:val="auto"/>
                      <w:sz w:val="18"/>
                      <w:szCs w:val="18"/>
                      <w:u w:val="none"/>
                    </w:rPr>
                  </w:pPr>
                </w:p>
              </w:tc>
              <w:tc>
                <w:tcPr>
                  <w:tcW w:w="19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EECA733">
                  <w:pPr>
                    <w:jc w:val="center"/>
                    <w:rPr>
                      <w:rFonts w:hint="default" w:ascii="Times New Roman" w:hAnsi="Times New Roman" w:eastAsia="宋体" w:cs="Times New Roman"/>
                      <w:i w:val="0"/>
                      <w:iCs w:val="0"/>
                      <w:color w:val="auto"/>
                      <w:sz w:val="18"/>
                      <w:szCs w:val="18"/>
                      <w:u w:val="none"/>
                    </w:rPr>
                  </w:pPr>
                </w:p>
              </w:tc>
              <w:tc>
                <w:tcPr>
                  <w:tcW w:w="18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61A4AFA">
                  <w:pPr>
                    <w:jc w:val="center"/>
                    <w:rPr>
                      <w:rFonts w:hint="default" w:ascii="Times New Roman" w:hAnsi="Times New Roman" w:eastAsia="宋体" w:cs="Times New Roman"/>
                      <w:i w:val="0"/>
                      <w:iCs w:val="0"/>
                      <w:color w:val="auto"/>
                      <w:sz w:val="18"/>
                      <w:szCs w:val="18"/>
                      <w:u w:val="none"/>
                    </w:rPr>
                  </w:pPr>
                </w:p>
              </w:tc>
              <w:tc>
                <w:tcPr>
                  <w:tcW w:w="12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32059D0">
                  <w:pPr>
                    <w:jc w:val="center"/>
                    <w:rPr>
                      <w:rFonts w:hint="default" w:ascii="Times New Roman" w:hAnsi="Times New Roman" w:eastAsia="宋体" w:cs="Times New Roman"/>
                      <w:i w:val="0"/>
                      <w:iCs w:val="0"/>
                      <w:color w:val="auto"/>
                      <w:sz w:val="18"/>
                      <w:szCs w:val="18"/>
                      <w:u w:val="none"/>
                    </w:rPr>
                  </w:pPr>
                </w:p>
              </w:tc>
              <w:tc>
                <w:tcPr>
                  <w:tcW w:w="1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6652DA1">
                  <w:pPr>
                    <w:jc w:val="center"/>
                    <w:rPr>
                      <w:rFonts w:hint="default" w:ascii="Times New Roman" w:hAnsi="Times New Roman" w:eastAsia="宋体" w:cs="Times New Roman"/>
                      <w:i w:val="0"/>
                      <w:iCs w:val="0"/>
                      <w:color w:val="auto"/>
                      <w:sz w:val="18"/>
                      <w:szCs w:val="18"/>
                      <w:u w:val="none"/>
                    </w:rPr>
                  </w:pPr>
                </w:p>
              </w:tc>
              <w:tc>
                <w:tcPr>
                  <w:tcW w:w="189" w:type="pct"/>
                  <w:tcBorders>
                    <w:top w:val="single" w:color="auto" w:sz="4" w:space="0"/>
                    <w:left w:val="single" w:color="auto" w:sz="4" w:space="0"/>
                    <w:bottom w:val="single" w:color="auto" w:sz="4" w:space="0"/>
                    <w:right w:val="nil"/>
                  </w:tcBorders>
                  <w:shd w:val="clear" w:color="auto" w:fill="auto"/>
                  <w:noWrap/>
                  <w:vAlign w:val="center"/>
                </w:tcPr>
                <w:p w14:paraId="1E39E847">
                  <w:pPr>
                    <w:jc w:val="center"/>
                    <w:rPr>
                      <w:rFonts w:hint="default" w:ascii="Times New Roman" w:hAnsi="Times New Roman" w:eastAsia="宋体" w:cs="Times New Roman"/>
                      <w:i w:val="0"/>
                      <w:iCs w:val="0"/>
                      <w:color w:val="auto"/>
                      <w:sz w:val="18"/>
                      <w:szCs w:val="18"/>
                      <w:u w:val="none"/>
                    </w:rPr>
                  </w:pPr>
                </w:p>
              </w:tc>
            </w:tr>
            <w:tr w14:paraId="27031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5" w:type="pct"/>
                  <w:tcBorders>
                    <w:top w:val="single" w:color="auto" w:sz="4" w:space="0"/>
                    <w:left w:val="nil"/>
                    <w:bottom w:val="single" w:color="auto" w:sz="4" w:space="0"/>
                    <w:right w:val="single" w:color="auto" w:sz="4" w:space="0"/>
                  </w:tcBorders>
                  <w:shd w:val="clear" w:color="auto" w:fill="auto"/>
                  <w:vAlign w:val="center"/>
                </w:tcPr>
                <w:p w14:paraId="70218F9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41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0C44B01">
                  <w:pPr>
                    <w:jc w:val="center"/>
                    <w:rPr>
                      <w:rFonts w:hint="default" w:ascii="Times New Roman" w:hAnsi="Times New Roman" w:eastAsia="宋体" w:cs="Times New Roman"/>
                      <w:i w:val="0"/>
                      <w:iCs w:val="0"/>
                      <w:color w:val="auto"/>
                      <w:sz w:val="18"/>
                      <w:szCs w:val="18"/>
                      <w:u w:val="none"/>
                    </w:rPr>
                  </w:pPr>
                </w:p>
              </w:tc>
              <w:tc>
                <w:tcPr>
                  <w:tcW w:w="330" w:type="pct"/>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149353CE">
                  <w:pPr>
                    <w:jc w:val="center"/>
                    <w:rPr>
                      <w:rFonts w:hint="default" w:ascii="Times New Roman" w:hAnsi="Times New Roman" w:eastAsia="宋体" w:cs="Times New Roman"/>
                      <w:i w:val="0"/>
                      <w:iCs w:val="0"/>
                      <w:color w:val="auto"/>
                      <w:sz w:val="18"/>
                      <w:szCs w:val="18"/>
                      <w:u w:val="none"/>
                    </w:rPr>
                  </w:pPr>
                </w:p>
              </w:tc>
              <w:tc>
                <w:tcPr>
                  <w:tcW w:w="384" w:type="pct"/>
                  <w:tcBorders>
                    <w:top w:val="single" w:color="auto" w:sz="4" w:space="0"/>
                    <w:left w:val="single" w:color="auto" w:sz="4" w:space="0"/>
                    <w:bottom w:val="single" w:color="auto" w:sz="4" w:space="0"/>
                    <w:right w:val="single" w:color="auto" w:sz="4" w:space="0"/>
                  </w:tcBorders>
                  <w:shd w:val="clear" w:color="auto" w:fill="auto"/>
                  <w:vAlign w:val="center"/>
                </w:tcPr>
                <w:p w14:paraId="4065BC0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26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C92839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175" w:type="pct"/>
                  <w:tcBorders>
                    <w:top w:val="single" w:color="auto" w:sz="4" w:space="0"/>
                    <w:left w:val="single" w:color="auto" w:sz="4" w:space="0"/>
                    <w:bottom w:val="single" w:color="auto" w:sz="4" w:space="0"/>
                    <w:right w:val="single" w:color="auto" w:sz="4" w:space="0"/>
                  </w:tcBorders>
                  <w:shd w:val="clear" w:color="auto" w:fill="auto"/>
                  <w:vAlign w:val="center"/>
                </w:tcPr>
                <w:p w14:paraId="1EB43F1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245" w:type="pct"/>
                  <w:tcBorders>
                    <w:top w:val="single" w:color="auto" w:sz="4" w:space="0"/>
                    <w:left w:val="single" w:color="auto" w:sz="4" w:space="0"/>
                    <w:bottom w:val="single" w:color="auto" w:sz="4" w:space="0"/>
                    <w:right w:val="single" w:color="auto" w:sz="4" w:space="0"/>
                  </w:tcBorders>
                  <w:shd w:val="clear" w:color="auto" w:fill="auto"/>
                  <w:vAlign w:val="center"/>
                </w:tcPr>
                <w:p w14:paraId="3CCFBEF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156"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1B11EB5">
                  <w:pPr>
                    <w:jc w:val="center"/>
                    <w:rPr>
                      <w:rFonts w:hint="default" w:ascii="Times New Roman" w:hAnsi="Times New Roman" w:eastAsia="宋体" w:cs="Times New Roman"/>
                      <w:i w:val="0"/>
                      <w:iCs w:val="0"/>
                      <w:color w:val="auto"/>
                      <w:sz w:val="18"/>
                      <w:szCs w:val="18"/>
                      <w:u w:val="none"/>
                    </w:rPr>
                  </w:pPr>
                </w:p>
              </w:tc>
              <w:tc>
                <w:tcPr>
                  <w:tcW w:w="551" w:type="pct"/>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16C312EF">
                  <w:pPr>
                    <w:jc w:val="center"/>
                    <w:rPr>
                      <w:rFonts w:hint="default" w:ascii="Times New Roman" w:hAnsi="Times New Roman" w:eastAsia="宋体" w:cs="Times New Roman"/>
                      <w:i w:val="0"/>
                      <w:iCs w:val="0"/>
                      <w:color w:val="auto"/>
                      <w:sz w:val="18"/>
                      <w:szCs w:val="18"/>
                      <w:u w:val="none"/>
                    </w:rPr>
                  </w:pPr>
                </w:p>
              </w:tc>
              <w:tc>
                <w:tcPr>
                  <w:tcW w:w="23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1837098">
                  <w:pPr>
                    <w:jc w:val="center"/>
                    <w:rPr>
                      <w:rFonts w:hint="default" w:ascii="Times New Roman" w:hAnsi="Times New Roman" w:eastAsia="宋体" w:cs="Times New Roman"/>
                      <w:i w:val="0"/>
                      <w:iCs w:val="0"/>
                      <w:color w:val="auto"/>
                      <w:sz w:val="18"/>
                      <w:szCs w:val="18"/>
                      <w:u w:val="none"/>
                    </w:rPr>
                  </w:pPr>
                </w:p>
              </w:tc>
              <w:tc>
                <w:tcPr>
                  <w:tcW w:w="1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6E13174">
                  <w:pPr>
                    <w:jc w:val="center"/>
                    <w:rPr>
                      <w:rFonts w:hint="default" w:ascii="Times New Roman" w:hAnsi="Times New Roman" w:eastAsia="宋体" w:cs="Times New Roman"/>
                      <w:i w:val="0"/>
                      <w:iCs w:val="0"/>
                      <w:color w:val="auto"/>
                      <w:sz w:val="18"/>
                      <w:szCs w:val="18"/>
                      <w:u w:val="none"/>
                    </w:rPr>
                  </w:pPr>
                </w:p>
              </w:tc>
              <w:tc>
                <w:tcPr>
                  <w:tcW w:w="1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D567A93">
                  <w:pPr>
                    <w:jc w:val="center"/>
                    <w:rPr>
                      <w:rFonts w:hint="default" w:ascii="Times New Roman" w:hAnsi="Times New Roman" w:eastAsia="宋体" w:cs="Times New Roman"/>
                      <w:i w:val="0"/>
                      <w:iCs w:val="0"/>
                      <w:color w:val="auto"/>
                      <w:sz w:val="18"/>
                      <w:szCs w:val="18"/>
                      <w:u w:val="none"/>
                    </w:rPr>
                  </w:pPr>
                </w:p>
              </w:tc>
              <w:tc>
                <w:tcPr>
                  <w:tcW w:w="21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918B88D">
                  <w:pPr>
                    <w:jc w:val="center"/>
                    <w:rPr>
                      <w:rFonts w:hint="default" w:ascii="Times New Roman" w:hAnsi="Times New Roman" w:eastAsia="宋体" w:cs="Times New Roman"/>
                      <w:i w:val="0"/>
                      <w:iCs w:val="0"/>
                      <w:color w:val="auto"/>
                      <w:sz w:val="18"/>
                      <w:szCs w:val="18"/>
                      <w:u w:val="none"/>
                    </w:rPr>
                  </w:pPr>
                </w:p>
              </w:tc>
              <w:tc>
                <w:tcPr>
                  <w:tcW w:w="26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ADE461C">
                  <w:pPr>
                    <w:jc w:val="center"/>
                    <w:rPr>
                      <w:rFonts w:hint="default" w:ascii="Times New Roman" w:hAnsi="Times New Roman" w:eastAsia="宋体" w:cs="Times New Roman"/>
                      <w:i w:val="0"/>
                      <w:iCs w:val="0"/>
                      <w:color w:val="auto"/>
                      <w:sz w:val="18"/>
                      <w:szCs w:val="18"/>
                      <w:u w:val="none"/>
                    </w:rPr>
                  </w:pPr>
                </w:p>
              </w:tc>
              <w:tc>
                <w:tcPr>
                  <w:tcW w:w="19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50548E3">
                  <w:pPr>
                    <w:jc w:val="center"/>
                    <w:rPr>
                      <w:rFonts w:hint="default" w:ascii="Times New Roman" w:hAnsi="Times New Roman" w:eastAsia="宋体" w:cs="Times New Roman"/>
                      <w:i w:val="0"/>
                      <w:iCs w:val="0"/>
                      <w:color w:val="auto"/>
                      <w:sz w:val="18"/>
                      <w:szCs w:val="18"/>
                      <w:u w:val="none"/>
                    </w:rPr>
                  </w:pPr>
                </w:p>
              </w:tc>
              <w:tc>
                <w:tcPr>
                  <w:tcW w:w="2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4C26D76">
                  <w:pPr>
                    <w:jc w:val="center"/>
                    <w:rPr>
                      <w:rFonts w:hint="default" w:ascii="Times New Roman" w:hAnsi="Times New Roman" w:eastAsia="宋体" w:cs="Times New Roman"/>
                      <w:i w:val="0"/>
                      <w:iCs w:val="0"/>
                      <w:color w:val="auto"/>
                      <w:sz w:val="18"/>
                      <w:szCs w:val="18"/>
                      <w:u w:val="none"/>
                    </w:rPr>
                  </w:pPr>
                </w:p>
              </w:tc>
              <w:tc>
                <w:tcPr>
                  <w:tcW w:w="19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008546E">
                  <w:pPr>
                    <w:jc w:val="center"/>
                    <w:rPr>
                      <w:rFonts w:hint="default" w:ascii="Times New Roman" w:hAnsi="Times New Roman" w:eastAsia="宋体" w:cs="Times New Roman"/>
                      <w:i w:val="0"/>
                      <w:iCs w:val="0"/>
                      <w:color w:val="auto"/>
                      <w:sz w:val="18"/>
                      <w:szCs w:val="18"/>
                      <w:u w:val="none"/>
                    </w:rPr>
                  </w:pPr>
                </w:p>
              </w:tc>
              <w:tc>
                <w:tcPr>
                  <w:tcW w:w="18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34E0D8A">
                  <w:pPr>
                    <w:jc w:val="center"/>
                    <w:rPr>
                      <w:rFonts w:hint="default" w:ascii="Times New Roman" w:hAnsi="Times New Roman" w:eastAsia="宋体" w:cs="Times New Roman"/>
                      <w:i w:val="0"/>
                      <w:iCs w:val="0"/>
                      <w:color w:val="auto"/>
                      <w:sz w:val="18"/>
                      <w:szCs w:val="18"/>
                      <w:u w:val="none"/>
                    </w:rPr>
                  </w:pPr>
                </w:p>
              </w:tc>
              <w:tc>
                <w:tcPr>
                  <w:tcW w:w="12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D603F0A">
                  <w:pPr>
                    <w:jc w:val="center"/>
                    <w:rPr>
                      <w:rFonts w:hint="default" w:ascii="Times New Roman" w:hAnsi="Times New Roman" w:eastAsia="宋体" w:cs="Times New Roman"/>
                      <w:i w:val="0"/>
                      <w:iCs w:val="0"/>
                      <w:color w:val="auto"/>
                      <w:sz w:val="18"/>
                      <w:szCs w:val="18"/>
                      <w:u w:val="none"/>
                    </w:rPr>
                  </w:pPr>
                </w:p>
              </w:tc>
              <w:tc>
                <w:tcPr>
                  <w:tcW w:w="1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9C34C2D">
                  <w:pPr>
                    <w:jc w:val="center"/>
                    <w:rPr>
                      <w:rFonts w:hint="default" w:ascii="Times New Roman" w:hAnsi="Times New Roman" w:eastAsia="宋体" w:cs="Times New Roman"/>
                      <w:i w:val="0"/>
                      <w:iCs w:val="0"/>
                      <w:color w:val="auto"/>
                      <w:sz w:val="18"/>
                      <w:szCs w:val="18"/>
                      <w:u w:val="none"/>
                    </w:rPr>
                  </w:pPr>
                </w:p>
              </w:tc>
              <w:tc>
                <w:tcPr>
                  <w:tcW w:w="189" w:type="pct"/>
                  <w:tcBorders>
                    <w:top w:val="single" w:color="auto" w:sz="4" w:space="0"/>
                    <w:left w:val="single" w:color="auto" w:sz="4" w:space="0"/>
                    <w:bottom w:val="single" w:color="auto" w:sz="4" w:space="0"/>
                    <w:right w:val="nil"/>
                  </w:tcBorders>
                  <w:shd w:val="clear" w:color="auto" w:fill="auto"/>
                  <w:noWrap/>
                  <w:vAlign w:val="center"/>
                </w:tcPr>
                <w:p w14:paraId="008F6971">
                  <w:pPr>
                    <w:jc w:val="center"/>
                    <w:rPr>
                      <w:rFonts w:hint="default" w:ascii="Times New Roman" w:hAnsi="Times New Roman" w:eastAsia="宋体" w:cs="Times New Roman"/>
                      <w:i w:val="0"/>
                      <w:iCs w:val="0"/>
                      <w:color w:val="auto"/>
                      <w:sz w:val="18"/>
                      <w:szCs w:val="18"/>
                      <w:u w:val="none"/>
                    </w:rPr>
                  </w:pPr>
                </w:p>
              </w:tc>
            </w:tr>
            <w:tr w14:paraId="066D5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70" w:hRule="atLeast"/>
              </w:trPr>
              <w:tc>
                <w:tcPr>
                  <w:tcW w:w="155" w:type="pct"/>
                  <w:tcBorders>
                    <w:top w:val="single" w:color="auto" w:sz="4" w:space="0"/>
                    <w:left w:val="nil"/>
                    <w:bottom w:val="single" w:color="auto" w:sz="4" w:space="0"/>
                    <w:right w:val="single" w:color="auto" w:sz="4" w:space="0"/>
                  </w:tcBorders>
                  <w:shd w:val="clear" w:color="auto" w:fill="auto"/>
                  <w:vAlign w:val="center"/>
                </w:tcPr>
                <w:p w14:paraId="6B7221F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41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059FCDB">
                  <w:pPr>
                    <w:jc w:val="center"/>
                    <w:rPr>
                      <w:rFonts w:hint="default" w:ascii="Times New Roman" w:hAnsi="Times New Roman" w:eastAsia="宋体" w:cs="Times New Roman"/>
                      <w:i w:val="0"/>
                      <w:iCs w:val="0"/>
                      <w:color w:val="auto"/>
                      <w:sz w:val="18"/>
                      <w:szCs w:val="18"/>
                      <w:u w:val="none"/>
                    </w:rPr>
                  </w:pPr>
                </w:p>
              </w:tc>
              <w:tc>
                <w:tcPr>
                  <w:tcW w:w="330" w:type="pct"/>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5C2B8FA1">
                  <w:pPr>
                    <w:jc w:val="center"/>
                    <w:rPr>
                      <w:rFonts w:hint="default" w:ascii="Times New Roman" w:hAnsi="Times New Roman" w:eastAsia="宋体" w:cs="Times New Roman"/>
                      <w:i w:val="0"/>
                      <w:iCs w:val="0"/>
                      <w:color w:val="auto"/>
                      <w:sz w:val="18"/>
                      <w:szCs w:val="18"/>
                      <w:u w:val="none"/>
                    </w:rPr>
                  </w:pPr>
                </w:p>
              </w:tc>
              <w:tc>
                <w:tcPr>
                  <w:tcW w:w="384" w:type="pct"/>
                  <w:tcBorders>
                    <w:top w:val="single" w:color="auto" w:sz="4" w:space="0"/>
                    <w:left w:val="single" w:color="auto" w:sz="4" w:space="0"/>
                    <w:bottom w:val="single" w:color="auto" w:sz="4" w:space="0"/>
                    <w:right w:val="single" w:color="auto" w:sz="4" w:space="0"/>
                  </w:tcBorders>
                  <w:shd w:val="clear" w:color="auto" w:fill="auto"/>
                  <w:vAlign w:val="center"/>
                </w:tcPr>
                <w:p w14:paraId="643BF99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26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82FD85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175" w:type="pct"/>
                  <w:tcBorders>
                    <w:top w:val="single" w:color="auto" w:sz="4" w:space="0"/>
                    <w:left w:val="single" w:color="auto" w:sz="4" w:space="0"/>
                    <w:bottom w:val="single" w:color="auto" w:sz="4" w:space="0"/>
                    <w:right w:val="single" w:color="auto" w:sz="4" w:space="0"/>
                  </w:tcBorders>
                  <w:shd w:val="clear" w:color="auto" w:fill="auto"/>
                  <w:vAlign w:val="center"/>
                </w:tcPr>
                <w:p w14:paraId="2F38B45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245" w:type="pct"/>
                  <w:tcBorders>
                    <w:top w:val="single" w:color="auto" w:sz="4" w:space="0"/>
                    <w:left w:val="single" w:color="auto" w:sz="4" w:space="0"/>
                    <w:bottom w:val="single" w:color="auto" w:sz="4" w:space="0"/>
                    <w:right w:val="single" w:color="auto" w:sz="4" w:space="0"/>
                  </w:tcBorders>
                  <w:shd w:val="clear" w:color="auto" w:fill="auto"/>
                  <w:vAlign w:val="center"/>
                </w:tcPr>
                <w:p w14:paraId="73B8698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156"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232961C">
                  <w:pPr>
                    <w:jc w:val="center"/>
                    <w:rPr>
                      <w:rFonts w:hint="default" w:ascii="Times New Roman" w:hAnsi="Times New Roman" w:eastAsia="宋体" w:cs="Times New Roman"/>
                      <w:i w:val="0"/>
                      <w:iCs w:val="0"/>
                      <w:color w:val="auto"/>
                      <w:sz w:val="18"/>
                      <w:szCs w:val="18"/>
                      <w:u w:val="none"/>
                    </w:rPr>
                  </w:pPr>
                </w:p>
              </w:tc>
              <w:tc>
                <w:tcPr>
                  <w:tcW w:w="551" w:type="pct"/>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585649A2">
                  <w:pPr>
                    <w:jc w:val="center"/>
                    <w:rPr>
                      <w:rFonts w:hint="default" w:ascii="Times New Roman" w:hAnsi="Times New Roman" w:eastAsia="宋体" w:cs="Times New Roman"/>
                      <w:i w:val="0"/>
                      <w:iCs w:val="0"/>
                      <w:color w:val="auto"/>
                      <w:sz w:val="18"/>
                      <w:szCs w:val="18"/>
                      <w:u w:val="none"/>
                    </w:rPr>
                  </w:pPr>
                </w:p>
              </w:tc>
              <w:tc>
                <w:tcPr>
                  <w:tcW w:w="23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0CBB3B0">
                  <w:pPr>
                    <w:jc w:val="center"/>
                    <w:rPr>
                      <w:rFonts w:hint="default" w:ascii="Times New Roman" w:hAnsi="Times New Roman" w:eastAsia="宋体" w:cs="Times New Roman"/>
                      <w:i w:val="0"/>
                      <w:iCs w:val="0"/>
                      <w:color w:val="auto"/>
                      <w:sz w:val="18"/>
                      <w:szCs w:val="18"/>
                      <w:u w:val="none"/>
                    </w:rPr>
                  </w:pPr>
                </w:p>
              </w:tc>
              <w:tc>
                <w:tcPr>
                  <w:tcW w:w="1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6F5844C">
                  <w:pPr>
                    <w:jc w:val="center"/>
                    <w:rPr>
                      <w:rFonts w:hint="default" w:ascii="Times New Roman" w:hAnsi="Times New Roman" w:eastAsia="宋体" w:cs="Times New Roman"/>
                      <w:i w:val="0"/>
                      <w:iCs w:val="0"/>
                      <w:color w:val="auto"/>
                      <w:sz w:val="18"/>
                      <w:szCs w:val="18"/>
                      <w:u w:val="none"/>
                    </w:rPr>
                  </w:pPr>
                </w:p>
              </w:tc>
              <w:tc>
                <w:tcPr>
                  <w:tcW w:w="1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3FA9F45">
                  <w:pPr>
                    <w:jc w:val="center"/>
                    <w:rPr>
                      <w:rFonts w:hint="default" w:ascii="Times New Roman" w:hAnsi="Times New Roman" w:eastAsia="宋体" w:cs="Times New Roman"/>
                      <w:i w:val="0"/>
                      <w:iCs w:val="0"/>
                      <w:color w:val="auto"/>
                      <w:sz w:val="18"/>
                      <w:szCs w:val="18"/>
                      <w:u w:val="none"/>
                    </w:rPr>
                  </w:pPr>
                </w:p>
              </w:tc>
              <w:tc>
                <w:tcPr>
                  <w:tcW w:w="21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078E51B">
                  <w:pPr>
                    <w:jc w:val="center"/>
                    <w:rPr>
                      <w:rFonts w:hint="default" w:ascii="Times New Roman" w:hAnsi="Times New Roman" w:eastAsia="宋体" w:cs="Times New Roman"/>
                      <w:i w:val="0"/>
                      <w:iCs w:val="0"/>
                      <w:color w:val="auto"/>
                      <w:sz w:val="18"/>
                      <w:szCs w:val="18"/>
                      <w:u w:val="none"/>
                    </w:rPr>
                  </w:pPr>
                </w:p>
              </w:tc>
              <w:tc>
                <w:tcPr>
                  <w:tcW w:w="26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59ECB91">
                  <w:pPr>
                    <w:jc w:val="center"/>
                    <w:rPr>
                      <w:rFonts w:hint="default" w:ascii="Times New Roman" w:hAnsi="Times New Roman" w:eastAsia="宋体" w:cs="Times New Roman"/>
                      <w:i w:val="0"/>
                      <w:iCs w:val="0"/>
                      <w:color w:val="auto"/>
                      <w:sz w:val="18"/>
                      <w:szCs w:val="18"/>
                      <w:u w:val="none"/>
                    </w:rPr>
                  </w:pPr>
                </w:p>
              </w:tc>
              <w:tc>
                <w:tcPr>
                  <w:tcW w:w="19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D7F0AB3">
                  <w:pPr>
                    <w:jc w:val="center"/>
                    <w:rPr>
                      <w:rFonts w:hint="default" w:ascii="Times New Roman" w:hAnsi="Times New Roman" w:eastAsia="宋体" w:cs="Times New Roman"/>
                      <w:i w:val="0"/>
                      <w:iCs w:val="0"/>
                      <w:color w:val="auto"/>
                      <w:sz w:val="18"/>
                      <w:szCs w:val="18"/>
                      <w:u w:val="none"/>
                    </w:rPr>
                  </w:pPr>
                </w:p>
              </w:tc>
              <w:tc>
                <w:tcPr>
                  <w:tcW w:w="2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4132816">
                  <w:pPr>
                    <w:jc w:val="center"/>
                    <w:rPr>
                      <w:rFonts w:hint="default" w:ascii="Times New Roman" w:hAnsi="Times New Roman" w:eastAsia="宋体" w:cs="Times New Roman"/>
                      <w:i w:val="0"/>
                      <w:iCs w:val="0"/>
                      <w:color w:val="auto"/>
                      <w:sz w:val="18"/>
                      <w:szCs w:val="18"/>
                      <w:u w:val="none"/>
                    </w:rPr>
                  </w:pPr>
                </w:p>
              </w:tc>
              <w:tc>
                <w:tcPr>
                  <w:tcW w:w="19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57745AB">
                  <w:pPr>
                    <w:jc w:val="center"/>
                    <w:rPr>
                      <w:rFonts w:hint="default" w:ascii="Times New Roman" w:hAnsi="Times New Roman" w:eastAsia="宋体" w:cs="Times New Roman"/>
                      <w:i w:val="0"/>
                      <w:iCs w:val="0"/>
                      <w:color w:val="auto"/>
                      <w:sz w:val="18"/>
                      <w:szCs w:val="18"/>
                      <w:u w:val="none"/>
                    </w:rPr>
                  </w:pPr>
                </w:p>
              </w:tc>
              <w:tc>
                <w:tcPr>
                  <w:tcW w:w="18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4AB7389">
                  <w:pPr>
                    <w:jc w:val="center"/>
                    <w:rPr>
                      <w:rFonts w:hint="default" w:ascii="Times New Roman" w:hAnsi="Times New Roman" w:eastAsia="宋体" w:cs="Times New Roman"/>
                      <w:i w:val="0"/>
                      <w:iCs w:val="0"/>
                      <w:color w:val="auto"/>
                      <w:sz w:val="18"/>
                      <w:szCs w:val="18"/>
                      <w:u w:val="none"/>
                    </w:rPr>
                  </w:pPr>
                </w:p>
              </w:tc>
              <w:tc>
                <w:tcPr>
                  <w:tcW w:w="12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B8ABF1F">
                  <w:pPr>
                    <w:jc w:val="center"/>
                    <w:rPr>
                      <w:rFonts w:hint="default" w:ascii="Times New Roman" w:hAnsi="Times New Roman" w:eastAsia="宋体" w:cs="Times New Roman"/>
                      <w:i w:val="0"/>
                      <w:iCs w:val="0"/>
                      <w:color w:val="auto"/>
                      <w:sz w:val="18"/>
                      <w:szCs w:val="18"/>
                      <w:u w:val="none"/>
                    </w:rPr>
                  </w:pPr>
                </w:p>
              </w:tc>
              <w:tc>
                <w:tcPr>
                  <w:tcW w:w="1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03B48EC">
                  <w:pPr>
                    <w:jc w:val="center"/>
                    <w:rPr>
                      <w:rFonts w:hint="default" w:ascii="Times New Roman" w:hAnsi="Times New Roman" w:eastAsia="宋体" w:cs="Times New Roman"/>
                      <w:i w:val="0"/>
                      <w:iCs w:val="0"/>
                      <w:color w:val="auto"/>
                      <w:sz w:val="18"/>
                      <w:szCs w:val="18"/>
                      <w:u w:val="none"/>
                    </w:rPr>
                  </w:pPr>
                </w:p>
              </w:tc>
              <w:tc>
                <w:tcPr>
                  <w:tcW w:w="189" w:type="pct"/>
                  <w:tcBorders>
                    <w:top w:val="single" w:color="auto" w:sz="4" w:space="0"/>
                    <w:left w:val="single" w:color="auto" w:sz="4" w:space="0"/>
                    <w:bottom w:val="single" w:color="auto" w:sz="4" w:space="0"/>
                    <w:right w:val="nil"/>
                  </w:tcBorders>
                  <w:shd w:val="clear" w:color="auto" w:fill="auto"/>
                  <w:noWrap/>
                  <w:vAlign w:val="center"/>
                </w:tcPr>
                <w:p w14:paraId="39A716C1">
                  <w:pPr>
                    <w:jc w:val="center"/>
                    <w:rPr>
                      <w:rFonts w:hint="default" w:ascii="Times New Roman" w:hAnsi="Times New Roman" w:eastAsia="宋体" w:cs="Times New Roman"/>
                      <w:i w:val="0"/>
                      <w:iCs w:val="0"/>
                      <w:color w:val="auto"/>
                      <w:sz w:val="18"/>
                      <w:szCs w:val="18"/>
                      <w:u w:val="none"/>
                    </w:rPr>
                  </w:pPr>
                </w:p>
              </w:tc>
            </w:tr>
            <w:tr w14:paraId="1A57A7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55" w:type="pct"/>
                  <w:tcBorders>
                    <w:top w:val="single" w:color="auto" w:sz="4" w:space="0"/>
                    <w:left w:val="nil"/>
                    <w:bottom w:val="single" w:color="auto" w:sz="4" w:space="0"/>
                    <w:right w:val="single" w:color="auto" w:sz="4" w:space="0"/>
                  </w:tcBorders>
                  <w:shd w:val="clear" w:color="auto" w:fill="auto"/>
                  <w:vAlign w:val="center"/>
                </w:tcPr>
                <w:p w14:paraId="7FAAAE7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41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13A03DC">
                  <w:pPr>
                    <w:jc w:val="center"/>
                    <w:rPr>
                      <w:rFonts w:hint="default" w:ascii="Times New Roman" w:hAnsi="Times New Roman" w:eastAsia="宋体" w:cs="Times New Roman"/>
                      <w:i w:val="0"/>
                      <w:iCs w:val="0"/>
                      <w:color w:val="auto"/>
                      <w:sz w:val="18"/>
                      <w:szCs w:val="18"/>
                      <w:u w:val="none"/>
                    </w:rPr>
                  </w:pPr>
                </w:p>
              </w:tc>
              <w:tc>
                <w:tcPr>
                  <w:tcW w:w="330" w:type="pct"/>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41C0D093">
                  <w:pPr>
                    <w:jc w:val="center"/>
                    <w:rPr>
                      <w:rFonts w:hint="default" w:ascii="Times New Roman" w:hAnsi="Times New Roman" w:eastAsia="宋体" w:cs="Times New Roman"/>
                      <w:i w:val="0"/>
                      <w:iCs w:val="0"/>
                      <w:color w:val="auto"/>
                      <w:sz w:val="18"/>
                      <w:szCs w:val="18"/>
                      <w:u w:val="none"/>
                    </w:rPr>
                  </w:pPr>
                </w:p>
              </w:tc>
              <w:tc>
                <w:tcPr>
                  <w:tcW w:w="384" w:type="pct"/>
                  <w:tcBorders>
                    <w:top w:val="single" w:color="auto" w:sz="4" w:space="0"/>
                    <w:left w:val="single" w:color="auto" w:sz="4" w:space="0"/>
                    <w:bottom w:val="single" w:color="auto" w:sz="4" w:space="0"/>
                    <w:right w:val="single" w:color="auto" w:sz="4" w:space="0"/>
                  </w:tcBorders>
                  <w:shd w:val="clear" w:color="auto" w:fill="auto"/>
                  <w:vAlign w:val="center"/>
                </w:tcPr>
                <w:p w14:paraId="636DB8A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26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E16D82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175" w:type="pct"/>
                  <w:tcBorders>
                    <w:top w:val="single" w:color="auto" w:sz="4" w:space="0"/>
                    <w:left w:val="single" w:color="auto" w:sz="4" w:space="0"/>
                    <w:bottom w:val="single" w:color="auto" w:sz="4" w:space="0"/>
                    <w:right w:val="single" w:color="auto" w:sz="4" w:space="0"/>
                  </w:tcBorders>
                  <w:shd w:val="clear" w:color="auto" w:fill="auto"/>
                  <w:vAlign w:val="center"/>
                </w:tcPr>
                <w:p w14:paraId="31E7B91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245" w:type="pct"/>
                  <w:tcBorders>
                    <w:top w:val="single" w:color="auto" w:sz="4" w:space="0"/>
                    <w:left w:val="single" w:color="auto" w:sz="4" w:space="0"/>
                    <w:bottom w:val="single" w:color="auto" w:sz="4" w:space="0"/>
                    <w:right w:val="single" w:color="auto" w:sz="4" w:space="0"/>
                  </w:tcBorders>
                  <w:shd w:val="clear" w:color="auto" w:fill="auto"/>
                  <w:vAlign w:val="center"/>
                </w:tcPr>
                <w:p w14:paraId="3D20CE0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156"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D2E5193">
                  <w:pPr>
                    <w:jc w:val="center"/>
                    <w:rPr>
                      <w:rFonts w:hint="default" w:ascii="Times New Roman" w:hAnsi="Times New Roman" w:eastAsia="宋体" w:cs="Times New Roman"/>
                      <w:i w:val="0"/>
                      <w:iCs w:val="0"/>
                      <w:color w:val="auto"/>
                      <w:sz w:val="18"/>
                      <w:szCs w:val="18"/>
                      <w:u w:val="none"/>
                    </w:rPr>
                  </w:pPr>
                </w:p>
              </w:tc>
              <w:tc>
                <w:tcPr>
                  <w:tcW w:w="551" w:type="pct"/>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45CC54AB">
                  <w:pPr>
                    <w:jc w:val="center"/>
                    <w:rPr>
                      <w:rFonts w:hint="default" w:ascii="Times New Roman" w:hAnsi="Times New Roman" w:eastAsia="宋体" w:cs="Times New Roman"/>
                      <w:i w:val="0"/>
                      <w:iCs w:val="0"/>
                      <w:color w:val="auto"/>
                      <w:sz w:val="18"/>
                      <w:szCs w:val="18"/>
                      <w:u w:val="none"/>
                    </w:rPr>
                  </w:pPr>
                </w:p>
              </w:tc>
              <w:tc>
                <w:tcPr>
                  <w:tcW w:w="23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AC7B39F">
                  <w:pPr>
                    <w:jc w:val="center"/>
                    <w:rPr>
                      <w:rFonts w:hint="default" w:ascii="Times New Roman" w:hAnsi="Times New Roman" w:eastAsia="宋体" w:cs="Times New Roman"/>
                      <w:i w:val="0"/>
                      <w:iCs w:val="0"/>
                      <w:color w:val="auto"/>
                      <w:sz w:val="18"/>
                      <w:szCs w:val="18"/>
                      <w:u w:val="none"/>
                    </w:rPr>
                  </w:pPr>
                </w:p>
              </w:tc>
              <w:tc>
                <w:tcPr>
                  <w:tcW w:w="1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A952951">
                  <w:pPr>
                    <w:jc w:val="center"/>
                    <w:rPr>
                      <w:rFonts w:hint="default" w:ascii="Times New Roman" w:hAnsi="Times New Roman" w:eastAsia="宋体" w:cs="Times New Roman"/>
                      <w:i w:val="0"/>
                      <w:iCs w:val="0"/>
                      <w:color w:val="auto"/>
                      <w:sz w:val="18"/>
                      <w:szCs w:val="18"/>
                      <w:u w:val="none"/>
                    </w:rPr>
                  </w:pPr>
                </w:p>
              </w:tc>
              <w:tc>
                <w:tcPr>
                  <w:tcW w:w="1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9F82FCC">
                  <w:pPr>
                    <w:jc w:val="center"/>
                    <w:rPr>
                      <w:rFonts w:hint="default" w:ascii="Times New Roman" w:hAnsi="Times New Roman" w:eastAsia="宋体" w:cs="Times New Roman"/>
                      <w:i w:val="0"/>
                      <w:iCs w:val="0"/>
                      <w:color w:val="auto"/>
                      <w:sz w:val="18"/>
                      <w:szCs w:val="18"/>
                      <w:u w:val="none"/>
                    </w:rPr>
                  </w:pPr>
                </w:p>
              </w:tc>
              <w:tc>
                <w:tcPr>
                  <w:tcW w:w="21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2A8F39A">
                  <w:pPr>
                    <w:jc w:val="center"/>
                    <w:rPr>
                      <w:rFonts w:hint="default" w:ascii="Times New Roman" w:hAnsi="Times New Roman" w:eastAsia="宋体" w:cs="Times New Roman"/>
                      <w:i w:val="0"/>
                      <w:iCs w:val="0"/>
                      <w:color w:val="auto"/>
                      <w:sz w:val="18"/>
                      <w:szCs w:val="18"/>
                      <w:u w:val="none"/>
                    </w:rPr>
                  </w:pPr>
                </w:p>
              </w:tc>
              <w:tc>
                <w:tcPr>
                  <w:tcW w:w="26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4AFD252">
                  <w:pPr>
                    <w:jc w:val="center"/>
                    <w:rPr>
                      <w:rFonts w:hint="default" w:ascii="Times New Roman" w:hAnsi="Times New Roman" w:eastAsia="宋体" w:cs="Times New Roman"/>
                      <w:i w:val="0"/>
                      <w:iCs w:val="0"/>
                      <w:color w:val="auto"/>
                      <w:sz w:val="18"/>
                      <w:szCs w:val="18"/>
                      <w:u w:val="none"/>
                    </w:rPr>
                  </w:pPr>
                </w:p>
              </w:tc>
              <w:tc>
                <w:tcPr>
                  <w:tcW w:w="19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D4D1B87">
                  <w:pPr>
                    <w:jc w:val="center"/>
                    <w:rPr>
                      <w:rFonts w:hint="default" w:ascii="Times New Roman" w:hAnsi="Times New Roman" w:eastAsia="宋体" w:cs="Times New Roman"/>
                      <w:i w:val="0"/>
                      <w:iCs w:val="0"/>
                      <w:color w:val="auto"/>
                      <w:sz w:val="18"/>
                      <w:szCs w:val="18"/>
                      <w:u w:val="none"/>
                    </w:rPr>
                  </w:pPr>
                </w:p>
              </w:tc>
              <w:tc>
                <w:tcPr>
                  <w:tcW w:w="2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FFE4144">
                  <w:pPr>
                    <w:jc w:val="center"/>
                    <w:rPr>
                      <w:rFonts w:hint="default" w:ascii="Times New Roman" w:hAnsi="Times New Roman" w:eastAsia="宋体" w:cs="Times New Roman"/>
                      <w:i w:val="0"/>
                      <w:iCs w:val="0"/>
                      <w:color w:val="auto"/>
                      <w:sz w:val="18"/>
                      <w:szCs w:val="18"/>
                      <w:u w:val="none"/>
                    </w:rPr>
                  </w:pPr>
                </w:p>
              </w:tc>
              <w:tc>
                <w:tcPr>
                  <w:tcW w:w="19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EE4CBD7">
                  <w:pPr>
                    <w:jc w:val="center"/>
                    <w:rPr>
                      <w:rFonts w:hint="default" w:ascii="Times New Roman" w:hAnsi="Times New Roman" w:eastAsia="宋体" w:cs="Times New Roman"/>
                      <w:i w:val="0"/>
                      <w:iCs w:val="0"/>
                      <w:color w:val="auto"/>
                      <w:sz w:val="18"/>
                      <w:szCs w:val="18"/>
                      <w:u w:val="none"/>
                    </w:rPr>
                  </w:pPr>
                </w:p>
              </w:tc>
              <w:tc>
                <w:tcPr>
                  <w:tcW w:w="18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1180234">
                  <w:pPr>
                    <w:jc w:val="center"/>
                    <w:rPr>
                      <w:rFonts w:hint="default" w:ascii="Times New Roman" w:hAnsi="Times New Roman" w:eastAsia="宋体" w:cs="Times New Roman"/>
                      <w:i w:val="0"/>
                      <w:iCs w:val="0"/>
                      <w:color w:val="auto"/>
                      <w:sz w:val="18"/>
                      <w:szCs w:val="18"/>
                      <w:u w:val="none"/>
                    </w:rPr>
                  </w:pPr>
                </w:p>
              </w:tc>
              <w:tc>
                <w:tcPr>
                  <w:tcW w:w="12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1DFC08F">
                  <w:pPr>
                    <w:jc w:val="center"/>
                    <w:rPr>
                      <w:rFonts w:hint="default" w:ascii="Times New Roman" w:hAnsi="Times New Roman" w:eastAsia="宋体" w:cs="Times New Roman"/>
                      <w:i w:val="0"/>
                      <w:iCs w:val="0"/>
                      <w:color w:val="auto"/>
                      <w:sz w:val="18"/>
                      <w:szCs w:val="18"/>
                      <w:u w:val="none"/>
                    </w:rPr>
                  </w:pPr>
                </w:p>
              </w:tc>
              <w:tc>
                <w:tcPr>
                  <w:tcW w:w="1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44219D3">
                  <w:pPr>
                    <w:jc w:val="center"/>
                    <w:rPr>
                      <w:rFonts w:hint="default" w:ascii="Times New Roman" w:hAnsi="Times New Roman" w:eastAsia="宋体" w:cs="Times New Roman"/>
                      <w:i w:val="0"/>
                      <w:iCs w:val="0"/>
                      <w:color w:val="auto"/>
                      <w:sz w:val="18"/>
                      <w:szCs w:val="18"/>
                      <w:u w:val="none"/>
                    </w:rPr>
                  </w:pPr>
                </w:p>
              </w:tc>
              <w:tc>
                <w:tcPr>
                  <w:tcW w:w="189" w:type="pct"/>
                  <w:tcBorders>
                    <w:top w:val="single" w:color="auto" w:sz="4" w:space="0"/>
                    <w:left w:val="single" w:color="auto" w:sz="4" w:space="0"/>
                    <w:bottom w:val="single" w:color="auto" w:sz="4" w:space="0"/>
                    <w:right w:val="nil"/>
                  </w:tcBorders>
                  <w:shd w:val="clear" w:color="auto" w:fill="auto"/>
                  <w:noWrap/>
                  <w:vAlign w:val="center"/>
                </w:tcPr>
                <w:p w14:paraId="7DA06306">
                  <w:pPr>
                    <w:jc w:val="center"/>
                    <w:rPr>
                      <w:rFonts w:hint="default" w:ascii="Times New Roman" w:hAnsi="Times New Roman" w:eastAsia="宋体" w:cs="Times New Roman"/>
                      <w:i w:val="0"/>
                      <w:iCs w:val="0"/>
                      <w:color w:val="auto"/>
                      <w:sz w:val="18"/>
                      <w:szCs w:val="18"/>
                      <w:u w:val="none"/>
                    </w:rPr>
                  </w:pPr>
                </w:p>
              </w:tc>
            </w:tr>
            <w:tr w14:paraId="65523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70" w:hRule="atLeast"/>
              </w:trPr>
              <w:tc>
                <w:tcPr>
                  <w:tcW w:w="155" w:type="pct"/>
                  <w:tcBorders>
                    <w:top w:val="single" w:color="auto" w:sz="4" w:space="0"/>
                    <w:left w:val="nil"/>
                    <w:bottom w:val="single" w:color="auto" w:sz="4" w:space="0"/>
                    <w:right w:val="single" w:color="auto" w:sz="4" w:space="0"/>
                  </w:tcBorders>
                  <w:shd w:val="clear" w:color="auto" w:fill="auto"/>
                  <w:vAlign w:val="center"/>
                </w:tcPr>
                <w:p w14:paraId="0D95A9C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lang w:val="en-US"/>
                    </w:rPr>
                  </w:pPr>
                </w:p>
              </w:tc>
              <w:tc>
                <w:tcPr>
                  <w:tcW w:w="41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5D59A80">
                  <w:pPr>
                    <w:jc w:val="center"/>
                    <w:rPr>
                      <w:rFonts w:hint="default" w:ascii="Times New Roman" w:hAnsi="Times New Roman" w:eastAsia="宋体" w:cs="Times New Roman"/>
                      <w:i w:val="0"/>
                      <w:iCs w:val="0"/>
                      <w:color w:val="auto"/>
                      <w:sz w:val="18"/>
                      <w:szCs w:val="18"/>
                      <w:u w:val="none"/>
                    </w:rPr>
                  </w:pPr>
                </w:p>
              </w:tc>
              <w:tc>
                <w:tcPr>
                  <w:tcW w:w="330" w:type="pct"/>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5A99A55C">
                  <w:pPr>
                    <w:jc w:val="center"/>
                    <w:rPr>
                      <w:rFonts w:hint="default" w:ascii="Times New Roman" w:hAnsi="Times New Roman" w:eastAsia="宋体" w:cs="Times New Roman"/>
                      <w:i w:val="0"/>
                      <w:iCs w:val="0"/>
                      <w:color w:val="auto"/>
                      <w:sz w:val="18"/>
                      <w:szCs w:val="18"/>
                      <w:u w:val="none"/>
                    </w:rPr>
                  </w:pPr>
                </w:p>
              </w:tc>
              <w:tc>
                <w:tcPr>
                  <w:tcW w:w="38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26DBAF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26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A33777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p>
              </w:tc>
              <w:tc>
                <w:tcPr>
                  <w:tcW w:w="175" w:type="pct"/>
                  <w:tcBorders>
                    <w:top w:val="single" w:color="auto" w:sz="4" w:space="0"/>
                    <w:left w:val="single" w:color="auto" w:sz="4" w:space="0"/>
                    <w:bottom w:val="single" w:color="auto" w:sz="4" w:space="0"/>
                    <w:right w:val="single" w:color="auto" w:sz="4" w:space="0"/>
                  </w:tcBorders>
                  <w:shd w:val="clear" w:color="auto" w:fill="auto"/>
                  <w:vAlign w:val="center"/>
                </w:tcPr>
                <w:p w14:paraId="6CC4D49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p>
              </w:tc>
              <w:tc>
                <w:tcPr>
                  <w:tcW w:w="245" w:type="pct"/>
                  <w:tcBorders>
                    <w:top w:val="single" w:color="auto" w:sz="4" w:space="0"/>
                    <w:left w:val="single" w:color="auto" w:sz="4" w:space="0"/>
                    <w:bottom w:val="single" w:color="auto" w:sz="4" w:space="0"/>
                    <w:right w:val="single" w:color="auto" w:sz="4" w:space="0"/>
                  </w:tcBorders>
                  <w:shd w:val="clear" w:color="auto" w:fill="auto"/>
                  <w:vAlign w:val="center"/>
                </w:tcPr>
                <w:p w14:paraId="4E4A814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p>
              </w:tc>
              <w:tc>
                <w:tcPr>
                  <w:tcW w:w="156"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366D77F">
                  <w:pPr>
                    <w:jc w:val="center"/>
                    <w:rPr>
                      <w:rFonts w:hint="default" w:ascii="Times New Roman" w:hAnsi="Times New Roman" w:eastAsia="宋体" w:cs="Times New Roman"/>
                      <w:i w:val="0"/>
                      <w:iCs w:val="0"/>
                      <w:color w:val="auto"/>
                      <w:sz w:val="18"/>
                      <w:szCs w:val="18"/>
                      <w:u w:val="none"/>
                    </w:rPr>
                  </w:pPr>
                </w:p>
              </w:tc>
              <w:tc>
                <w:tcPr>
                  <w:tcW w:w="551" w:type="pct"/>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12E6D3F3">
                  <w:pPr>
                    <w:jc w:val="center"/>
                    <w:rPr>
                      <w:rFonts w:hint="default" w:ascii="Times New Roman" w:hAnsi="Times New Roman" w:eastAsia="宋体" w:cs="Times New Roman"/>
                      <w:i w:val="0"/>
                      <w:iCs w:val="0"/>
                      <w:color w:val="auto"/>
                      <w:sz w:val="18"/>
                      <w:szCs w:val="18"/>
                      <w:u w:val="none"/>
                    </w:rPr>
                  </w:pPr>
                </w:p>
              </w:tc>
              <w:tc>
                <w:tcPr>
                  <w:tcW w:w="23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6DF69AB">
                  <w:pPr>
                    <w:jc w:val="center"/>
                    <w:rPr>
                      <w:rFonts w:hint="default" w:ascii="Times New Roman" w:hAnsi="Times New Roman" w:eastAsia="宋体" w:cs="Times New Roman"/>
                      <w:i w:val="0"/>
                      <w:iCs w:val="0"/>
                      <w:color w:val="auto"/>
                      <w:sz w:val="18"/>
                      <w:szCs w:val="18"/>
                      <w:u w:val="none"/>
                    </w:rPr>
                  </w:pPr>
                </w:p>
              </w:tc>
              <w:tc>
                <w:tcPr>
                  <w:tcW w:w="1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050CC58">
                  <w:pPr>
                    <w:jc w:val="center"/>
                    <w:rPr>
                      <w:rFonts w:hint="default" w:ascii="Times New Roman" w:hAnsi="Times New Roman" w:eastAsia="宋体" w:cs="Times New Roman"/>
                      <w:i w:val="0"/>
                      <w:iCs w:val="0"/>
                      <w:color w:val="auto"/>
                      <w:sz w:val="18"/>
                      <w:szCs w:val="18"/>
                      <w:u w:val="none"/>
                    </w:rPr>
                  </w:pPr>
                </w:p>
              </w:tc>
              <w:tc>
                <w:tcPr>
                  <w:tcW w:w="1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05552DA">
                  <w:pPr>
                    <w:jc w:val="center"/>
                    <w:rPr>
                      <w:rFonts w:hint="default" w:ascii="Times New Roman" w:hAnsi="Times New Roman" w:eastAsia="宋体" w:cs="Times New Roman"/>
                      <w:i w:val="0"/>
                      <w:iCs w:val="0"/>
                      <w:color w:val="auto"/>
                      <w:sz w:val="18"/>
                      <w:szCs w:val="18"/>
                      <w:u w:val="none"/>
                    </w:rPr>
                  </w:pPr>
                </w:p>
              </w:tc>
              <w:tc>
                <w:tcPr>
                  <w:tcW w:w="21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56ED712">
                  <w:pPr>
                    <w:jc w:val="center"/>
                    <w:rPr>
                      <w:rFonts w:hint="default" w:ascii="Times New Roman" w:hAnsi="Times New Roman" w:eastAsia="宋体" w:cs="Times New Roman"/>
                      <w:i w:val="0"/>
                      <w:iCs w:val="0"/>
                      <w:color w:val="auto"/>
                      <w:sz w:val="18"/>
                      <w:szCs w:val="18"/>
                      <w:u w:val="none"/>
                    </w:rPr>
                  </w:pPr>
                </w:p>
              </w:tc>
              <w:tc>
                <w:tcPr>
                  <w:tcW w:w="26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4564756">
                  <w:pPr>
                    <w:jc w:val="center"/>
                    <w:rPr>
                      <w:rFonts w:hint="default" w:ascii="Times New Roman" w:hAnsi="Times New Roman" w:eastAsia="宋体" w:cs="Times New Roman"/>
                      <w:i w:val="0"/>
                      <w:iCs w:val="0"/>
                      <w:color w:val="auto"/>
                      <w:sz w:val="18"/>
                      <w:szCs w:val="18"/>
                      <w:u w:val="none"/>
                    </w:rPr>
                  </w:pPr>
                </w:p>
              </w:tc>
              <w:tc>
                <w:tcPr>
                  <w:tcW w:w="19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174B38E">
                  <w:pPr>
                    <w:jc w:val="center"/>
                    <w:rPr>
                      <w:rFonts w:hint="default" w:ascii="Times New Roman" w:hAnsi="Times New Roman" w:eastAsia="宋体" w:cs="Times New Roman"/>
                      <w:i w:val="0"/>
                      <w:iCs w:val="0"/>
                      <w:color w:val="auto"/>
                      <w:sz w:val="18"/>
                      <w:szCs w:val="18"/>
                      <w:u w:val="none"/>
                    </w:rPr>
                  </w:pPr>
                </w:p>
              </w:tc>
              <w:tc>
                <w:tcPr>
                  <w:tcW w:w="2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DA165C8">
                  <w:pPr>
                    <w:jc w:val="center"/>
                    <w:rPr>
                      <w:rFonts w:hint="default" w:ascii="Times New Roman" w:hAnsi="Times New Roman" w:eastAsia="宋体" w:cs="Times New Roman"/>
                      <w:i w:val="0"/>
                      <w:iCs w:val="0"/>
                      <w:color w:val="auto"/>
                      <w:sz w:val="18"/>
                      <w:szCs w:val="18"/>
                      <w:u w:val="none"/>
                    </w:rPr>
                  </w:pPr>
                </w:p>
              </w:tc>
              <w:tc>
                <w:tcPr>
                  <w:tcW w:w="19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C542771">
                  <w:pPr>
                    <w:jc w:val="center"/>
                    <w:rPr>
                      <w:rFonts w:hint="default" w:ascii="Times New Roman" w:hAnsi="Times New Roman" w:eastAsia="宋体" w:cs="Times New Roman"/>
                      <w:i w:val="0"/>
                      <w:iCs w:val="0"/>
                      <w:color w:val="auto"/>
                      <w:sz w:val="18"/>
                      <w:szCs w:val="18"/>
                      <w:u w:val="none"/>
                    </w:rPr>
                  </w:pPr>
                </w:p>
              </w:tc>
              <w:tc>
                <w:tcPr>
                  <w:tcW w:w="18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AFDCB7E">
                  <w:pPr>
                    <w:jc w:val="center"/>
                    <w:rPr>
                      <w:rFonts w:hint="default" w:ascii="Times New Roman" w:hAnsi="Times New Roman" w:eastAsia="宋体" w:cs="Times New Roman"/>
                      <w:i w:val="0"/>
                      <w:iCs w:val="0"/>
                      <w:color w:val="auto"/>
                      <w:sz w:val="18"/>
                      <w:szCs w:val="18"/>
                      <w:u w:val="none"/>
                    </w:rPr>
                  </w:pPr>
                </w:p>
              </w:tc>
              <w:tc>
                <w:tcPr>
                  <w:tcW w:w="12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3289291">
                  <w:pPr>
                    <w:jc w:val="center"/>
                    <w:rPr>
                      <w:rFonts w:hint="default" w:ascii="Times New Roman" w:hAnsi="Times New Roman" w:eastAsia="宋体" w:cs="Times New Roman"/>
                      <w:i w:val="0"/>
                      <w:iCs w:val="0"/>
                      <w:color w:val="auto"/>
                      <w:sz w:val="18"/>
                      <w:szCs w:val="18"/>
                      <w:u w:val="none"/>
                    </w:rPr>
                  </w:pPr>
                </w:p>
              </w:tc>
              <w:tc>
                <w:tcPr>
                  <w:tcW w:w="1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50C2322">
                  <w:pPr>
                    <w:jc w:val="center"/>
                    <w:rPr>
                      <w:rFonts w:hint="default" w:ascii="Times New Roman" w:hAnsi="Times New Roman" w:eastAsia="宋体" w:cs="Times New Roman"/>
                      <w:i w:val="0"/>
                      <w:iCs w:val="0"/>
                      <w:color w:val="auto"/>
                      <w:sz w:val="18"/>
                      <w:szCs w:val="18"/>
                      <w:u w:val="none"/>
                    </w:rPr>
                  </w:pPr>
                </w:p>
              </w:tc>
              <w:tc>
                <w:tcPr>
                  <w:tcW w:w="189" w:type="pct"/>
                  <w:tcBorders>
                    <w:top w:val="single" w:color="auto" w:sz="4" w:space="0"/>
                    <w:left w:val="single" w:color="auto" w:sz="4" w:space="0"/>
                    <w:bottom w:val="single" w:color="auto" w:sz="4" w:space="0"/>
                    <w:right w:val="nil"/>
                  </w:tcBorders>
                  <w:shd w:val="clear" w:color="auto" w:fill="auto"/>
                  <w:noWrap/>
                  <w:vAlign w:val="center"/>
                </w:tcPr>
                <w:p w14:paraId="425DDA1B">
                  <w:pPr>
                    <w:jc w:val="center"/>
                    <w:rPr>
                      <w:rFonts w:hint="default" w:ascii="Times New Roman" w:hAnsi="Times New Roman" w:eastAsia="宋体" w:cs="Times New Roman"/>
                      <w:i w:val="0"/>
                      <w:iCs w:val="0"/>
                      <w:color w:val="auto"/>
                      <w:sz w:val="18"/>
                      <w:szCs w:val="18"/>
                      <w:u w:val="none"/>
                    </w:rPr>
                  </w:pPr>
                </w:p>
              </w:tc>
            </w:tr>
            <w:tr w14:paraId="4C88A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55" w:type="pct"/>
                  <w:tcBorders>
                    <w:top w:val="single" w:color="auto" w:sz="4" w:space="0"/>
                    <w:left w:val="nil"/>
                    <w:bottom w:val="single" w:color="auto" w:sz="4" w:space="0"/>
                    <w:right w:val="single" w:color="auto" w:sz="4" w:space="0"/>
                  </w:tcBorders>
                  <w:shd w:val="clear" w:color="auto" w:fill="auto"/>
                  <w:vAlign w:val="center"/>
                </w:tcPr>
                <w:p w14:paraId="3229D6C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lang w:val="en-US"/>
                    </w:rPr>
                  </w:pPr>
                </w:p>
              </w:tc>
              <w:tc>
                <w:tcPr>
                  <w:tcW w:w="41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45E930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330" w:type="pct"/>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5D215B5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384" w:type="pct"/>
                  <w:tcBorders>
                    <w:top w:val="single" w:color="auto" w:sz="4" w:space="0"/>
                    <w:left w:val="single" w:color="auto" w:sz="4" w:space="0"/>
                    <w:bottom w:val="single" w:color="auto" w:sz="4" w:space="0"/>
                    <w:right w:val="single" w:color="auto" w:sz="4" w:space="0"/>
                  </w:tcBorders>
                  <w:shd w:val="clear" w:color="auto" w:fill="auto"/>
                  <w:vAlign w:val="center"/>
                </w:tcPr>
                <w:p w14:paraId="6AEF1FF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26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5186ED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p>
              </w:tc>
              <w:tc>
                <w:tcPr>
                  <w:tcW w:w="175" w:type="pct"/>
                  <w:tcBorders>
                    <w:top w:val="single" w:color="auto" w:sz="4" w:space="0"/>
                    <w:left w:val="single" w:color="auto" w:sz="4" w:space="0"/>
                    <w:bottom w:val="single" w:color="auto" w:sz="4" w:space="0"/>
                    <w:right w:val="single" w:color="auto" w:sz="4" w:space="0"/>
                  </w:tcBorders>
                  <w:shd w:val="clear" w:color="auto" w:fill="auto"/>
                  <w:vAlign w:val="center"/>
                </w:tcPr>
                <w:p w14:paraId="1B6D16D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p>
              </w:tc>
              <w:tc>
                <w:tcPr>
                  <w:tcW w:w="245" w:type="pct"/>
                  <w:tcBorders>
                    <w:top w:val="single" w:color="auto" w:sz="4" w:space="0"/>
                    <w:left w:val="single" w:color="auto" w:sz="4" w:space="0"/>
                    <w:bottom w:val="single" w:color="auto" w:sz="4" w:space="0"/>
                    <w:right w:val="single" w:color="auto" w:sz="4" w:space="0"/>
                  </w:tcBorders>
                  <w:shd w:val="clear" w:color="auto" w:fill="auto"/>
                  <w:vAlign w:val="center"/>
                </w:tcPr>
                <w:p w14:paraId="0481AC6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p>
              </w:tc>
              <w:tc>
                <w:tcPr>
                  <w:tcW w:w="156"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12D97FC">
                  <w:pPr>
                    <w:jc w:val="center"/>
                    <w:rPr>
                      <w:rFonts w:hint="default" w:ascii="Times New Roman" w:hAnsi="Times New Roman" w:eastAsia="宋体" w:cs="Times New Roman"/>
                      <w:i w:val="0"/>
                      <w:iCs w:val="0"/>
                      <w:color w:val="auto"/>
                      <w:sz w:val="18"/>
                      <w:szCs w:val="18"/>
                      <w:u w:val="none"/>
                    </w:rPr>
                  </w:pPr>
                </w:p>
              </w:tc>
              <w:tc>
                <w:tcPr>
                  <w:tcW w:w="551" w:type="pct"/>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3724DA2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23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707774F">
                  <w:pPr>
                    <w:jc w:val="center"/>
                    <w:rPr>
                      <w:rFonts w:hint="default" w:ascii="Times New Roman" w:hAnsi="Times New Roman" w:eastAsia="宋体" w:cs="Times New Roman"/>
                      <w:i w:val="0"/>
                      <w:iCs w:val="0"/>
                      <w:color w:val="auto"/>
                      <w:sz w:val="18"/>
                      <w:szCs w:val="18"/>
                      <w:u w:val="none"/>
                    </w:rPr>
                  </w:pPr>
                </w:p>
              </w:tc>
              <w:tc>
                <w:tcPr>
                  <w:tcW w:w="1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455CBBC">
                  <w:pPr>
                    <w:jc w:val="center"/>
                    <w:rPr>
                      <w:rFonts w:hint="default" w:ascii="Times New Roman" w:hAnsi="Times New Roman" w:eastAsia="宋体" w:cs="Times New Roman"/>
                      <w:i w:val="0"/>
                      <w:iCs w:val="0"/>
                      <w:color w:val="auto"/>
                      <w:sz w:val="18"/>
                      <w:szCs w:val="18"/>
                      <w:u w:val="none"/>
                    </w:rPr>
                  </w:pPr>
                </w:p>
              </w:tc>
              <w:tc>
                <w:tcPr>
                  <w:tcW w:w="1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CB90FE7">
                  <w:pPr>
                    <w:jc w:val="center"/>
                    <w:rPr>
                      <w:rFonts w:hint="default" w:ascii="Times New Roman" w:hAnsi="Times New Roman" w:eastAsia="宋体" w:cs="Times New Roman"/>
                      <w:i w:val="0"/>
                      <w:iCs w:val="0"/>
                      <w:color w:val="auto"/>
                      <w:sz w:val="18"/>
                      <w:szCs w:val="18"/>
                      <w:u w:val="none"/>
                    </w:rPr>
                  </w:pPr>
                </w:p>
              </w:tc>
              <w:tc>
                <w:tcPr>
                  <w:tcW w:w="21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A851B30">
                  <w:pPr>
                    <w:jc w:val="center"/>
                    <w:rPr>
                      <w:rFonts w:hint="default" w:ascii="Times New Roman" w:hAnsi="Times New Roman" w:eastAsia="宋体" w:cs="Times New Roman"/>
                      <w:i w:val="0"/>
                      <w:iCs w:val="0"/>
                      <w:color w:val="auto"/>
                      <w:sz w:val="18"/>
                      <w:szCs w:val="18"/>
                      <w:u w:val="none"/>
                    </w:rPr>
                  </w:pPr>
                </w:p>
              </w:tc>
              <w:tc>
                <w:tcPr>
                  <w:tcW w:w="26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909BA82">
                  <w:pPr>
                    <w:jc w:val="center"/>
                    <w:rPr>
                      <w:rFonts w:hint="default" w:ascii="Times New Roman" w:hAnsi="Times New Roman" w:eastAsia="宋体" w:cs="Times New Roman"/>
                      <w:i w:val="0"/>
                      <w:iCs w:val="0"/>
                      <w:color w:val="auto"/>
                      <w:sz w:val="18"/>
                      <w:szCs w:val="18"/>
                      <w:u w:val="none"/>
                    </w:rPr>
                  </w:pPr>
                </w:p>
              </w:tc>
              <w:tc>
                <w:tcPr>
                  <w:tcW w:w="19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A1225C6">
                  <w:pPr>
                    <w:jc w:val="center"/>
                    <w:rPr>
                      <w:rFonts w:hint="default" w:ascii="Times New Roman" w:hAnsi="Times New Roman" w:eastAsia="宋体" w:cs="Times New Roman"/>
                      <w:i w:val="0"/>
                      <w:iCs w:val="0"/>
                      <w:color w:val="auto"/>
                      <w:sz w:val="18"/>
                      <w:szCs w:val="18"/>
                      <w:u w:val="none"/>
                    </w:rPr>
                  </w:pPr>
                </w:p>
              </w:tc>
              <w:tc>
                <w:tcPr>
                  <w:tcW w:w="2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00FB3EF">
                  <w:pPr>
                    <w:jc w:val="center"/>
                    <w:rPr>
                      <w:rFonts w:hint="default" w:ascii="Times New Roman" w:hAnsi="Times New Roman" w:eastAsia="宋体" w:cs="Times New Roman"/>
                      <w:i w:val="0"/>
                      <w:iCs w:val="0"/>
                      <w:color w:val="auto"/>
                      <w:sz w:val="18"/>
                      <w:szCs w:val="18"/>
                      <w:u w:val="none"/>
                    </w:rPr>
                  </w:pPr>
                </w:p>
              </w:tc>
              <w:tc>
                <w:tcPr>
                  <w:tcW w:w="19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B1B5691">
                  <w:pPr>
                    <w:jc w:val="center"/>
                    <w:rPr>
                      <w:rFonts w:hint="default" w:ascii="Times New Roman" w:hAnsi="Times New Roman" w:eastAsia="宋体" w:cs="Times New Roman"/>
                      <w:i w:val="0"/>
                      <w:iCs w:val="0"/>
                      <w:color w:val="auto"/>
                      <w:sz w:val="18"/>
                      <w:szCs w:val="18"/>
                      <w:u w:val="none"/>
                    </w:rPr>
                  </w:pPr>
                </w:p>
              </w:tc>
              <w:tc>
                <w:tcPr>
                  <w:tcW w:w="18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50ABFD7">
                  <w:pPr>
                    <w:jc w:val="center"/>
                    <w:rPr>
                      <w:rFonts w:hint="default" w:ascii="Times New Roman" w:hAnsi="Times New Roman" w:eastAsia="宋体" w:cs="Times New Roman"/>
                      <w:i w:val="0"/>
                      <w:iCs w:val="0"/>
                      <w:color w:val="auto"/>
                      <w:sz w:val="18"/>
                      <w:szCs w:val="18"/>
                      <w:u w:val="none"/>
                    </w:rPr>
                  </w:pPr>
                </w:p>
              </w:tc>
              <w:tc>
                <w:tcPr>
                  <w:tcW w:w="12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C624C05">
                  <w:pPr>
                    <w:jc w:val="center"/>
                    <w:rPr>
                      <w:rFonts w:hint="default" w:ascii="Times New Roman" w:hAnsi="Times New Roman" w:eastAsia="宋体" w:cs="Times New Roman"/>
                      <w:i w:val="0"/>
                      <w:iCs w:val="0"/>
                      <w:color w:val="auto"/>
                      <w:sz w:val="18"/>
                      <w:szCs w:val="18"/>
                      <w:u w:val="none"/>
                    </w:rPr>
                  </w:pPr>
                </w:p>
              </w:tc>
              <w:tc>
                <w:tcPr>
                  <w:tcW w:w="1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A0C5BEA">
                  <w:pPr>
                    <w:jc w:val="center"/>
                    <w:rPr>
                      <w:rFonts w:hint="default" w:ascii="Times New Roman" w:hAnsi="Times New Roman" w:eastAsia="宋体" w:cs="Times New Roman"/>
                      <w:i w:val="0"/>
                      <w:iCs w:val="0"/>
                      <w:color w:val="auto"/>
                      <w:sz w:val="18"/>
                      <w:szCs w:val="18"/>
                      <w:u w:val="none"/>
                    </w:rPr>
                  </w:pPr>
                </w:p>
              </w:tc>
              <w:tc>
                <w:tcPr>
                  <w:tcW w:w="189" w:type="pct"/>
                  <w:tcBorders>
                    <w:top w:val="single" w:color="auto" w:sz="4" w:space="0"/>
                    <w:left w:val="single" w:color="auto" w:sz="4" w:space="0"/>
                    <w:bottom w:val="single" w:color="auto" w:sz="4" w:space="0"/>
                    <w:right w:val="nil"/>
                  </w:tcBorders>
                  <w:shd w:val="clear" w:color="auto" w:fill="auto"/>
                  <w:noWrap/>
                  <w:vAlign w:val="center"/>
                </w:tcPr>
                <w:p w14:paraId="79E4D6AB">
                  <w:pPr>
                    <w:jc w:val="center"/>
                    <w:rPr>
                      <w:rFonts w:hint="default" w:ascii="Times New Roman" w:hAnsi="Times New Roman" w:eastAsia="宋体" w:cs="Times New Roman"/>
                      <w:i w:val="0"/>
                      <w:iCs w:val="0"/>
                      <w:color w:val="auto"/>
                      <w:sz w:val="18"/>
                      <w:szCs w:val="18"/>
                      <w:u w:val="none"/>
                    </w:rPr>
                  </w:pPr>
                </w:p>
              </w:tc>
            </w:tr>
            <w:tr w14:paraId="1D3AF0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55" w:type="pct"/>
                  <w:tcBorders>
                    <w:top w:val="single" w:color="auto" w:sz="4" w:space="0"/>
                    <w:left w:val="nil"/>
                    <w:bottom w:val="single" w:color="auto" w:sz="4" w:space="0"/>
                    <w:right w:val="single" w:color="auto" w:sz="4" w:space="0"/>
                  </w:tcBorders>
                  <w:shd w:val="clear" w:color="auto" w:fill="auto"/>
                  <w:vAlign w:val="center"/>
                </w:tcPr>
                <w:p w14:paraId="0468061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lang w:val="en-US"/>
                    </w:rPr>
                  </w:pPr>
                </w:p>
              </w:tc>
              <w:tc>
                <w:tcPr>
                  <w:tcW w:w="41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BD40C03">
                  <w:pPr>
                    <w:jc w:val="center"/>
                    <w:rPr>
                      <w:rFonts w:hint="default" w:ascii="Times New Roman" w:hAnsi="Times New Roman" w:eastAsia="宋体" w:cs="Times New Roman"/>
                      <w:i w:val="0"/>
                      <w:iCs w:val="0"/>
                      <w:color w:val="auto"/>
                      <w:sz w:val="18"/>
                      <w:szCs w:val="18"/>
                      <w:u w:val="none"/>
                    </w:rPr>
                  </w:pPr>
                </w:p>
              </w:tc>
              <w:tc>
                <w:tcPr>
                  <w:tcW w:w="330" w:type="pct"/>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5E913CD7">
                  <w:pPr>
                    <w:jc w:val="center"/>
                    <w:rPr>
                      <w:rFonts w:hint="default" w:ascii="Times New Roman" w:hAnsi="Times New Roman" w:eastAsia="宋体" w:cs="Times New Roman"/>
                      <w:i w:val="0"/>
                      <w:iCs w:val="0"/>
                      <w:color w:val="auto"/>
                      <w:sz w:val="18"/>
                      <w:szCs w:val="18"/>
                      <w:u w:val="none"/>
                    </w:rPr>
                  </w:pPr>
                </w:p>
              </w:tc>
              <w:tc>
                <w:tcPr>
                  <w:tcW w:w="384" w:type="pct"/>
                  <w:tcBorders>
                    <w:top w:val="single" w:color="auto" w:sz="4" w:space="0"/>
                    <w:left w:val="single" w:color="auto" w:sz="4" w:space="0"/>
                    <w:bottom w:val="single" w:color="auto" w:sz="4" w:space="0"/>
                    <w:right w:val="single" w:color="auto" w:sz="4" w:space="0"/>
                  </w:tcBorders>
                  <w:shd w:val="clear" w:color="auto" w:fill="auto"/>
                  <w:vAlign w:val="center"/>
                </w:tcPr>
                <w:p w14:paraId="5A19395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26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B7050D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p>
              </w:tc>
              <w:tc>
                <w:tcPr>
                  <w:tcW w:w="175" w:type="pct"/>
                  <w:tcBorders>
                    <w:top w:val="single" w:color="auto" w:sz="4" w:space="0"/>
                    <w:left w:val="single" w:color="auto" w:sz="4" w:space="0"/>
                    <w:bottom w:val="single" w:color="auto" w:sz="4" w:space="0"/>
                    <w:right w:val="single" w:color="auto" w:sz="4" w:space="0"/>
                  </w:tcBorders>
                  <w:shd w:val="clear" w:color="auto" w:fill="auto"/>
                  <w:vAlign w:val="center"/>
                </w:tcPr>
                <w:p w14:paraId="4367D2E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p>
              </w:tc>
              <w:tc>
                <w:tcPr>
                  <w:tcW w:w="245" w:type="pct"/>
                  <w:tcBorders>
                    <w:top w:val="single" w:color="auto" w:sz="4" w:space="0"/>
                    <w:left w:val="single" w:color="auto" w:sz="4" w:space="0"/>
                    <w:bottom w:val="single" w:color="auto" w:sz="4" w:space="0"/>
                    <w:right w:val="single" w:color="auto" w:sz="4" w:space="0"/>
                  </w:tcBorders>
                  <w:shd w:val="clear" w:color="auto" w:fill="auto"/>
                  <w:vAlign w:val="center"/>
                </w:tcPr>
                <w:p w14:paraId="112EFBD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p>
              </w:tc>
              <w:tc>
                <w:tcPr>
                  <w:tcW w:w="156"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89D7454">
                  <w:pPr>
                    <w:jc w:val="center"/>
                    <w:rPr>
                      <w:rFonts w:hint="default" w:ascii="Times New Roman" w:hAnsi="Times New Roman" w:eastAsia="宋体" w:cs="Times New Roman"/>
                      <w:i w:val="0"/>
                      <w:iCs w:val="0"/>
                      <w:color w:val="auto"/>
                      <w:sz w:val="18"/>
                      <w:szCs w:val="18"/>
                      <w:u w:val="none"/>
                    </w:rPr>
                  </w:pPr>
                </w:p>
              </w:tc>
              <w:tc>
                <w:tcPr>
                  <w:tcW w:w="551" w:type="pct"/>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60AC3952">
                  <w:pPr>
                    <w:jc w:val="center"/>
                    <w:rPr>
                      <w:rFonts w:hint="default" w:ascii="Times New Roman" w:hAnsi="Times New Roman" w:eastAsia="宋体" w:cs="Times New Roman"/>
                      <w:i w:val="0"/>
                      <w:iCs w:val="0"/>
                      <w:color w:val="auto"/>
                      <w:sz w:val="18"/>
                      <w:szCs w:val="18"/>
                      <w:u w:val="none"/>
                    </w:rPr>
                  </w:pPr>
                </w:p>
              </w:tc>
              <w:tc>
                <w:tcPr>
                  <w:tcW w:w="23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FEB1675">
                  <w:pPr>
                    <w:jc w:val="center"/>
                    <w:rPr>
                      <w:rFonts w:hint="default" w:ascii="Times New Roman" w:hAnsi="Times New Roman" w:eastAsia="宋体" w:cs="Times New Roman"/>
                      <w:i w:val="0"/>
                      <w:iCs w:val="0"/>
                      <w:color w:val="auto"/>
                      <w:sz w:val="18"/>
                      <w:szCs w:val="18"/>
                      <w:u w:val="none"/>
                    </w:rPr>
                  </w:pPr>
                </w:p>
              </w:tc>
              <w:tc>
                <w:tcPr>
                  <w:tcW w:w="1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7A5300E">
                  <w:pPr>
                    <w:jc w:val="center"/>
                    <w:rPr>
                      <w:rFonts w:hint="default" w:ascii="Times New Roman" w:hAnsi="Times New Roman" w:eastAsia="宋体" w:cs="Times New Roman"/>
                      <w:i w:val="0"/>
                      <w:iCs w:val="0"/>
                      <w:color w:val="auto"/>
                      <w:sz w:val="18"/>
                      <w:szCs w:val="18"/>
                      <w:u w:val="none"/>
                    </w:rPr>
                  </w:pPr>
                </w:p>
              </w:tc>
              <w:tc>
                <w:tcPr>
                  <w:tcW w:w="1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F66B1E8">
                  <w:pPr>
                    <w:jc w:val="center"/>
                    <w:rPr>
                      <w:rFonts w:hint="default" w:ascii="Times New Roman" w:hAnsi="Times New Roman" w:eastAsia="宋体" w:cs="Times New Roman"/>
                      <w:i w:val="0"/>
                      <w:iCs w:val="0"/>
                      <w:color w:val="auto"/>
                      <w:sz w:val="18"/>
                      <w:szCs w:val="18"/>
                      <w:u w:val="none"/>
                    </w:rPr>
                  </w:pPr>
                </w:p>
              </w:tc>
              <w:tc>
                <w:tcPr>
                  <w:tcW w:w="21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B909D1A">
                  <w:pPr>
                    <w:jc w:val="center"/>
                    <w:rPr>
                      <w:rFonts w:hint="default" w:ascii="Times New Roman" w:hAnsi="Times New Roman" w:eastAsia="宋体" w:cs="Times New Roman"/>
                      <w:i w:val="0"/>
                      <w:iCs w:val="0"/>
                      <w:color w:val="auto"/>
                      <w:sz w:val="18"/>
                      <w:szCs w:val="18"/>
                      <w:u w:val="none"/>
                    </w:rPr>
                  </w:pPr>
                </w:p>
              </w:tc>
              <w:tc>
                <w:tcPr>
                  <w:tcW w:w="26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B36655E">
                  <w:pPr>
                    <w:jc w:val="center"/>
                    <w:rPr>
                      <w:rFonts w:hint="default" w:ascii="Times New Roman" w:hAnsi="Times New Roman" w:eastAsia="宋体" w:cs="Times New Roman"/>
                      <w:i w:val="0"/>
                      <w:iCs w:val="0"/>
                      <w:color w:val="auto"/>
                      <w:sz w:val="18"/>
                      <w:szCs w:val="18"/>
                      <w:u w:val="none"/>
                    </w:rPr>
                  </w:pPr>
                </w:p>
              </w:tc>
              <w:tc>
                <w:tcPr>
                  <w:tcW w:w="19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258E806">
                  <w:pPr>
                    <w:jc w:val="center"/>
                    <w:rPr>
                      <w:rFonts w:hint="default" w:ascii="Times New Roman" w:hAnsi="Times New Roman" w:eastAsia="宋体" w:cs="Times New Roman"/>
                      <w:i w:val="0"/>
                      <w:iCs w:val="0"/>
                      <w:color w:val="auto"/>
                      <w:sz w:val="18"/>
                      <w:szCs w:val="18"/>
                      <w:u w:val="none"/>
                    </w:rPr>
                  </w:pPr>
                </w:p>
              </w:tc>
              <w:tc>
                <w:tcPr>
                  <w:tcW w:w="2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7156279">
                  <w:pPr>
                    <w:jc w:val="center"/>
                    <w:rPr>
                      <w:rFonts w:hint="default" w:ascii="Times New Roman" w:hAnsi="Times New Roman" w:eastAsia="宋体" w:cs="Times New Roman"/>
                      <w:i w:val="0"/>
                      <w:iCs w:val="0"/>
                      <w:color w:val="auto"/>
                      <w:sz w:val="18"/>
                      <w:szCs w:val="18"/>
                      <w:u w:val="none"/>
                    </w:rPr>
                  </w:pPr>
                </w:p>
              </w:tc>
              <w:tc>
                <w:tcPr>
                  <w:tcW w:w="19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7C8E96C">
                  <w:pPr>
                    <w:jc w:val="center"/>
                    <w:rPr>
                      <w:rFonts w:hint="default" w:ascii="Times New Roman" w:hAnsi="Times New Roman" w:eastAsia="宋体" w:cs="Times New Roman"/>
                      <w:i w:val="0"/>
                      <w:iCs w:val="0"/>
                      <w:color w:val="auto"/>
                      <w:sz w:val="18"/>
                      <w:szCs w:val="18"/>
                      <w:u w:val="none"/>
                    </w:rPr>
                  </w:pPr>
                </w:p>
              </w:tc>
              <w:tc>
                <w:tcPr>
                  <w:tcW w:w="18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B749497">
                  <w:pPr>
                    <w:jc w:val="center"/>
                    <w:rPr>
                      <w:rFonts w:hint="default" w:ascii="Times New Roman" w:hAnsi="Times New Roman" w:eastAsia="宋体" w:cs="Times New Roman"/>
                      <w:i w:val="0"/>
                      <w:iCs w:val="0"/>
                      <w:color w:val="auto"/>
                      <w:sz w:val="18"/>
                      <w:szCs w:val="18"/>
                      <w:u w:val="none"/>
                    </w:rPr>
                  </w:pPr>
                </w:p>
              </w:tc>
              <w:tc>
                <w:tcPr>
                  <w:tcW w:w="12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33F9D9C">
                  <w:pPr>
                    <w:jc w:val="center"/>
                    <w:rPr>
                      <w:rFonts w:hint="default" w:ascii="Times New Roman" w:hAnsi="Times New Roman" w:eastAsia="宋体" w:cs="Times New Roman"/>
                      <w:i w:val="0"/>
                      <w:iCs w:val="0"/>
                      <w:color w:val="auto"/>
                      <w:sz w:val="18"/>
                      <w:szCs w:val="18"/>
                      <w:u w:val="none"/>
                    </w:rPr>
                  </w:pPr>
                </w:p>
              </w:tc>
              <w:tc>
                <w:tcPr>
                  <w:tcW w:w="1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6A07F4B">
                  <w:pPr>
                    <w:jc w:val="center"/>
                    <w:rPr>
                      <w:rFonts w:hint="default" w:ascii="Times New Roman" w:hAnsi="Times New Roman" w:eastAsia="宋体" w:cs="Times New Roman"/>
                      <w:i w:val="0"/>
                      <w:iCs w:val="0"/>
                      <w:color w:val="auto"/>
                      <w:sz w:val="18"/>
                      <w:szCs w:val="18"/>
                      <w:u w:val="none"/>
                    </w:rPr>
                  </w:pPr>
                </w:p>
              </w:tc>
              <w:tc>
                <w:tcPr>
                  <w:tcW w:w="189" w:type="pct"/>
                  <w:tcBorders>
                    <w:top w:val="single" w:color="auto" w:sz="4" w:space="0"/>
                    <w:left w:val="single" w:color="auto" w:sz="4" w:space="0"/>
                    <w:bottom w:val="single" w:color="auto" w:sz="4" w:space="0"/>
                    <w:right w:val="nil"/>
                  </w:tcBorders>
                  <w:shd w:val="clear" w:color="auto" w:fill="auto"/>
                  <w:noWrap/>
                  <w:vAlign w:val="center"/>
                </w:tcPr>
                <w:p w14:paraId="3FCAE86F">
                  <w:pPr>
                    <w:jc w:val="center"/>
                    <w:rPr>
                      <w:rFonts w:hint="default" w:ascii="Times New Roman" w:hAnsi="Times New Roman" w:eastAsia="宋体" w:cs="Times New Roman"/>
                      <w:i w:val="0"/>
                      <w:iCs w:val="0"/>
                      <w:color w:val="auto"/>
                      <w:sz w:val="18"/>
                      <w:szCs w:val="18"/>
                      <w:u w:val="none"/>
                    </w:rPr>
                  </w:pPr>
                </w:p>
              </w:tc>
            </w:tr>
            <w:tr w14:paraId="3C284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5" w:type="pct"/>
                  <w:tcBorders>
                    <w:top w:val="single" w:color="auto" w:sz="4" w:space="0"/>
                    <w:left w:val="nil"/>
                    <w:bottom w:val="single" w:color="auto" w:sz="4" w:space="0"/>
                    <w:right w:val="single" w:color="auto" w:sz="4" w:space="0"/>
                  </w:tcBorders>
                  <w:shd w:val="clear" w:color="auto" w:fill="auto"/>
                  <w:vAlign w:val="center"/>
                </w:tcPr>
                <w:p w14:paraId="2E878FA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lang w:val="en-US"/>
                    </w:rPr>
                  </w:pPr>
                </w:p>
              </w:tc>
              <w:tc>
                <w:tcPr>
                  <w:tcW w:w="41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F4EE855">
                  <w:pPr>
                    <w:jc w:val="center"/>
                    <w:rPr>
                      <w:rFonts w:hint="default" w:ascii="Times New Roman" w:hAnsi="Times New Roman" w:eastAsia="宋体" w:cs="Times New Roman"/>
                      <w:i w:val="0"/>
                      <w:iCs w:val="0"/>
                      <w:color w:val="auto"/>
                      <w:sz w:val="18"/>
                      <w:szCs w:val="18"/>
                      <w:u w:val="none"/>
                    </w:rPr>
                  </w:pPr>
                </w:p>
              </w:tc>
              <w:tc>
                <w:tcPr>
                  <w:tcW w:w="330" w:type="pct"/>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5338428E">
                  <w:pPr>
                    <w:jc w:val="center"/>
                    <w:rPr>
                      <w:rFonts w:hint="default" w:ascii="Times New Roman" w:hAnsi="Times New Roman" w:eastAsia="宋体" w:cs="Times New Roman"/>
                      <w:i w:val="0"/>
                      <w:iCs w:val="0"/>
                      <w:color w:val="auto"/>
                      <w:sz w:val="18"/>
                      <w:szCs w:val="18"/>
                      <w:u w:val="none"/>
                    </w:rPr>
                  </w:pPr>
                </w:p>
              </w:tc>
              <w:tc>
                <w:tcPr>
                  <w:tcW w:w="384" w:type="pct"/>
                  <w:tcBorders>
                    <w:top w:val="single" w:color="auto" w:sz="4" w:space="0"/>
                    <w:left w:val="single" w:color="auto" w:sz="4" w:space="0"/>
                    <w:bottom w:val="single" w:color="auto" w:sz="4" w:space="0"/>
                    <w:right w:val="single" w:color="auto" w:sz="4" w:space="0"/>
                  </w:tcBorders>
                  <w:shd w:val="clear" w:color="auto" w:fill="auto"/>
                  <w:vAlign w:val="center"/>
                </w:tcPr>
                <w:p w14:paraId="7E45993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26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4C8258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p>
              </w:tc>
              <w:tc>
                <w:tcPr>
                  <w:tcW w:w="175" w:type="pct"/>
                  <w:tcBorders>
                    <w:top w:val="single" w:color="auto" w:sz="4" w:space="0"/>
                    <w:left w:val="single" w:color="auto" w:sz="4" w:space="0"/>
                    <w:bottom w:val="single" w:color="auto" w:sz="4" w:space="0"/>
                    <w:right w:val="single" w:color="auto" w:sz="4" w:space="0"/>
                  </w:tcBorders>
                  <w:shd w:val="clear" w:color="auto" w:fill="auto"/>
                  <w:vAlign w:val="center"/>
                </w:tcPr>
                <w:p w14:paraId="0DCC0CC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p>
              </w:tc>
              <w:tc>
                <w:tcPr>
                  <w:tcW w:w="245" w:type="pct"/>
                  <w:tcBorders>
                    <w:top w:val="single" w:color="auto" w:sz="4" w:space="0"/>
                    <w:left w:val="single" w:color="auto" w:sz="4" w:space="0"/>
                    <w:bottom w:val="single" w:color="auto" w:sz="4" w:space="0"/>
                    <w:right w:val="single" w:color="auto" w:sz="4" w:space="0"/>
                  </w:tcBorders>
                  <w:shd w:val="clear" w:color="auto" w:fill="auto"/>
                  <w:vAlign w:val="center"/>
                </w:tcPr>
                <w:p w14:paraId="5CDBE99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p>
              </w:tc>
              <w:tc>
                <w:tcPr>
                  <w:tcW w:w="156"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A1F6A49">
                  <w:pPr>
                    <w:jc w:val="center"/>
                    <w:rPr>
                      <w:rFonts w:hint="default" w:ascii="Times New Roman" w:hAnsi="Times New Roman" w:eastAsia="宋体" w:cs="Times New Roman"/>
                      <w:i w:val="0"/>
                      <w:iCs w:val="0"/>
                      <w:color w:val="auto"/>
                      <w:sz w:val="18"/>
                      <w:szCs w:val="18"/>
                      <w:u w:val="none"/>
                    </w:rPr>
                  </w:pPr>
                </w:p>
              </w:tc>
              <w:tc>
                <w:tcPr>
                  <w:tcW w:w="551" w:type="pct"/>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09336B29">
                  <w:pPr>
                    <w:jc w:val="center"/>
                    <w:rPr>
                      <w:rFonts w:hint="default" w:ascii="Times New Roman" w:hAnsi="Times New Roman" w:eastAsia="宋体" w:cs="Times New Roman"/>
                      <w:i w:val="0"/>
                      <w:iCs w:val="0"/>
                      <w:color w:val="auto"/>
                      <w:sz w:val="18"/>
                      <w:szCs w:val="18"/>
                      <w:u w:val="none"/>
                    </w:rPr>
                  </w:pPr>
                </w:p>
              </w:tc>
              <w:tc>
                <w:tcPr>
                  <w:tcW w:w="23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970014D">
                  <w:pPr>
                    <w:jc w:val="center"/>
                    <w:rPr>
                      <w:rFonts w:hint="default" w:ascii="Times New Roman" w:hAnsi="Times New Roman" w:eastAsia="宋体" w:cs="Times New Roman"/>
                      <w:i w:val="0"/>
                      <w:iCs w:val="0"/>
                      <w:color w:val="auto"/>
                      <w:sz w:val="18"/>
                      <w:szCs w:val="18"/>
                      <w:u w:val="none"/>
                    </w:rPr>
                  </w:pPr>
                </w:p>
              </w:tc>
              <w:tc>
                <w:tcPr>
                  <w:tcW w:w="1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5CF6955">
                  <w:pPr>
                    <w:jc w:val="center"/>
                    <w:rPr>
                      <w:rFonts w:hint="default" w:ascii="Times New Roman" w:hAnsi="Times New Roman" w:eastAsia="宋体" w:cs="Times New Roman"/>
                      <w:i w:val="0"/>
                      <w:iCs w:val="0"/>
                      <w:color w:val="auto"/>
                      <w:sz w:val="18"/>
                      <w:szCs w:val="18"/>
                      <w:u w:val="none"/>
                    </w:rPr>
                  </w:pPr>
                </w:p>
              </w:tc>
              <w:tc>
                <w:tcPr>
                  <w:tcW w:w="1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AEEBED8">
                  <w:pPr>
                    <w:jc w:val="center"/>
                    <w:rPr>
                      <w:rFonts w:hint="default" w:ascii="Times New Roman" w:hAnsi="Times New Roman" w:eastAsia="宋体" w:cs="Times New Roman"/>
                      <w:i w:val="0"/>
                      <w:iCs w:val="0"/>
                      <w:color w:val="auto"/>
                      <w:sz w:val="18"/>
                      <w:szCs w:val="18"/>
                      <w:u w:val="none"/>
                    </w:rPr>
                  </w:pPr>
                </w:p>
              </w:tc>
              <w:tc>
                <w:tcPr>
                  <w:tcW w:w="21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3FCA17F">
                  <w:pPr>
                    <w:jc w:val="center"/>
                    <w:rPr>
                      <w:rFonts w:hint="default" w:ascii="Times New Roman" w:hAnsi="Times New Roman" w:eastAsia="宋体" w:cs="Times New Roman"/>
                      <w:i w:val="0"/>
                      <w:iCs w:val="0"/>
                      <w:color w:val="auto"/>
                      <w:sz w:val="18"/>
                      <w:szCs w:val="18"/>
                      <w:u w:val="none"/>
                    </w:rPr>
                  </w:pPr>
                </w:p>
              </w:tc>
              <w:tc>
                <w:tcPr>
                  <w:tcW w:w="26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2606D61">
                  <w:pPr>
                    <w:jc w:val="center"/>
                    <w:rPr>
                      <w:rFonts w:hint="default" w:ascii="Times New Roman" w:hAnsi="Times New Roman" w:eastAsia="宋体" w:cs="Times New Roman"/>
                      <w:i w:val="0"/>
                      <w:iCs w:val="0"/>
                      <w:color w:val="auto"/>
                      <w:sz w:val="18"/>
                      <w:szCs w:val="18"/>
                      <w:u w:val="none"/>
                    </w:rPr>
                  </w:pPr>
                </w:p>
              </w:tc>
              <w:tc>
                <w:tcPr>
                  <w:tcW w:w="19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51BC045">
                  <w:pPr>
                    <w:jc w:val="center"/>
                    <w:rPr>
                      <w:rFonts w:hint="default" w:ascii="Times New Roman" w:hAnsi="Times New Roman" w:eastAsia="宋体" w:cs="Times New Roman"/>
                      <w:i w:val="0"/>
                      <w:iCs w:val="0"/>
                      <w:color w:val="auto"/>
                      <w:sz w:val="18"/>
                      <w:szCs w:val="18"/>
                      <w:u w:val="none"/>
                    </w:rPr>
                  </w:pPr>
                </w:p>
              </w:tc>
              <w:tc>
                <w:tcPr>
                  <w:tcW w:w="2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198DE01">
                  <w:pPr>
                    <w:jc w:val="center"/>
                    <w:rPr>
                      <w:rFonts w:hint="default" w:ascii="Times New Roman" w:hAnsi="Times New Roman" w:eastAsia="宋体" w:cs="Times New Roman"/>
                      <w:i w:val="0"/>
                      <w:iCs w:val="0"/>
                      <w:color w:val="auto"/>
                      <w:sz w:val="18"/>
                      <w:szCs w:val="18"/>
                      <w:u w:val="none"/>
                    </w:rPr>
                  </w:pPr>
                </w:p>
              </w:tc>
              <w:tc>
                <w:tcPr>
                  <w:tcW w:w="19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7B34EA2">
                  <w:pPr>
                    <w:jc w:val="center"/>
                    <w:rPr>
                      <w:rFonts w:hint="default" w:ascii="Times New Roman" w:hAnsi="Times New Roman" w:eastAsia="宋体" w:cs="Times New Roman"/>
                      <w:i w:val="0"/>
                      <w:iCs w:val="0"/>
                      <w:color w:val="auto"/>
                      <w:sz w:val="18"/>
                      <w:szCs w:val="18"/>
                      <w:u w:val="none"/>
                    </w:rPr>
                  </w:pPr>
                </w:p>
              </w:tc>
              <w:tc>
                <w:tcPr>
                  <w:tcW w:w="18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4C998E1">
                  <w:pPr>
                    <w:jc w:val="center"/>
                    <w:rPr>
                      <w:rFonts w:hint="default" w:ascii="Times New Roman" w:hAnsi="Times New Roman" w:eastAsia="宋体" w:cs="Times New Roman"/>
                      <w:i w:val="0"/>
                      <w:iCs w:val="0"/>
                      <w:color w:val="auto"/>
                      <w:sz w:val="18"/>
                      <w:szCs w:val="18"/>
                      <w:u w:val="none"/>
                    </w:rPr>
                  </w:pPr>
                </w:p>
              </w:tc>
              <w:tc>
                <w:tcPr>
                  <w:tcW w:w="12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321037A">
                  <w:pPr>
                    <w:jc w:val="center"/>
                    <w:rPr>
                      <w:rFonts w:hint="default" w:ascii="Times New Roman" w:hAnsi="Times New Roman" w:eastAsia="宋体" w:cs="Times New Roman"/>
                      <w:i w:val="0"/>
                      <w:iCs w:val="0"/>
                      <w:color w:val="auto"/>
                      <w:sz w:val="18"/>
                      <w:szCs w:val="18"/>
                      <w:u w:val="none"/>
                    </w:rPr>
                  </w:pPr>
                </w:p>
              </w:tc>
              <w:tc>
                <w:tcPr>
                  <w:tcW w:w="1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1A9328A">
                  <w:pPr>
                    <w:jc w:val="center"/>
                    <w:rPr>
                      <w:rFonts w:hint="default" w:ascii="Times New Roman" w:hAnsi="Times New Roman" w:eastAsia="宋体" w:cs="Times New Roman"/>
                      <w:i w:val="0"/>
                      <w:iCs w:val="0"/>
                      <w:color w:val="auto"/>
                      <w:sz w:val="18"/>
                      <w:szCs w:val="18"/>
                      <w:u w:val="none"/>
                    </w:rPr>
                  </w:pPr>
                </w:p>
              </w:tc>
              <w:tc>
                <w:tcPr>
                  <w:tcW w:w="189" w:type="pct"/>
                  <w:tcBorders>
                    <w:top w:val="single" w:color="auto" w:sz="4" w:space="0"/>
                    <w:left w:val="single" w:color="auto" w:sz="4" w:space="0"/>
                    <w:bottom w:val="single" w:color="auto" w:sz="4" w:space="0"/>
                    <w:right w:val="nil"/>
                  </w:tcBorders>
                  <w:shd w:val="clear" w:color="auto" w:fill="auto"/>
                  <w:noWrap/>
                  <w:vAlign w:val="center"/>
                </w:tcPr>
                <w:p w14:paraId="4B7A2C73">
                  <w:pPr>
                    <w:jc w:val="center"/>
                    <w:rPr>
                      <w:rFonts w:hint="default" w:ascii="Times New Roman" w:hAnsi="Times New Roman" w:eastAsia="宋体" w:cs="Times New Roman"/>
                      <w:i w:val="0"/>
                      <w:iCs w:val="0"/>
                      <w:color w:val="auto"/>
                      <w:sz w:val="18"/>
                      <w:szCs w:val="18"/>
                      <w:u w:val="none"/>
                    </w:rPr>
                  </w:pPr>
                </w:p>
              </w:tc>
            </w:tr>
            <w:tr w14:paraId="6F38E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55" w:type="pct"/>
                  <w:tcBorders>
                    <w:top w:val="single" w:color="auto" w:sz="4" w:space="0"/>
                    <w:left w:val="nil"/>
                    <w:bottom w:val="single" w:color="auto" w:sz="4" w:space="0"/>
                    <w:right w:val="single" w:color="auto" w:sz="4" w:space="0"/>
                  </w:tcBorders>
                  <w:shd w:val="clear" w:color="auto" w:fill="auto"/>
                  <w:vAlign w:val="center"/>
                </w:tcPr>
                <w:p w14:paraId="7A7D852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lang w:val="en-US"/>
                    </w:rPr>
                  </w:pPr>
                </w:p>
              </w:tc>
              <w:tc>
                <w:tcPr>
                  <w:tcW w:w="41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3F07993">
                  <w:pPr>
                    <w:jc w:val="center"/>
                    <w:rPr>
                      <w:rFonts w:hint="default" w:ascii="Times New Roman" w:hAnsi="Times New Roman" w:eastAsia="宋体" w:cs="Times New Roman"/>
                      <w:i w:val="0"/>
                      <w:iCs w:val="0"/>
                      <w:color w:val="auto"/>
                      <w:sz w:val="18"/>
                      <w:szCs w:val="18"/>
                      <w:u w:val="none"/>
                    </w:rPr>
                  </w:pPr>
                </w:p>
              </w:tc>
              <w:tc>
                <w:tcPr>
                  <w:tcW w:w="330" w:type="pct"/>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3DC4FD17">
                  <w:pPr>
                    <w:jc w:val="center"/>
                    <w:rPr>
                      <w:rFonts w:hint="default" w:ascii="Times New Roman" w:hAnsi="Times New Roman" w:eastAsia="宋体" w:cs="Times New Roman"/>
                      <w:i w:val="0"/>
                      <w:iCs w:val="0"/>
                      <w:color w:val="auto"/>
                      <w:sz w:val="18"/>
                      <w:szCs w:val="18"/>
                      <w:u w:val="none"/>
                    </w:rPr>
                  </w:pPr>
                </w:p>
              </w:tc>
              <w:tc>
                <w:tcPr>
                  <w:tcW w:w="384" w:type="pct"/>
                  <w:tcBorders>
                    <w:top w:val="single" w:color="auto" w:sz="4" w:space="0"/>
                    <w:left w:val="single" w:color="auto" w:sz="4" w:space="0"/>
                    <w:bottom w:val="single" w:color="auto" w:sz="4" w:space="0"/>
                    <w:right w:val="single" w:color="auto" w:sz="4" w:space="0"/>
                  </w:tcBorders>
                  <w:shd w:val="clear" w:color="auto" w:fill="auto"/>
                  <w:vAlign w:val="center"/>
                </w:tcPr>
                <w:p w14:paraId="6E17D77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26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A9AD85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p>
              </w:tc>
              <w:tc>
                <w:tcPr>
                  <w:tcW w:w="175" w:type="pct"/>
                  <w:tcBorders>
                    <w:top w:val="single" w:color="auto" w:sz="4" w:space="0"/>
                    <w:left w:val="single" w:color="auto" w:sz="4" w:space="0"/>
                    <w:bottom w:val="single" w:color="auto" w:sz="4" w:space="0"/>
                    <w:right w:val="single" w:color="auto" w:sz="4" w:space="0"/>
                  </w:tcBorders>
                  <w:shd w:val="clear" w:color="auto" w:fill="auto"/>
                  <w:vAlign w:val="center"/>
                </w:tcPr>
                <w:p w14:paraId="32583E7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p>
              </w:tc>
              <w:tc>
                <w:tcPr>
                  <w:tcW w:w="245" w:type="pct"/>
                  <w:tcBorders>
                    <w:top w:val="single" w:color="auto" w:sz="4" w:space="0"/>
                    <w:left w:val="single" w:color="auto" w:sz="4" w:space="0"/>
                    <w:bottom w:val="single" w:color="auto" w:sz="4" w:space="0"/>
                    <w:right w:val="single" w:color="auto" w:sz="4" w:space="0"/>
                  </w:tcBorders>
                  <w:shd w:val="clear" w:color="auto" w:fill="auto"/>
                  <w:vAlign w:val="center"/>
                </w:tcPr>
                <w:p w14:paraId="67F863F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p>
              </w:tc>
              <w:tc>
                <w:tcPr>
                  <w:tcW w:w="156"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39C0AE2">
                  <w:pPr>
                    <w:jc w:val="center"/>
                    <w:rPr>
                      <w:rFonts w:hint="default" w:ascii="Times New Roman" w:hAnsi="Times New Roman" w:eastAsia="宋体" w:cs="Times New Roman"/>
                      <w:i w:val="0"/>
                      <w:iCs w:val="0"/>
                      <w:color w:val="auto"/>
                      <w:sz w:val="18"/>
                      <w:szCs w:val="18"/>
                      <w:u w:val="none"/>
                    </w:rPr>
                  </w:pPr>
                </w:p>
              </w:tc>
              <w:tc>
                <w:tcPr>
                  <w:tcW w:w="551" w:type="pct"/>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0F404B8F">
                  <w:pPr>
                    <w:jc w:val="center"/>
                    <w:rPr>
                      <w:rFonts w:hint="default" w:ascii="Times New Roman" w:hAnsi="Times New Roman" w:eastAsia="宋体" w:cs="Times New Roman"/>
                      <w:i w:val="0"/>
                      <w:iCs w:val="0"/>
                      <w:color w:val="auto"/>
                      <w:sz w:val="18"/>
                      <w:szCs w:val="18"/>
                      <w:u w:val="none"/>
                    </w:rPr>
                  </w:pPr>
                </w:p>
              </w:tc>
              <w:tc>
                <w:tcPr>
                  <w:tcW w:w="23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5A5EF69">
                  <w:pPr>
                    <w:jc w:val="center"/>
                    <w:rPr>
                      <w:rFonts w:hint="default" w:ascii="Times New Roman" w:hAnsi="Times New Roman" w:eastAsia="宋体" w:cs="Times New Roman"/>
                      <w:i w:val="0"/>
                      <w:iCs w:val="0"/>
                      <w:color w:val="auto"/>
                      <w:sz w:val="18"/>
                      <w:szCs w:val="18"/>
                      <w:u w:val="none"/>
                    </w:rPr>
                  </w:pPr>
                </w:p>
              </w:tc>
              <w:tc>
                <w:tcPr>
                  <w:tcW w:w="1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E5F2BCF">
                  <w:pPr>
                    <w:jc w:val="center"/>
                    <w:rPr>
                      <w:rFonts w:hint="default" w:ascii="Times New Roman" w:hAnsi="Times New Roman" w:eastAsia="宋体" w:cs="Times New Roman"/>
                      <w:i w:val="0"/>
                      <w:iCs w:val="0"/>
                      <w:color w:val="auto"/>
                      <w:sz w:val="18"/>
                      <w:szCs w:val="18"/>
                      <w:u w:val="none"/>
                    </w:rPr>
                  </w:pPr>
                </w:p>
              </w:tc>
              <w:tc>
                <w:tcPr>
                  <w:tcW w:w="1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1681AA1">
                  <w:pPr>
                    <w:jc w:val="center"/>
                    <w:rPr>
                      <w:rFonts w:hint="default" w:ascii="Times New Roman" w:hAnsi="Times New Roman" w:eastAsia="宋体" w:cs="Times New Roman"/>
                      <w:i w:val="0"/>
                      <w:iCs w:val="0"/>
                      <w:color w:val="auto"/>
                      <w:sz w:val="18"/>
                      <w:szCs w:val="18"/>
                      <w:u w:val="none"/>
                    </w:rPr>
                  </w:pPr>
                </w:p>
              </w:tc>
              <w:tc>
                <w:tcPr>
                  <w:tcW w:w="21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C421E83">
                  <w:pPr>
                    <w:jc w:val="center"/>
                    <w:rPr>
                      <w:rFonts w:hint="default" w:ascii="Times New Roman" w:hAnsi="Times New Roman" w:eastAsia="宋体" w:cs="Times New Roman"/>
                      <w:i w:val="0"/>
                      <w:iCs w:val="0"/>
                      <w:color w:val="auto"/>
                      <w:sz w:val="18"/>
                      <w:szCs w:val="18"/>
                      <w:u w:val="none"/>
                    </w:rPr>
                  </w:pPr>
                </w:p>
              </w:tc>
              <w:tc>
                <w:tcPr>
                  <w:tcW w:w="26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73C48BC">
                  <w:pPr>
                    <w:jc w:val="center"/>
                    <w:rPr>
                      <w:rFonts w:hint="default" w:ascii="Times New Roman" w:hAnsi="Times New Roman" w:eastAsia="宋体" w:cs="Times New Roman"/>
                      <w:i w:val="0"/>
                      <w:iCs w:val="0"/>
                      <w:color w:val="auto"/>
                      <w:sz w:val="18"/>
                      <w:szCs w:val="18"/>
                      <w:u w:val="none"/>
                    </w:rPr>
                  </w:pPr>
                </w:p>
              </w:tc>
              <w:tc>
                <w:tcPr>
                  <w:tcW w:w="19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B358308">
                  <w:pPr>
                    <w:jc w:val="center"/>
                    <w:rPr>
                      <w:rFonts w:hint="default" w:ascii="Times New Roman" w:hAnsi="Times New Roman" w:eastAsia="宋体" w:cs="Times New Roman"/>
                      <w:i w:val="0"/>
                      <w:iCs w:val="0"/>
                      <w:color w:val="auto"/>
                      <w:sz w:val="18"/>
                      <w:szCs w:val="18"/>
                      <w:u w:val="none"/>
                    </w:rPr>
                  </w:pPr>
                </w:p>
              </w:tc>
              <w:tc>
                <w:tcPr>
                  <w:tcW w:w="2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4337A44">
                  <w:pPr>
                    <w:jc w:val="center"/>
                    <w:rPr>
                      <w:rFonts w:hint="default" w:ascii="Times New Roman" w:hAnsi="Times New Roman" w:eastAsia="宋体" w:cs="Times New Roman"/>
                      <w:i w:val="0"/>
                      <w:iCs w:val="0"/>
                      <w:color w:val="auto"/>
                      <w:sz w:val="18"/>
                      <w:szCs w:val="18"/>
                      <w:u w:val="none"/>
                    </w:rPr>
                  </w:pPr>
                </w:p>
              </w:tc>
              <w:tc>
                <w:tcPr>
                  <w:tcW w:w="19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9C38CCC">
                  <w:pPr>
                    <w:jc w:val="center"/>
                    <w:rPr>
                      <w:rFonts w:hint="default" w:ascii="Times New Roman" w:hAnsi="Times New Roman" w:eastAsia="宋体" w:cs="Times New Roman"/>
                      <w:i w:val="0"/>
                      <w:iCs w:val="0"/>
                      <w:color w:val="auto"/>
                      <w:sz w:val="18"/>
                      <w:szCs w:val="18"/>
                      <w:u w:val="none"/>
                    </w:rPr>
                  </w:pPr>
                </w:p>
              </w:tc>
              <w:tc>
                <w:tcPr>
                  <w:tcW w:w="18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36C39CB">
                  <w:pPr>
                    <w:jc w:val="center"/>
                    <w:rPr>
                      <w:rFonts w:hint="default" w:ascii="Times New Roman" w:hAnsi="Times New Roman" w:eastAsia="宋体" w:cs="Times New Roman"/>
                      <w:i w:val="0"/>
                      <w:iCs w:val="0"/>
                      <w:color w:val="auto"/>
                      <w:sz w:val="18"/>
                      <w:szCs w:val="18"/>
                      <w:u w:val="none"/>
                    </w:rPr>
                  </w:pPr>
                </w:p>
              </w:tc>
              <w:tc>
                <w:tcPr>
                  <w:tcW w:w="12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70966A6">
                  <w:pPr>
                    <w:jc w:val="center"/>
                    <w:rPr>
                      <w:rFonts w:hint="default" w:ascii="Times New Roman" w:hAnsi="Times New Roman" w:eastAsia="宋体" w:cs="Times New Roman"/>
                      <w:i w:val="0"/>
                      <w:iCs w:val="0"/>
                      <w:color w:val="auto"/>
                      <w:sz w:val="18"/>
                      <w:szCs w:val="18"/>
                      <w:u w:val="none"/>
                    </w:rPr>
                  </w:pPr>
                </w:p>
              </w:tc>
              <w:tc>
                <w:tcPr>
                  <w:tcW w:w="1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60BE3C6">
                  <w:pPr>
                    <w:jc w:val="center"/>
                    <w:rPr>
                      <w:rFonts w:hint="default" w:ascii="Times New Roman" w:hAnsi="Times New Roman" w:eastAsia="宋体" w:cs="Times New Roman"/>
                      <w:i w:val="0"/>
                      <w:iCs w:val="0"/>
                      <w:color w:val="auto"/>
                      <w:sz w:val="18"/>
                      <w:szCs w:val="18"/>
                      <w:u w:val="none"/>
                    </w:rPr>
                  </w:pPr>
                </w:p>
              </w:tc>
              <w:tc>
                <w:tcPr>
                  <w:tcW w:w="189" w:type="pct"/>
                  <w:tcBorders>
                    <w:top w:val="single" w:color="auto" w:sz="4" w:space="0"/>
                    <w:left w:val="single" w:color="auto" w:sz="4" w:space="0"/>
                    <w:bottom w:val="single" w:color="auto" w:sz="4" w:space="0"/>
                    <w:right w:val="nil"/>
                  </w:tcBorders>
                  <w:shd w:val="clear" w:color="auto" w:fill="auto"/>
                  <w:noWrap/>
                  <w:vAlign w:val="center"/>
                </w:tcPr>
                <w:p w14:paraId="7A7100A4">
                  <w:pPr>
                    <w:jc w:val="center"/>
                    <w:rPr>
                      <w:rFonts w:hint="default" w:ascii="Times New Roman" w:hAnsi="Times New Roman" w:eastAsia="宋体" w:cs="Times New Roman"/>
                      <w:i w:val="0"/>
                      <w:iCs w:val="0"/>
                      <w:color w:val="auto"/>
                      <w:sz w:val="18"/>
                      <w:szCs w:val="18"/>
                      <w:u w:val="none"/>
                    </w:rPr>
                  </w:pPr>
                </w:p>
              </w:tc>
            </w:tr>
            <w:tr w14:paraId="46FCA6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5" w:type="pct"/>
                  <w:tcBorders>
                    <w:top w:val="single" w:color="auto" w:sz="4" w:space="0"/>
                    <w:left w:val="nil"/>
                    <w:bottom w:val="single" w:color="auto" w:sz="4" w:space="0"/>
                    <w:right w:val="single" w:color="auto" w:sz="4" w:space="0"/>
                  </w:tcBorders>
                  <w:shd w:val="clear" w:color="auto" w:fill="auto"/>
                  <w:vAlign w:val="center"/>
                </w:tcPr>
                <w:p w14:paraId="0F1961C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lang w:val="en-US"/>
                    </w:rPr>
                  </w:pPr>
                </w:p>
              </w:tc>
              <w:tc>
                <w:tcPr>
                  <w:tcW w:w="41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2F40E2B">
                  <w:pPr>
                    <w:jc w:val="center"/>
                    <w:rPr>
                      <w:rFonts w:hint="default" w:ascii="Times New Roman" w:hAnsi="Times New Roman" w:eastAsia="宋体" w:cs="Times New Roman"/>
                      <w:i w:val="0"/>
                      <w:iCs w:val="0"/>
                      <w:color w:val="auto"/>
                      <w:sz w:val="18"/>
                      <w:szCs w:val="18"/>
                      <w:u w:val="none"/>
                    </w:rPr>
                  </w:pPr>
                </w:p>
              </w:tc>
              <w:tc>
                <w:tcPr>
                  <w:tcW w:w="330" w:type="pct"/>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7AF47C9F">
                  <w:pPr>
                    <w:jc w:val="center"/>
                    <w:rPr>
                      <w:rFonts w:hint="default" w:ascii="Times New Roman" w:hAnsi="Times New Roman" w:eastAsia="宋体" w:cs="Times New Roman"/>
                      <w:i w:val="0"/>
                      <w:iCs w:val="0"/>
                      <w:color w:val="auto"/>
                      <w:sz w:val="18"/>
                      <w:szCs w:val="18"/>
                      <w:u w:val="none"/>
                    </w:rPr>
                  </w:pPr>
                </w:p>
              </w:tc>
              <w:tc>
                <w:tcPr>
                  <w:tcW w:w="384" w:type="pct"/>
                  <w:tcBorders>
                    <w:top w:val="single" w:color="auto" w:sz="4" w:space="0"/>
                    <w:left w:val="single" w:color="auto" w:sz="4" w:space="0"/>
                    <w:bottom w:val="single" w:color="auto" w:sz="4" w:space="0"/>
                    <w:right w:val="single" w:color="auto" w:sz="4" w:space="0"/>
                  </w:tcBorders>
                  <w:shd w:val="clear" w:color="auto" w:fill="auto"/>
                  <w:vAlign w:val="center"/>
                </w:tcPr>
                <w:p w14:paraId="68A588C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26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2FC8D9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p>
              </w:tc>
              <w:tc>
                <w:tcPr>
                  <w:tcW w:w="175" w:type="pct"/>
                  <w:tcBorders>
                    <w:top w:val="single" w:color="auto" w:sz="4" w:space="0"/>
                    <w:left w:val="single" w:color="auto" w:sz="4" w:space="0"/>
                    <w:bottom w:val="single" w:color="auto" w:sz="4" w:space="0"/>
                    <w:right w:val="single" w:color="auto" w:sz="4" w:space="0"/>
                  </w:tcBorders>
                  <w:shd w:val="clear" w:color="auto" w:fill="auto"/>
                  <w:vAlign w:val="center"/>
                </w:tcPr>
                <w:p w14:paraId="70B3054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p>
              </w:tc>
              <w:tc>
                <w:tcPr>
                  <w:tcW w:w="245" w:type="pct"/>
                  <w:tcBorders>
                    <w:top w:val="single" w:color="auto" w:sz="4" w:space="0"/>
                    <w:left w:val="single" w:color="auto" w:sz="4" w:space="0"/>
                    <w:bottom w:val="single" w:color="auto" w:sz="4" w:space="0"/>
                    <w:right w:val="single" w:color="auto" w:sz="4" w:space="0"/>
                  </w:tcBorders>
                  <w:shd w:val="clear" w:color="auto" w:fill="auto"/>
                  <w:vAlign w:val="center"/>
                </w:tcPr>
                <w:p w14:paraId="27B4495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p>
              </w:tc>
              <w:tc>
                <w:tcPr>
                  <w:tcW w:w="156"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DD2D908">
                  <w:pPr>
                    <w:jc w:val="center"/>
                    <w:rPr>
                      <w:rFonts w:hint="default" w:ascii="Times New Roman" w:hAnsi="Times New Roman" w:eastAsia="宋体" w:cs="Times New Roman"/>
                      <w:i w:val="0"/>
                      <w:iCs w:val="0"/>
                      <w:color w:val="auto"/>
                      <w:sz w:val="18"/>
                      <w:szCs w:val="18"/>
                      <w:u w:val="none"/>
                    </w:rPr>
                  </w:pPr>
                </w:p>
              </w:tc>
              <w:tc>
                <w:tcPr>
                  <w:tcW w:w="551" w:type="pct"/>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60162861">
                  <w:pPr>
                    <w:jc w:val="center"/>
                    <w:rPr>
                      <w:rFonts w:hint="default" w:ascii="Times New Roman" w:hAnsi="Times New Roman" w:eastAsia="宋体" w:cs="Times New Roman"/>
                      <w:i w:val="0"/>
                      <w:iCs w:val="0"/>
                      <w:color w:val="auto"/>
                      <w:sz w:val="18"/>
                      <w:szCs w:val="18"/>
                      <w:u w:val="none"/>
                    </w:rPr>
                  </w:pPr>
                </w:p>
              </w:tc>
              <w:tc>
                <w:tcPr>
                  <w:tcW w:w="23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4CDEC2B">
                  <w:pPr>
                    <w:jc w:val="center"/>
                    <w:rPr>
                      <w:rFonts w:hint="default" w:ascii="Times New Roman" w:hAnsi="Times New Roman" w:eastAsia="宋体" w:cs="Times New Roman"/>
                      <w:i w:val="0"/>
                      <w:iCs w:val="0"/>
                      <w:color w:val="auto"/>
                      <w:sz w:val="18"/>
                      <w:szCs w:val="18"/>
                      <w:u w:val="none"/>
                    </w:rPr>
                  </w:pPr>
                </w:p>
              </w:tc>
              <w:tc>
                <w:tcPr>
                  <w:tcW w:w="1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1189760">
                  <w:pPr>
                    <w:jc w:val="center"/>
                    <w:rPr>
                      <w:rFonts w:hint="default" w:ascii="Times New Roman" w:hAnsi="Times New Roman" w:eastAsia="宋体" w:cs="Times New Roman"/>
                      <w:i w:val="0"/>
                      <w:iCs w:val="0"/>
                      <w:color w:val="auto"/>
                      <w:sz w:val="18"/>
                      <w:szCs w:val="18"/>
                      <w:u w:val="none"/>
                    </w:rPr>
                  </w:pPr>
                </w:p>
              </w:tc>
              <w:tc>
                <w:tcPr>
                  <w:tcW w:w="1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26BC190">
                  <w:pPr>
                    <w:jc w:val="center"/>
                    <w:rPr>
                      <w:rFonts w:hint="default" w:ascii="Times New Roman" w:hAnsi="Times New Roman" w:eastAsia="宋体" w:cs="Times New Roman"/>
                      <w:i w:val="0"/>
                      <w:iCs w:val="0"/>
                      <w:color w:val="auto"/>
                      <w:sz w:val="18"/>
                      <w:szCs w:val="18"/>
                      <w:u w:val="none"/>
                    </w:rPr>
                  </w:pPr>
                </w:p>
              </w:tc>
              <w:tc>
                <w:tcPr>
                  <w:tcW w:w="21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C7B8176">
                  <w:pPr>
                    <w:jc w:val="center"/>
                    <w:rPr>
                      <w:rFonts w:hint="default" w:ascii="Times New Roman" w:hAnsi="Times New Roman" w:eastAsia="宋体" w:cs="Times New Roman"/>
                      <w:i w:val="0"/>
                      <w:iCs w:val="0"/>
                      <w:color w:val="auto"/>
                      <w:sz w:val="18"/>
                      <w:szCs w:val="18"/>
                      <w:u w:val="none"/>
                    </w:rPr>
                  </w:pPr>
                </w:p>
              </w:tc>
              <w:tc>
                <w:tcPr>
                  <w:tcW w:w="26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34D0F9D">
                  <w:pPr>
                    <w:jc w:val="center"/>
                    <w:rPr>
                      <w:rFonts w:hint="default" w:ascii="Times New Roman" w:hAnsi="Times New Roman" w:eastAsia="宋体" w:cs="Times New Roman"/>
                      <w:i w:val="0"/>
                      <w:iCs w:val="0"/>
                      <w:color w:val="auto"/>
                      <w:sz w:val="18"/>
                      <w:szCs w:val="18"/>
                      <w:u w:val="none"/>
                    </w:rPr>
                  </w:pPr>
                </w:p>
              </w:tc>
              <w:tc>
                <w:tcPr>
                  <w:tcW w:w="19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A4CF369">
                  <w:pPr>
                    <w:jc w:val="center"/>
                    <w:rPr>
                      <w:rFonts w:hint="default" w:ascii="Times New Roman" w:hAnsi="Times New Roman" w:eastAsia="宋体" w:cs="Times New Roman"/>
                      <w:i w:val="0"/>
                      <w:iCs w:val="0"/>
                      <w:color w:val="auto"/>
                      <w:sz w:val="18"/>
                      <w:szCs w:val="18"/>
                      <w:u w:val="none"/>
                    </w:rPr>
                  </w:pPr>
                </w:p>
              </w:tc>
              <w:tc>
                <w:tcPr>
                  <w:tcW w:w="2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BBB17A1">
                  <w:pPr>
                    <w:jc w:val="center"/>
                    <w:rPr>
                      <w:rFonts w:hint="default" w:ascii="Times New Roman" w:hAnsi="Times New Roman" w:eastAsia="宋体" w:cs="Times New Roman"/>
                      <w:i w:val="0"/>
                      <w:iCs w:val="0"/>
                      <w:color w:val="auto"/>
                      <w:sz w:val="18"/>
                      <w:szCs w:val="18"/>
                      <w:u w:val="none"/>
                    </w:rPr>
                  </w:pPr>
                </w:p>
              </w:tc>
              <w:tc>
                <w:tcPr>
                  <w:tcW w:w="19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5F66408">
                  <w:pPr>
                    <w:jc w:val="center"/>
                    <w:rPr>
                      <w:rFonts w:hint="default" w:ascii="Times New Roman" w:hAnsi="Times New Roman" w:eastAsia="宋体" w:cs="Times New Roman"/>
                      <w:i w:val="0"/>
                      <w:iCs w:val="0"/>
                      <w:color w:val="auto"/>
                      <w:sz w:val="18"/>
                      <w:szCs w:val="18"/>
                      <w:u w:val="none"/>
                    </w:rPr>
                  </w:pPr>
                </w:p>
              </w:tc>
              <w:tc>
                <w:tcPr>
                  <w:tcW w:w="18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2D98FB1">
                  <w:pPr>
                    <w:jc w:val="center"/>
                    <w:rPr>
                      <w:rFonts w:hint="default" w:ascii="Times New Roman" w:hAnsi="Times New Roman" w:eastAsia="宋体" w:cs="Times New Roman"/>
                      <w:i w:val="0"/>
                      <w:iCs w:val="0"/>
                      <w:color w:val="auto"/>
                      <w:sz w:val="18"/>
                      <w:szCs w:val="18"/>
                      <w:u w:val="none"/>
                    </w:rPr>
                  </w:pPr>
                </w:p>
              </w:tc>
              <w:tc>
                <w:tcPr>
                  <w:tcW w:w="12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ACE36D5">
                  <w:pPr>
                    <w:jc w:val="center"/>
                    <w:rPr>
                      <w:rFonts w:hint="default" w:ascii="Times New Roman" w:hAnsi="Times New Roman" w:eastAsia="宋体" w:cs="Times New Roman"/>
                      <w:i w:val="0"/>
                      <w:iCs w:val="0"/>
                      <w:color w:val="auto"/>
                      <w:sz w:val="18"/>
                      <w:szCs w:val="18"/>
                      <w:u w:val="none"/>
                    </w:rPr>
                  </w:pPr>
                </w:p>
              </w:tc>
              <w:tc>
                <w:tcPr>
                  <w:tcW w:w="1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2520E73">
                  <w:pPr>
                    <w:jc w:val="center"/>
                    <w:rPr>
                      <w:rFonts w:hint="default" w:ascii="Times New Roman" w:hAnsi="Times New Roman" w:eastAsia="宋体" w:cs="Times New Roman"/>
                      <w:i w:val="0"/>
                      <w:iCs w:val="0"/>
                      <w:color w:val="auto"/>
                      <w:sz w:val="18"/>
                      <w:szCs w:val="18"/>
                      <w:u w:val="none"/>
                    </w:rPr>
                  </w:pPr>
                </w:p>
              </w:tc>
              <w:tc>
                <w:tcPr>
                  <w:tcW w:w="189" w:type="pct"/>
                  <w:tcBorders>
                    <w:top w:val="single" w:color="auto" w:sz="4" w:space="0"/>
                    <w:left w:val="single" w:color="auto" w:sz="4" w:space="0"/>
                    <w:bottom w:val="single" w:color="auto" w:sz="4" w:space="0"/>
                    <w:right w:val="nil"/>
                  </w:tcBorders>
                  <w:shd w:val="clear" w:color="auto" w:fill="auto"/>
                  <w:noWrap/>
                  <w:vAlign w:val="center"/>
                </w:tcPr>
                <w:p w14:paraId="0BB026E8">
                  <w:pPr>
                    <w:jc w:val="center"/>
                    <w:rPr>
                      <w:rFonts w:hint="default" w:ascii="Times New Roman" w:hAnsi="Times New Roman" w:eastAsia="宋体" w:cs="Times New Roman"/>
                      <w:i w:val="0"/>
                      <w:iCs w:val="0"/>
                      <w:color w:val="auto"/>
                      <w:sz w:val="18"/>
                      <w:szCs w:val="18"/>
                      <w:u w:val="none"/>
                    </w:rPr>
                  </w:pPr>
                </w:p>
              </w:tc>
            </w:tr>
            <w:tr w14:paraId="5BECE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70" w:hRule="atLeast"/>
              </w:trPr>
              <w:tc>
                <w:tcPr>
                  <w:tcW w:w="155" w:type="pct"/>
                  <w:tcBorders>
                    <w:top w:val="single" w:color="auto" w:sz="4" w:space="0"/>
                    <w:left w:val="nil"/>
                    <w:bottom w:val="single" w:color="auto" w:sz="4" w:space="0"/>
                    <w:right w:val="single" w:color="auto" w:sz="4" w:space="0"/>
                  </w:tcBorders>
                  <w:shd w:val="clear" w:color="auto" w:fill="auto"/>
                  <w:vAlign w:val="center"/>
                </w:tcPr>
                <w:p w14:paraId="4DBE092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41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5B30EF0">
                  <w:pPr>
                    <w:jc w:val="center"/>
                    <w:rPr>
                      <w:rFonts w:hint="default" w:ascii="Times New Roman" w:hAnsi="Times New Roman" w:eastAsia="宋体" w:cs="Times New Roman"/>
                      <w:i w:val="0"/>
                      <w:iCs w:val="0"/>
                      <w:color w:val="auto"/>
                      <w:sz w:val="18"/>
                      <w:szCs w:val="18"/>
                      <w:u w:val="none"/>
                    </w:rPr>
                  </w:pPr>
                </w:p>
              </w:tc>
              <w:tc>
                <w:tcPr>
                  <w:tcW w:w="330" w:type="pct"/>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65BA9CD7">
                  <w:pPr>
                    <w:jc w:val="center"/>
                    <w:rPr>
                      <w:rFonts w:hint="default" w:ascii="Times New Roman" w:hAnsi="Times New Roman" w:eastAsia="宋体" w:cs="Times New Roman"/>
                      <w:i w:val="0"/>
                      <w:iCs w:val="0"/>
                      <w:color w:val="auto"/>
                      <w:sz w:val="18"/>
                      <w:szCs w:val="18"/>
                      <w:u w:val="none"/>
                    </w:rPr>
                  </w:pPr>
                </w:p>
              </w:tc>
              <w:tc>
                <w:tcPr>
                  <w:tcW w:w="384" w:type="pct"/>
                  <w:tcBorders>
                    <w:top w:val="single" w:color="auto" w:sz="4" w:space="0"/>
                    <w:left w:val="single" w:color="auto" w:sz="4" w:space="0"/>
                    <w:bottom w:val="single" w:color="auto" w:sz="4" w:space="0"/>
                    <w:right w:val="single" w:color="auto" w:sz="4" w:space="0"/>
                  </w:tcBorders>
                  <w:shd w:val="clear" w:color="auto" w:fill="auto"/>
                  <w:vAlign w:val="center"/>
                </w:tcPr>
                <w:p w14:paraId="078AAC3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26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AE8F93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p>
              </w:tc>
              <w:tc>
                <w:tcPr>
                  <w:tcW w:w="175" w:type="pct"/>
                  <w:tcBorders>
                    <w:top w:val="single" w:color="auto" w:sz="4" w:space="0"/>
                    <w:left w:val="single" w:color="auto" w:sz="4" w:space="0"/>
                    <w:bottom w:val="single" w:color="auto" w:sz="4" w:space="0"/>
                    <w:right w:val="single" w:color="auto" w:sz="4" w:space="0"/>
                  </w:tcBorders>
                  <w:shd w:val="clear" w:color="auto" w:fill="auto"/>
                  <w:vAlign w:val="center"/>
                </w:tcPr>
                <w:p w14:paraId="2F5665F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p>
              </w:tc>
              <w:tc>
                <w:tcPr>
                  <w:tcW w:w="245" w:type="pct"/>
                  <w:tcBorders>
                    <w:top w:val="single" w:color="auto" w:sz="4" w:space="0"/>
                    <w:left w:val="single" w:color="auto" w:sz="4" w:space="0"/>
                    <w:bottom w:val="single" w:color="auto" w:sz="4" w:space="0"/>
                    <w:right w:val="single" w:color="auto" w:sz="4" w:space="0"/>
                  </w:tcBorders>
                  <w:shd w:val="clear" w:color="auto" w:fill="auto"/>
                  <w:vAlign w:val="center"/>
                </w:tcPr>
                <w:p w14:paraId="169268B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p>
              </w:tc>
              <w:tc>
                <w:tcPr>
                  <w:tcW w:w="156"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D5E7D9B">
                  <w:pPr>
                    <w:jc w:val="center"/>
                    <w:rPr>
                      <w:rFonts w:hint="default" w:ascii="Times New Roman" w:hAnsi="Times New Roman" w:eastAsia="宋体" w:cs="Times New Roman"/>
                      <w:i w:val="0"/>
                      <w:iCs w:val="0"/>
                      <w:color w:val="auto"/>
                      <w:sz w:val="18"/>
                      <w:szCs w:val="18"/>
                      <w:u w:val="none"/>
                    </w:rPr>
                  </w:pPr>
                </w:p>
              </w:tc>
              <w:tc>
                <w:tcPr>
                  <w:tcW w:w="551" w:type="pct"/>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242C3578">
                  <w:pPr>
                    <w:jc w:val="center"/>
                    <w:rPr>
                      <w:rFonts w:hint="default" w:ascii="Times New Roman" w:hAnsi="Times New Roman" w:eastAsia="宋体" w:cs="Times New Roman"/>
                      <w:i w:val="0"/>
                      <w:iCs w:val="0"/>
                      <w:color w:val="auto"/>
                      <w:sz w:val="18"/>
                      <w:szCs w:val="18"/>
                      <w:u w:val="none"/>
                    </w:rPr>
                  </w:pPr>
                </w:p>
              </w:tc>
              <w:tc>
                <w:tcPr>
                  <w:tcW w:w="23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65E2AF1">
                  <w:pPr>
                    <w:jc w:val="center"/>
                    <w:rPr>
                      <w:rFonts w:hint="default" w:ascii="Times New Roman" w:hAnsi="Times New Roman" w:eastAsia="宋体" w:cs="Times New Roman"/>
                      <w:i w:val="0"/>
                      <w:iCs w:val="0"/>
                      <w:color w:val="auto"/>
                      <w:sz w:val="18"/>
                      <w:szCs w:val="18"/>
                      <w:u w:val="none"/>
                    </w:rPr>
                  </w:pPr>
                </w:p>
              </w:tc>
              <w:tc>
                <w:tcPr>
                  <w:tcW w:w="1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C48355A">
                  <w:pPr>
                    <w:jc w:val="center"/>
                    <w:rPr>
                      <w:rFonts w:hint="default" w:ascii="Times New Roman" w:hAnsi="Times New Roman" w:eastAsia="宋体" w:cs="Times New Roman"/>
                      <w:i w:val="0"/>
                      <w:iCs w:val="0"/>
                      <w:color w:val="auto"/>
                      <w:sz w:val="18"/>
                      <w:szCs w:val="18"/>
                      <w:u w:val="none"/>
                    </w:rPr>
                  </w:pPr>
                </w:p>
              </w:tc>
              <w:tc>
                <w:tcPr>
                  <w:tcW w:w="1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36CF706">
                  <w:pPr>
                    <w:jc w:val="center"/>
                    <w:rPr>
                      <w:rFonts w:hint="default" w:ascii="Times New Roman" w:hAnsi="Times New Roman" w:eastAsia="宋体" w:cs="Times New Roman"/>
                      <w:i w:val="0"/>
                      <w:iCs w:val="0"/>
                      <w:color w:val="auto"/>
                      <w:sz w:val="18"/>
                      <w:szCs w:val="18"/>
                      <w:u w:val="none"/>
                    </w:rPr>
                  </w:pPr>
                </w:p>
              </w:tc>
              <w:tc>
                <w:tcPr>
                  <w:tcW w:w="21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171A5BF">
                  <w:pPr>
                    <w:jc w:val="center"/>
                    <w:rPr>
                      <w:rFonts w:hint="default" w:ascii="Times New Roman" w:hAnsi="Times New Roman" w:eastAsia="宋体" w:cs="Times New Roman"/>
                      <w:i w:val="0"/>
                      <w:iCs w:val="0"/>
                      <w:color w:val="auto"/>
                      <w:sz w:val="18"/>
                      <w:szCs w:val="18"/>
                      <w:u w:val="none"/>
                    </w:rPr>
                  </w:pPr>
                </w:p>
              </w:tc>
              <w:tc>
                <w:tcPr>
                  <w:tcW w:w="26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66288F7">
                  <w:pPr>
                    <w:jc w:val="center"/>
                    <w:rPr>
                      <w:rFonts w:hint="default" w:ascii="Times New Roman" w:hAnsi="Times New Roman" w:eastAsia="宋体" w:cs="Times New Roman"/>
                      <w:i w:val="0"/>
                      <w:iCs w:val="0"/>
                      <w:color w:val="auto"/>
                      <w:sz w:val="18"/>
                      <w:szCs w:val="18"/>
                      <w:u w:val="none"/>
                    </w:rPr>
                  </w:pPr>
                </w:p>
              </w:tc>
              <w:tc>
                <w:tcPr>
                  <w:tcW w:w="19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93B39B6">
                  <w:pPr>
                    <w:jc w:val="center"/>
                    <w:rPr>
                      <w:rFonts w:hint="default" w:ascii="Times New Roman" w:hAnsi="Times New Roman" w:eastAsia="宋体" w:cs="Times New Roman"/>
                      <w:i w:val="0"/>
                      <w:iCs w:val="0"/>
                      <w:color w:val="auto"/>
                      <w:sz w:val="18"/>
                      <w:szCs w:val="18"/>
                      <w:u w:val="none"/>
                    </w:rPr>
                  </w:pPr>
                </w:p>
              </w:tc>
              <w:tc>
                <w:tcPr>
                  <w:tcW w:w="2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9DD610F">
                  <w:pPr>
                    <w:jc w:val="center"/>
                    <w:rPr>
                      <w:rFonts w:hint="default" w:ascii="Times New Roman" w:hAnsi="Times New Roman" w:eastAsia="宋体" w:cs="Times New Roman"/>
                      <w:i w:val="0"/>
                      <w:iCs w:val="0"/>
                      <w:color w:val="auto"/>
                      <w:sz w:val="18"/>
                      <w:szCs w:val="18"/>
                      <w:u w:val="none"/>
                    </w:rPr>
                  </w:pPr>
                </w:p>
              </w:tc>
              <w:tc>
                <w:tcPr>
                  <w:tcW w:w="19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4789DEF">
                  <w:pPr>
                    <w:jc w:val="center"/>
                    <w:rPr>
                      <w:rFonts w:hint="default" w:ascii="Times New Roman" w:hAnsi="Times New Roman" w:eastAsia="宋体" w:cs="Times New Roman"/>
                      <w:i w:val="0"/>
                      <w:iCs w:val="0"/>
                      <w:color w:val="auto"/>
                      <w:sz w:val="18"/>
                      <w:szCs w:val="18"/>
                      <w:u w:val="none"/>
                    </w:rPr>
                  </w:pPr>
                </w:p>
              </w:tc>
              <w:tc>
                <w:tcPr>
                  <w:tcW w:w="18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16D5BD7">
                  <w:pPr>
                    <w:jc w:val="center"/>
                    <w:rPr>
                      <w:rFonts w:hint="default" w:ascii="Times New Roman" w:hAnsi="Times New Roman" w:eastAsia="宋体" w:cs="Times New Roman"/>
                      <w:i w:val="0"/>
                      <w:iCs w:val="0"/>
                      <w:color w:val="auto"/>
                      <w:sz w:val="18"/>
                      <w:szCs w:val="18"/>
                      <w:u w:val="none"/>
                    </w:rPr>
                  </w:pPr>
                </w:p>
              </w:tc>
              <w:tc>
                <w:tcPr>
                  <w:tcW w:w="12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0ABB158">
                  <w:pPr>
                    <w:jc w:val="center"/>
                    <w:rPr>
                      <w:rFonts w:hint="default" w:ascii="Times New Roman" w:hAnsi="Times New Roman" w:eastAsia="宋体" w:cs="Times New Roman"/>
                      <w:i w:val="0"/>
                      <w:iCs w:val="0"/>
                      <w:color w:val="auto"/>
                      <w:sz w:val="18"/>
                      <w:szCs w:val="18"/>
                      <w:u w:val="none"/>
                    </w:rPr>
                  </w:pPr>
                </w:p>
              </w:tc>
              <w:tc>
                <w:tcPr>
                  <w:tcW w:w="1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92A3787">
                  <w:pPr>
                    <w:jc w:val="center"/>
                    <w:rPr>
                      <w:rFonts w:hint="default" w:ascii="Times New Roman" w:hAnsi="Times New Roman" w:eastAsia="宋体" w:cs="Times New Roman"/>
                      <w:i w:val="0"/>
                      <w:iCs w:val="0"/>
                      <w:color w:val="auto"/>
                      <w:sz w:val="18"/>
                      <w:szCs w:val="18"/>
                      <w:u w:val="none"/>
                    </w:rPr>
                  </w:pPr>
                </w:p>
              </w:tc>
              <w:tc>
                <w:tcPr>
                  <w:tcW w:w="189" w:type="pct"/>
                  <w:tcBorders>
                    <w:top w:val="single" w:color="auto" w:sz="4" w:space="0"/>
                    <w:left w:val="single" w:color="auto" w:sz="4" w:space="0"/>
                    <w:bottom w:val="single" w:color="auto" w:sz="4" w:space="0"/>
                    <w:right w:val="nil"/>
                  </w:tcBorders>
                  <w:shd w:val="clear" w:color="auto" w:fill="auto"/>
                  <w:noWrap/>
                  <w:vAlign w:val="center"/>
                </w:tcPr>
                <w:p w14:paraId="7AFB6DE5">
                  <w:pPr>
                    <w:jc w:val="center"/>
                    <w:rPr>
                      <w:rFonts w:hint="default" w:ascii="Times New Roman" w:hAnsi="Times New Roman" w:eastAsia="宋体" w:cs="Times New Roman"/>
                      <w:i w:val="0"/>
                      <w:iCs w:val="0"/>
                      <w:color w:val="auto"/>
                      <w:sz w:val="18"/>
                      <w:szCs w:val="18"/>
                      <w:u w:val="none"/>
                    </w:rPr>
                  </w:pPr>
                </w:p>
              </w:tc>
            </w:tr>
            <w:tr w14:paraId="08FC7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5" w:type="pct"/>
                  <w:tcBorders>
                    <w:top w:val="single" w:color="auto" w:sz="4" w:space="0"/>
                    <w:left w:val="nil"/>
                    <w:bottom w:val="single" w:color="auto" w:sz="12" w:space="0"/>
                    <w:right w:val="single" w:color="auto" w:sz="4" w:space="0"/>
                  </w:tcBorders>
                  <w:shd w:val="clear" w:color="auto" w:fill="auto"/>
                  <w:vAlign w:val="center"/>
                </w:tcPr>
                <w:p w14:paraId="25B8DD3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411" w:type="pct"/>
                  <w:vMerge w:val="continue"/>
                  <w:tcBorders>
                    <w:top w:val="single" w:color="auto" w:sz="4" w:space="0"/>
                    <w:left w:val="single" w:color="auto" w:sz="4" w:space="0"/>
                    <w:bottom w:val="single" w:color="auto" w:sz="12" w:space="0"/>
                    <w:right w:val="single" w:color="auto" w:sz="4" w:space="0"/>
                  </w:tcBorders>
                  <w:shd w:val="clear" w:color="auto" w:fill="auto"/>
                  <w:vAlign w:val="center"/>
                </w:tcPr>
                <w:p w14:paraId="08F1EC65">
                  <w:pPr>
                    <w:jc w:val="center"/>
                    <w:rPr>
                      <w:rFonts w:hint="default" w:ascii="Times New Roman" w:hAnsi="Times New Roman" w:eastAsia="宋体" w:cs="Times New Roman"/>
                      <w:i w:val="0"/>
                      <w:iCs w:val="0"/>
                      <w:color w:val="auto"/>
                      <w:sz w:val="18"/>
                      <w:szCs w:val="18"/>
                      <w:u w:val="none"/>
                    </w:rPr>
                  </w:pPr>
                </w:p>
              </w:tc>
              <w:tc>
                <w:tcPr>
                  <w:tcW w:w="330" w:type="pct"/>
                  <w:vMerge w:val="continue"/>
                  <w:tcBorders>
                    <w:top w:val="single" w:color="auto" w:sz="4" w:space="0"/>
                    <w:left w:val="single" w:color="auto" w:sz="4" w:space="0"/>
                    <w:bottom w:val="single" w:color="auto" w:sz="12" w:space="0"/>
                    <w:right w:val="single" w:color="auto" w:sz="4" w:space="0"/>
                  </w:tcBorders>
                  <w:shd w:val="clear" w:color="auto" w:fill="auto"/>
                  <w:noWrap/>
                  <w:vAlign w:val="center"/>
                </w:tcPr>
                <w:p w14:paraId="725E47BF">
                  <w:pPr>
                    <w:jc w:val="center"/>
                    <w:rPr>
                      <w:rFonts w:hint="default" w:ascii="Times New Roman" w:hAnsi="Times New Roman" w:eastAsia="宋体" w:cs="Times New Roman"/>
                      <w:i w:val="0"/>
                      <w:iCs w:val="0"/>
                      <w:color w:val="auto"/>
                      <w:sz w:val="18"/>
                      <w:szCs w:val="18"/>
                      <w:u w:val="none"/>
                    </w:rPr>
                  </w:pPr>
                </w:p>
              </w:tc>
              <w:tc>
                <w:tcPr>
                  <w:tcW w:w="384" w:type="pct"/>
                  <w:tcBorders>
                    <w:top w:val="single" w:color="auto" w:sz="4" w:space="0"/>
                    <w:left w:val="single" w:color="auto" w:sz="4" w:space="0"/>
                    <w:bottom w:val="single" w:color="auto" w:sz="12" w:space="0"/>
                    <w:right w:val="single" w:color="auto" w:sz="4" w:space="0"/>
                  </w:tcBorders>
                  <w:shd w:val="clear" w:color="auto" w:fill="auto"/>
                  <w:noWrap/>
                  <w:vAlign w:val="center"/>
                </w:tcPr>
                <w:p w14:paraId="1A02BC9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266" w:type="pct"/>
                  <w:tcBorders>
                    <w:top w:val="single" w:color="auto" w:sz="4" w:space="0"/>
                    <w:left w:val="single" w:color="auto" w:sz="4" w:space="0"/>
                    <w:bottom w:val="single" w:color="auto" w:sz="12" w:space="0"/>
                    <w:right w:val="single" w:color="auto" w:sz="4" w:space="0"/>
                  </w:tcBorders>
                  <w:shd w:val="clear" w:color="auto" w:fill="auto"/>
                  <w:noWrap/>
                  <w:vAlign w:val="center"/>
                </w:tcPr>
                <w:p w14:paraId="54D23AF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175" w:type="pct"/>
                  <w:tcBorders>
                    <w:top w:val="single" w:color="auto" w:sz="4" w:space="0"/>
                    <w:left w:val="single" w:color="auto" w:sz="4" w:space="0"/>
                    <w:bottom w:val="single" w:color="auto" w:sz="12" w:space="0"/>
                    <w:right w:val="single" w:color="auto" w:sz="4" w:space="0"/>
                  </w:tcBorders>
                  <w:shd w:val="clear" w:color="auto" w:fill="auto"/>
                  <w:vAlign w:val="center"/>
                </w:tcPr>
                <w:p w14:paraId="4458B8C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245" w:type="pct"/>
                  <w:tcBorders>
                    <w:top w:val="single" w:color="auto" w:sz="4" w:space="0"/>
                    <w:left w:val="single" w:color="auto" w:sz="4" w:space="0"/>
                    <w:bottom w:val="single" w:color="auto" w:sz="12" w:space="0"/>
                    <w:right w:val="single" w:color="auto" w:sz="4" w:space="0"/>
                  </w:tcBorders>
                  <w:shd w:val="clear" w:color="auto" w:fill="auto"/>
                  <w:vAlign w:val="center"/>
                </w:tcPr>
                <w:p w14:paraId="7037A22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156" w:type="pct"/>
                  <w:vMerge w:val="continue"/>
                  <w:tcBorders>
                    <w:top w:val="single" w:color="auto" w:sz="4" w:space="0"/>
                    <w:left w:val="single" w:color="auto" w:sz="4" w:space="0"/>
                    <w:bottom w:val="single" w:color="auto" w:sz="12" w:space="0"/>
                    <w:right w:val="single" w:color="auto" w:sz="4" w:space="0"/>
                  </w:tcBorders>
                  <w:shd w:val="clear" w:color="auto" w:fill="auto"/>
                  <w:vAlign w:val="center"/>
                </w:tcPr>
                <w:p w14:paraId="61344D68">
                  <w:pPr>
                    <w:jc w:val="center"/>
                    <w:rPr>
                      <w:rFonts w:hint="default" w:ascii="Times New Roman" w:hAnsi="Times New Roman" w:eastAsia="宋体" w:cs="Times New Roman"/>
                      <w:i w:val="0"/>
                      <w:iCs w:val="0"/>
                      <w:color w:val="auto"/>
                      <w:sz w:val="18"/>
                      <w:szCs w:val="18"/>
                      <w:u w:val="none"/>
                    </w:rPr>
                  </w:pPr>
                </w:p>
              </w:tc>
              <w:tc>
                <w:tcPr>
                  <w:tcW w:w="551" w:type="pct"/>
                  <w:vMerge w:val="continue"/>
                  <w:tcBorders>
                    <w:top w:val="single" w:color="auto" w:sz="4" w:space="0"/>
                    <w:left w:val="single" w:color="auto" w:sz="4" w:space="0"/>
                    <w:bottom w:val="single" w:color="auto" w:sz="12" w:space="0"/>
                    <w:right w:val="single" w:color="auto" w:sz="4" w:space="0"/>
                  </w:tcBorders>
                  <w:shd w:val="clear" w:color="auto" w:fill="auto"/>
                  <w:noWrap/>
                  <w:vAlign w:val="center"/>
                </w:tcPr>
                <w:p w14:paraId="04562886">
                  <w:pPr>
                    <w:jc w:val="center"/>
                    <w:rPr>
                      <w:rFonts w:hint="default" w:ascii="Times New Roman" w:hAnsi="Times New Roman" w:eastAsia="宋体" w:cs="Times New Roman"/>
                      <w:i w:val="0"/>
                      <w:iCs w:val="0"/>
                      <w:color w:val="auto"/>
                      <w:sz w:val="18"/>
                      <w:szCs w:val="18"/>
                      <w:u w:val="none"/>
                    </w:rPr>
                  </w:pPr>
                </w:p>
              </w:tc>
              <w:tc>
                <w:tcPr>
                  <w:tcW w:w="235" w:type="pct"/>
                  <w:tcBorders>
                    <w:top w:val="single" w:color="auto" w:sz="4" w:space="0"/>
                    <w:left w:val="single" w:color="auto" w:sz="4" w:space="0"/>
                    <w:bottom w:val="single" w:color="auto" w:sz="12" w:space="0"/>
                    <w:right w:val="single" w:color="auto" w:sz="4" w:space="0"/>
                  </w:tcBorders>
                  <w:shd w:val="clear" w:color="auto" w:fill="auto"/>
                  <w:noWrap/>
                  <w:vAlign w:val="center"/>
                </w:tcPr>
                <w:p w14:paraId="2F61B255">
                  <w:pPr>
                    <w:jc w:val="center"/>
                    <w:rPr>
                      <w:rFonts w:hint="default" w:ascii="Times New Roman" w:hAnsi="Times New Roman" w:eastAsia="宋体" w:cs="Times New Roman"/>
                      <w:i w:val="0"/>
                      <w:iCs w:val="0"/>
                      <w:color w:val="auto"/>
                      <w:sz w:val="18"/>
                      <w:szCs w:val="18"/>
                      <w:u w:val="none"/>
                    </w:rPr>
                  </w:pPr>
                </w:p>
              </w:tc>
              <w:tc>
                <w:tcPr>
                  <w:tcW w:w="164" w:type="pct"/>
                  <w:tcBorders>
                    <w:top w:val="single" w:color="auto" w:sz="4" w:space="0"/>
                    <w:left w:val="single" w:color="auto" w:sz="4" w:space="0"/>
                    <w:bottom w:val="single" w:color="auto" w:sz="12" w:space="0"/>
                    <w:right w:val="single" w:color="auto" w:sz="4" w:space="0"/>
                  </w:tcBorders>
                  <w:shd w:val="clear" w:color="auto" w:fill="auto"/>
                  <w:noWrap/>
                  <w:vAlign w:val="center"/>
                </w:tcPr>
                <w:p w14:paraId="78A4D444">
                  <w:pPr>
                    <w:jc w:val="center"/>
                    <w:rPr>
                      <w:rFonts w:hint="default" w:ascii="Times New Roman" w:hAnsi="Times New Roman" w:eastAsia="宋体" w:cs="Times New Roman"/>
                      <w:i w:val="0"/>
                      <w:iCs w:val="0"/>
                      <w:color w:val="auto"/>
                      <w:sz w:val="18"/>
                      <w:szCs w:val="18"/>
                      <w:u w:val="none"/>
                    </w:rPr>
                  </w:pPr>
                </w:p>
              </w:tc>
              <w:tc>
                <w:tcPr>
                  <w:tcW w:w="164" w:type="pct"/>
                  <w:tcBorders>
                    <w:top w:val="single" w:color="auto" w:sz="4" w:space="0"/>
                    <w:left w:val="single" w:color="auto" w:sz="4" w:space="0"/>
                    <w:bottom w:val="single" w:color="auto" w:sz="12" w:space="0"/>
                    <w:right w:val="single" w:color="auto" w:sz="4" w:space="0"/>
                  </w:tcBorders>
                  <w:shd w:val="clear" w:color="auto" w:fill="auto"/>
                  <w:noWrap/>
                  <w:vAlign w:val="center"/>
                </w:tcPr>
                <w:p w14:paraId="55B42517">
                  <w:pPr>
                    <w:jc w:val="center"/>
                    <w:rPr>
                      <w:rFonts w:hint="default" w:ascii="Times New Roman" w:hAnsi="Times New Roman" w:eastAsia="宋体" w:cs="Times New Roman"/>
                      <w:i w:val="0"/>
                      <w:iCs w:val="0"/>
                      <w:color w:val="auto"/>
                      <w:sz w:val="18"/>
                      <w:szCs w:val="18"/>
                      <w:u w:val="none"/>
                    </w:rPr>
                  </w:pPr>
                </w:p>
              </w:tc>
              <w:tc>
                <w:tcPr>
                  <w:tcW w:w="219" w:type="pct"/>
                  <w:tcBorders>
                    <w:top w:val="single" w:color="auto" w:sz="4" w:space="0"/>
                    <w:left w:val="single" w:color="auto" w:sz="4" w:space="0"/>
                    <w:bottom w:val="single" w:color="auto" w:sz="12" w:space="0"/>
                    <w:right w:val="single" w:color="auto" w:sz="4" w:space="0"/>
                  </w:tcBorders>
                  <w:shd w:val="clear" w:color="auto" w:fill="auto"/>
                  <w:noWrap/>
                  <w:vAlign w:val="center"/>
                </w:tcPr>
                <w:p w14:paraId="31CCEE69">
                  <w:pPr>
                    <w:jc w:val="center"/>
                    <w:rPr>
                      <w:rFonts w:hint="default" w:ascii="Times New Roman" w:hAnsi="Times New Roman" w:eastAsia="宋体" w:cs="Times New Roman"/>
                      <w:i w:val="0"/>
                      <w:iCs w:val="0"/>
                      <w:color w:val="auto"/>
                      <w:sz w:val="18"/>
                      <w:szCs w:val="18"/>
                      <w:u w:val="none"/>
                    </w:rPr>
                  </w:pPr>
                </w:p>
              </w:tc>
              <w:tc>
                <w:tcPr>
                  <w:tcW w:w="263" w:type="pct"/>
                  <w:tcBorders>
                    <w:top w:val="single" w:color="auto" w:sz="4" w:space="0"/>
                    <w:left w:val="single" w:color="auto" w:sz="4" w:space="0"/>
                    <w:bottom w:val="single" w:color="auto" w:sz="12" w:space="0"/>
                    <w:right w:val="single" w:color="auto" w:sz="4" w:space="0"/>
                  </w:tcBorders>
                  <w:shd w:val="clear" w:color="auto" w:fill="auto"/>
                  <w:noWrap/>
                  <w:vAlign w:val="center"/>
                </w:tcPr>
                <w:p w14:paraId="52B61AA7">
                  <w:pPr>
                    <w:jc w:val="center"/>
                    <w:rPr>
                      <w:rFonts w:hint="default" w:ascii="Times New Roman" w:hAnsi="Times New Roman" w:eastAsia="宋体" w:cs="Times New Roman"/>
                      <w:i w:val="0"/>
                      <w:iCs w:val="0"/>
                      <w:color w:val="auto"/>
                      <w:sz w:val="18"/>
                      <w:szCs w:val="18"/>
                      <w:u w:val="none"/>
                    </w:rPr>
                  </w:pPr>
                </w:p>
              </w:tc>
              <w:tc>
                <w:tcPr>
                  <w:tcW w:w="197" w:type="pct"/>
                  <w:tcBorders>
                    <w:top w:val="single" w:color="auto" w:sz="4" w:space="0"/>
                    <w:left w:val="single" w:color="auto" w:sz="4" w:space="0"/>
                    <w:bottom w:val="single" w:color="auto" w:sz="12" w:space="0"/>
                    <w:right w:val="single" w:color="auto" w:sz="4" w:space="0"/>
                  </w:tcBorders>
                  <w:shd w:val="clear" w:color="auto" w:fill="auto"/>
                  <w:noWrap/>
                  <w:vAlign w:val="center"/>
                </w:tcPr>
                <w:p w14:paraId="06BFBDBD">
                  <w:pPr>
                    <w:jc w:val="center"/>
                    <w:rPr>
                      <w:rFonts w:hint="default" w:ascii="Times New Roman" w:hAnsi="Times New Roman" w:eastAsia="宋体" w:cs="Times New Roman"/>
                      <w:i w:val="0"/>
                      <w:iCs w:val="0"/>
                      <w:color w:val="auto"/>
                      <w:sz w:val="18"/>
                      <w:szCs w:val="18"/>
                      <w:u w:val="none"/>
                    </w:rPr>
                  </w:pPr>
                </w:p>
              </w:tc>
              <w:tc>
                <w:tcPr>
                  <w:tcW w:w="218" w:type="pct"/>
                  <w:tcBorders>
                    <w:top w:val="single" w:color="auto" w:sz="4" w:space="0"/>
                    <w:left w:val="single" w:color="auto" w:sz="4" w:space="0"/>
                    <w:bottom w:val="single" w:color="auto" w:sz="12" w:space="0"/>
                    <w:right w:val="single" w:color="auto" w:sz="4" w:space="0"/>
                  </w:tcBorders>
                  <w:shd w:val="clear" w:color="auto" w:fill="auto"/>
                  <w:noWrap/>
                  <w:vAlign w:val="center"/>
                </w:tcPr>
                <w:p w14:paraId="29EA176B">
                  <w:pPr>
                    <w:jc w:val="center"/>
                    <w:rPr>
                      <w:rFonts w:hint="default" w:ascii="Times New Roman" w:hAnsi="Times New Roman" w:eastAsia="宋体" w:cs="Times New Roman"/>
                      <w:i w:val="0"/>
                      <w:iCs w:val="0"/>
                      <w:color w:val="auto"/>
                      <w:sz w:val="18"/>
                      <w:szCs w:val="18"/>
                      <w:u w:val="none"/>
                    </w:rPr>
                  </w:pPr>
                </w:p>
              </w:tc>
              <w:tc>
                <w:tcPr>
                  <w:tcW w:w="197" w:type="pct"/>
                  <w:tcBorders>
                    <w:top w:val="single" w:color="auto" w:sz="4" w:space="0"/>
                    <w:left w:val="single" w:color="auto" w:sz="4" w:space="0"/>
                    <w:bottom w:val="single" w:color="auto" w:sz="12" w:space="0"/>
                    <w:right w:val="single" w:color="auto" w:sz="4" w:space="0"/>
                  </w:tcBorders>
                  <w:shd w:val="clear" w:color="auto" w:fill="auto"/>
                  <w:noWrap/>
                  <w:vAlign w:val="center"/>
                </w:tcPr>
                <w:p w14:paraId="1CCB767B">
                  <w:pPr>
                    <w:jc w:val="center"/>
                    <w:rPr>
                      <w:rFonts w:hint="default" w:ascii="Times New Roman" w:hAnsi="Times New Roman" w:eastAsia="宋体" w:cs="Times New Roman"/>
                      <w:i w:val="0"/>
                      <w:iCs w:val="0"/>
                      <w:color w:val="auto"/>
                      <w:sz w:val="18"/>
                      <w:szCs w:val="18"/>
                      <w:u w:val="none"/>
                    </w:rPr>
                  </w:pPr>
                </w:p>
              </w:tc>
              <w:tc>
                <w:tcPr>
                  <w:tcW w:w="183" w:type="pct"/>
                  <w:tcBorders>
                    <w:top w:val="single" w:color="auto" w:sz="4" w:space="0"/>
                    <w:left w:val="single" w:color="auto" w:sz="4" w:space="0"/>
                    <w:bottom w:val="single" w:color="auto" w:sz="12" w:space="0"/>
                    <w:right w:val="single" w:color="auto" w:sz="4" w:space="0"/>
                  </w:tcBorders>
                  <w:shd w:val="clear" w:color="auto" w:fill="auto"/>
                  <w:noWrap/>
                  <w:vAlign w:val="center"/>
                </w:tcPr>
                <w:p w14:paraId="256F7733">
                  <w:pPr>
                    <w:jc w:val="center"/>
                    <w:rPr>
                      <w:rFonts w:hint="default" w:ascii="Times New Roman" w:hAnsi="Times New Roman" w:eastAsia="宋体" w:cs="Times New Roman"/>
                      <w:i w:val="0"/>
                      <w:iCs w:val="0"/>
                      <w:color w:val="auto"/>
                      <w:sz w:val="18"/>
                      <w:szCs w:val="18"/>
                      <w:u w:val="none"/>
                    </w:rPr>
                  </w:pPr>
                </w:p>
              </w:tc>
              <w:tc>
                <w:tcPr>
                  <w:tcW w:w="126" w:type="pct"/>
                  <w:tcBorders>
                    <w:top w:val="single" w:color="auto" w:sz="4" w:space="0"/>
                    <w:left w:val="single" w:color="auto" w:sz="4" w:space="0"/>
                    <w:bottom w:val="single" w:color="auto" w:sz="12" w:space="0"/>
                    <w:right w:val="single" w:color="auto" w:sz="4" w:space="0"/>
                  </w:tcBorders>
                  <w:shd w:val="clear" w:color="auto" w:fill="auto"/>
                  <w:noWrap/>
                  <w:vAlign w:val="center"/>
                </w:tcPr>
                <w:p w14:paraId="61DBECCE">
                  <w:pPr>
                    <w:jc w:val="center"/>
                    <w:rPr>
                      <w:rFonts w:hint="default" w:ascii="Times New Roman" w:hAnsi="Times New Roman" w:eastAsia="宋体" w:cs="Times New Roman"/>
                      <w:i w:val="0"/>
                      <w:iCs w:val="0"/>
                      <w:color w:val="auto"/>
                      <w:sz w:val="18"/>
                      <w:szCs w:val="18"/>
                      <w:u w:val="none"/>
                    </w:rPr>
                  </w:pPr>
                </w:p>
              </w:tc>
              <w:tc>
                <w:tcPr>
                  <w:tcW w:w="160" w:type="pct"/>
                  <w:tcBorders>
                    <w:top w:val="single" w:color="auto" w:sz="4" w:space="0"/>
                    <w:left w:val="single" w:color="auto" w:sz="4" w:space="0"/>
                    <w:bottom w:val="single" w:color="auto" w:sz="12" w:space="0"/>
                    <w:right w:val="single" w:color="auto" w:sz="4" w:space="0"/>
                  </w:tcBorders>
                  <w:shd w:val="clear" w:color="auto" w:fill="auto"/>
                  <w:noWrap/>
                  <w:vAlign w:val="center"/>
                </w:tcPr>
                <w:p w14:paraId="1274A473">
                  <w:pPr>
                    <w:jc w:val="center"/>
                    <w:rPr>
                      <w:rFonts w:hint="default" w:ascii="Times New Roman" w:hAnsi="Times New Roman" w:eastAsia="宋体" w:cs="Times New Roman"/>
                      <w:i w:val="0"/>
                      <w:iCs w:val="0"/>
                      <w:color w:val="auto"/>
                      <w:sz w:val="18"/>
                      <w:szCs w:val="18"/>
                      <w:u w:val="none"/>
                    </w:rPr>
                  </w:pPr>
                </w:p>
              </w:tc>
              <w:tc>
                <w:tcPr>
                  <w:tcW w:w="189" w:type="pct"/>
                  <w:tcBorders>
                    <w:top w:val="single" w:color="auto" w:sz="4" w:space="0"/>
                    <w:left w:val="single" w:color="auto" w:sz="4" w:space="0"/>
                    <w:bottom w:val="single" w:color="auto" w:sz="12" w:space="0"/>
                    <w:right w:val="nil"/>
                  </w:tcBorders>
                  <w:shd w:val="clear" w:color="auto" w:fill="auto"/>
                  <w:noWrap/>
                  <w:vAlign w:val="center"/>
                </w:tcPr>
                <w:p w14:paraId="12546E7E">
                  <w:pPr>
                    <w:jc w:val="center"/>
                    <w:rPr>
                      <w:rFonts w:hint="default" w:ascii="Times New Roman" w:hAnsi="Times New Roman" w:eastAsia="宋体" w:cs="Times New Roman"/>
                      <w:i w:val="0"/>
                      <w:iCs w:val="0"/>
                      <w:color w:val="auto"/>
                      <w:sz w:val="18"/>
                      <w:szCs w:val="18"/>
                      <w:u w:val="none"/>
                    </w:rPr>
                  </w:pPr>
                </w:p>
              </w:tc>
            </w:tr>
          </w:tbl>
          <w:p w14:paraId="7271D508">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default" w:eastAsia="宋体"/>
                <w:b/>
                <w:color w:val="auto"/>
                <w:sz w:val="18"/>
                <w:szCs w:val="18"/>
                <w:lang w:val="en-US" w:eastAsia="zh-CN"/>
              </w:rPr>
            </w:pPr>
            <w:r>
              <w:rPr>
                <w:rFonts w:hint="eastAsia"/>
                <w:b/>
                <w:color w:val="auto"/>
                <w:sz w:val="18"/>
                <w:szCs w:val="18"/>
                <w:lang w:val="en-US" w:eastAsia="zh-CN"/>
              </w:rPr>
              <w:t>注：本项目VOCs包括甲醇、乙二醇、乙酸、四氯化碳。</w:t>
            </w:r>
          </w:p>
          <w:p w14:paraId="42F67242">
            <w:pPr>
              <w:snapToGrid w:val="0"/>
              <w:spacing w:line="500" w:lineRule="exact"/>
              <w:jc w:val="center"/>
              <w:rPr>
                <w:b/>
                <w:color w:val="auto"/>
                <w:szCs w:val="21"/>
              </w:rPr>
            </w:pPr>
            <w:r>
              <w:rPr>
                <w:rFonts w:hint="eastAsia"/>
                <w:b/>
                <w:color w:val="auto"/>
                <w:szCs w:val="21"/>
              </w:rPr>
              <w:t>表</w:t>
            </w:r>
            <w:r>
              <w:rPr>
                <w:b/>
                <w:color w:val="auto"/>
                <w:szCs w:val="21"/>
              </w:rPr>
              <w:t>4</w:t>
            </w:r>
            <w:r>
              <w:rPr>
                <w:rFonts w:hint="eastAsia"/>
                <w:b/>
                <w:color w:val="auto"/>
                <w:szCs w:val="21"/>
              </w:rPr>
              <w:t>-</w:t>
            </w:r>
            <w:r>
              <w:rPr>
                <w:b/>
                <w:color w:val="auto"/>
                <w:szCs w:val="21"/>
              </w:rPr>
              <w:t xml:space="preserve">3 </w:t>
            </w:r>
            <w:r>
              <w:rPr>
                <w:rFonts w:hint="eastAsia"/>
                <w:b/>
                <w:color w:val="auto"/>
                <w:szCs w:val="21"/>
              </w:rPr>
              <w:t>项目无组织废气污染物产生及排放情况</w:t>
            </w:r>
          </w:p>
          <w:tbl>
            <w:tblPr>
              <w:tblStyle w:val="21"/>
              <w:tblW w:w="499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986"/>
              <w:gridCol w:w="1986"/>
              <w:gridCol w:w="1986"/>
              <w:gridCol w:w="1986"/>
              <w:gridCol w:w="2124"/>
              <w:gridCol w:w="2140"/>
              <w:gridCol w:w="2124"/>
              <w:gridCol w:w="1986"/>
              <w:gridCol w:w="1994"/>
              <w:gridCol w:w="1987"/>
            </w:tblGrid>
            <w:tr w14:paraId="225D19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89" w:type="pct"/>
                  <w:vMerge w:val="restart"/>
                  <w:shd w:val="clear" w:color="auto" w:fill="auto"/>
                  <w:vAlign w:val="center"/>
                </w:tcPr>
                <w:p w14:paraId="2935B985">
                  <w:pPr>
                    <w:widowControl/>
                    <w:jc w:val="center"/>
                    <w:textAlignment w:val="center"/>
                    <w:rPr>
                      <w:rFonts w:hint="default" w:ascii="Times New Roman" w:hAnsi="Times New Roman" w:cs="Times New Roman"/>
                      <w:b/>
                      <w:bCs/>
                      <w:color w:val="auto"/>
                      <w:sz w:val="18"/>
                      <w:szCs w:val="18"/>
                    </w:rPr>
                  </w:pPr>
                </w:p>
              </w:tc>
              <w:tc>
                <w:tcPr>
                  <w:tcW w:w="489" w:type="pct"/>
                  <w:vMerge w:val="restart"/>
                  <w:shd w:val="clear" w:color="auto" w:fill="auto"/>
                  <w:vAlign w:val="center"/>
                </w:tcPr>
                <w:p w14:paraId="2E4CEBD7">
                  <w:pPr>
                    <w:widowControl/>
                    <w:jc w:val="center"/>
                    <w:textAlignment w:val="center"/>
                    <w:rPr>
                      <w:rFonts w:hint="default" w:ascii="Times New Roman" w:hAnsi="Times New Roman" w:cs="Times New Roman"/>
                      <w:b/>
                      <w:bCs/>
                      <w:color w:val="auto"/>
                      <w:sz w:val="18"/>
                      <w:szCs w:val="18"/>
                    </w:rPr>
                  </w:pPr>
                </w:p>
              </w:tc>
              <w:tc>
                <w:tcPr>
                  <w:tcW w:w="489" w:type="pct"/>
                  <w:vMerge w:val="restart"/>
                  <w:shd w:val="clear" w:color="auto" w:fill="auto"/>
                  <w:vAlign w:val="center"/>
                </w:tcPr>
                <w:p w14:paraId="00952F7F">
                  <w:pPr>
                    <w:widowControl/>
                    <w:jc w:val="center"/>
                    <w:textAlignment w:val="center"/>
                    <w:rPr>
                      <w:rFonts w:hint="default" w:ascii="Times New Roman" w:hAnsi="Times New Roman" w:cs="Times New Roman"/>
                      <w:b/>
                      <w:bCs/>
                      <w:color w:val="auto"/>
                      <w:sz w:val="18"/>
                      <w:szCs w:val="18"/>
                    </w:rPr>
                  </w:pPr>
                </w:p>
              </w:tc>
              <w:tc>
                <w:tcPr>
                  <w:tcW w:w="489" w:type="pct"/>
                  <w:vMerge w:val="restart"/>
                  <w:shd w:val="clear" w:color="auto" w:fill="auto"/>
                  <w:vAlign w:val="center"/>
                </w:tcPr>
                <w:p w14:paraId="4924127E">
                  <w:pPr>
                    <w:widowControl/>
                    <w:jc w:val="center"/>
                    <w:textAlignment w:val="center"/>
                    <w:rPr>
                      <w:rFonts w:hint="default" w:ascii="Times New Roman" w:hAnsi="Times New Roman" w:cs="Times New Roman"/>
                      <w:b/>
                      <w:bCs/>
                      <w:color w:val="auto"/>
                      <w:sz w:val="18"/>
                      <w:szCs w:val="18"/>
                    </w:rPr>
                  </w:pPr>
                </w:p>
              </w:tc>
              <w:tc>
                <w:tcPr>
                  <w:tcW w:w="1050" w:type="pct"/>
                  <w:gridSpan w:val="2"/>
                  <w:shd w:val="clear" w:color="auto" w:fill="auto"/>
                  <w:vAlign w:val="center"/>
                </w:tcPr>
                <w:p w14:paraId="4941C8C3">
                  <w:pPr>
                    <w:widowControl/>
                    <w:jc w:val="center"/>
                    <w:textAlignment w:val="center"/>
                    <w:rPr>
                      <w:rFonts w:hint="default" w:ascii="Times New Roman" w:hAnsi="Times New Roman" w:cs="Times New Roman"/>
                      <w:b/>
                      <w:bCs/>
                      <w:color w:val="auto"/>
                      <w:sz w:val="18"/>
                      <w:szCs w:val="18"/>
                    </w:rPr>
                  </w:pPr>
                </w:p>
              </w:tc>
              <w:tc>
                <w:tcPr>
                  <w:tcW w:w="1503" w:type="pct"/>
                  <w:gridSpan w:val="3"/>
                  <w:shd w:val="clear" w:color="auto" w:fill="auto"/>
                  <w:vAlign w:val="center"/>
                </w:tcPr>
                <w:p w14:paraId="0CC85C7E">
                  <w:pPr>
                    <w:widowControl/>
                    <w:jc w:val="center"/>
                    <w:textAlignment w:val="center"/>
                    <w:rPr>
                      <w:rFonts w:hint="default" w:ascii="Times New Roman" w:hAnsi="Times New Roman" w:cs="Times New Roman"/>
                      <w:b/>
                      <w:bCs/>
                      <w:color w:val="auto"/>
                      <w:sz w:val="18"/>
                      <w:szCs w:val="18"/>
                    </w:rPr>
                  </w:pPr>
                </w:p>
              </w:tc>
              <w:tc>
                <w:tcPr>
                  <w:tcW w:w="489" w:type="pct"/>
                  <w:vMerge w:val="restart"/>
                  <w:shd w:val="clear" w:color="auto" w:fill="auto"/>
                  <w:vAlign w:val="center"/>
                </w:tcPr>
                <w:p w14:paraId="6E59FFBA">
                  <w:pPr>
                    <w:widowControl/>
                    <w:jc w:val="center"/>
                    <w:textAlignment w:val="center"/>
                    <w:rPr>
                      <w:rFonts w:hint="default" w:ascii="Times New Roman" w:hAnsi="Times New Roman" w:cs="Times New Roman"/>
                      <w:b/>
                      <w:bCs/>
                      <w:color w:val="auto"/>
                      <w:sz w:val="18"/>
                      <w:szCs w:val="18"/>
                    </w:rPr>
                  </w:pPr>
                </w:p>
              </w:tc>
            </w:tr>
            <w:tr w14:paraId="040477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89" w:type="pct"/>
                  <w:vMerge w:val="continue"/>
                  <w:shd w:val="clear" w:color="auto" w:fill="auto"/>
                  <w:vAlign w:val="center"/>
                </w:tcPr>
                <w:p w14:paraId="5EB5B100">
                  <w:pPr>
                    <w:jc w:val="center"/>
                    <w:rPr>
                      <w:rFonts w:hint="default" w:ascii="Times New Roman" w:hAnsi="Times New Roman" w:cs="Times New Roman"/>
                      <w:b/>
                      <w:bCs/>
                      <w:color w:val="auto"/>
                      <w:sz w:val="18"/>
                      <w:szCs w:val="18"/>
                    </w:rPr>
                  </w:pPr>
                </w:p>
              </w:tc>
              <w:tc>
                <w:tcPr>
                  <w:tcW w:w="489" w:type="pct"/>
                  <w:vMerge w:val="continue"/>
                  <w:shd w:val="clear" w:color="auto" w:fill="auto"/>
                  <w:vAlign w:val="center"/>
                </w:tcPr>
                <w:p w14:paraId="2029C1B6">
                  <w:pPr>
                    <w:jc w:val="center"/>
                    <w:rPr>
                      <w:rFonts w:hint="default" w:ascii="Times New Roman" w:hAnsi="Times New Roman" w:cs="Times New Roman"/>
                      <w:b/>
                      <w:bCs/>
                      <w:color w:val="auto"/>
                      <w:sz w:val="18"/>
                      <w:szCs w:val="18"/>
                    </w:rPr>
                  </w:pPr>
                </w:p>
              </w:tc>
              <w:tc>
                <w:tcPr>
                  <w:tcW w:w="489" w:type="pct"/>
                  <w:vMerge w:val="continue"/>
                  <w:shd w:val="clear" w:color="auto" w:fill="auto"/>
                  <w:vAlign w:val="center"/>
                </w:tcPr>
                <w:p w14:paraId="3719FF9E">
                  <w:pPr>
                    <w:jc w:val="center"/>
                    <w:rPr>
                      <w:rFonts w:hint="default" w:ascii="Times New Roman" w:hAnsi="Times New Roman" w:cs="Times New Roman"/>
                      <w:b/>
                      <w:bCs/>
                      <w:color w:val="auto"/>
                      <w:sz w:val="18"/>
                      <w:szCs w:val="18"/>
                    </w:rPr>
                  </w:pPr>
                </w:p>
              </w:tc>
              <w:tc>
                <w:tcPr>
                  <w:tcW w:w="489" w:type="pct"/>
                  <w:vMerge w:val="continue"/>
                  <w:shd w:val="clear" w:color="auto" w:fill="auto"/>
                  <w:vAlign w:val="center"/>
                </w:tcPr>
                <w:p w14:paraId="30538DE5">
                  <w:pPr>
                    <w:jc w:val="center"/>
                    <w:rPr>
                      <w:rFonts w:hint="default" w:ascii="Times New Roman" w:hAnsi="Times New Roman" w:cs="Times New Roman"/>
                      <w:b/>
                      <w:bCs/>
                      <w:color w:val="auto"/>
                      <w:sz w:val="18"/>
                      <w:szCs w:val="18"/>
                    </w:rPr>
                  </w:pPr>
                </w:p>
              </w:tc>
              <w:tc>
                <w:tcPr>
                  <w:tcW w:w="523" w:type="pct"/>
                  <w:shd w:val="clear" w:color="auto" w:fill="auto"/>
                  <w:vAlign w:val="center"/>
                </w:tcPr>
                <w:p w14:paraId="43E4001B">
                  <w:pPr>
                    <w:widowControl/>
                    <w:jc w:val="center"/>
                    <w:textAlignment w:val="center"/>
                    <w:rPr>
                      <w:rFonts w:hint="default" w:ascii="Times New Roman" w:hAnsi="Times New Roman" w:cs="Times New Roman"/>
                      <w:b/>
                      <w:bCs/>
                      <w:color w:val="auto"/>
                      <w:sz w:val="18"/>
                      <w:szCs w:val="18"/>
                    </w:rPr>
                  </w:pPr>
                </w:p>
              </w:tc>
              <w:tc>
                <w:tcPr>
                  <w:tcW w:w="527" w:type="pct"/>
                  <w:shd w:val="clear" w:color="auto" w:fill="auto"/>
                  <w:vAlign w:val="center"/>
                </w:tcPr>
                <w:p w14:paraId="06999E32">
                  <w:pPr>
                    <w:widowControl/>
                    <w:jc w:val="center"/>
                    <w:textAlignment w:val="center"/>
                    <w:rPr>
                      <w:rFonts w:hint="default" w:ascii="Times New Roman" w:hAnsi="Times New Roman" w:cs="Times New Roman"/>
                      <w:b/>
                      <w:bCs/>
                      <w:color w:val="auto"/>
                      <w:sz w:val="18"/>
                      <w:szCs w:val="18"/>
                    </w:rPr>
                  </w:pPr>
                </w:p>
              </w:tc>
              <w:tc>
                <w:tcPr>
                  <w:tcW w:w="523" w:type="pct"/>
                  <w:shd w:val="clear" w:color="auto" w:fill="auto"/>
                  <w:vAlign w:val="center"/>
                </w:tcPr>
                <w:p w14:paraId="22C35E0D">
                  <w:pPr>
                    <w:widowControl/>
                    <w:jc w:val="center"/>
                    <w:textAlignment w:val="center"/>
                    <w:rPr>
                      <w:rFonts w:hint="default" w:ascii="Times New Roman" w:hAnsi="Times New Roman" w:cs="Times New Roman"/>
                      <w:b/>
                      <w:bCs/>
                      <w:color w:val="auto"/>
                      <w:sz w:val="18"/>
                      <w:szCs w:val="18"/>
                    </w:rPr>
                  </w:pPr>
                </w:p>
              </w:tc>
              <w:tc>
                <w:tcPr>
                  <w:tcW w:w="489" w:type="pct"/>
                  <w:shd w:val="clear" w:color="auto" w:fill="auto"/>
                  <w:vAlign w:val="center"/>
                </w:tcPr>
                <w:p w14:paraId="02A57E98">
                  <w:pPr>
                    <w:widowControl/>
                    <w:jc w:val="center"/>
                    <w:textAlignment w:val="center"/>
                    <w:rPr>
                      <w:rFonts w:hint="default" w:ascii="Times New Roman" w:hAnsi="Times New Roman" w:cs="Times New Roman"/>
                      <w:b/>
                      <w:bCs/>
                      <w:color w:val="auto"/>
                      <w:sz w:val="18"/>
                      <w:szCs w:val="18"/>
                    </w:rPr>
                  </w:pPr>
                </w:p>
              </w:tc>
              <w:tc>
                <w:tcPr>
                  <w:tcW w:w="491" w:type="pct"/>
                  <w:shd w:val="clear" w:color="auto" w:fill="auto"/>
                  <w:vAlign w:val="center"/>
                </w:tcPr>
                <w:p w14:paraId="47046F50">
                  <w:pPr>
                    <w:widowControl/>
                    <w:jc w:val="center"/>
                    <w:textAlignment w:val="center"/>
                    <w:rPr>
                      <w:rFonts w:hint="default" w:ascii="Times New Roman" w:hAnsi="Times New Roman" w:cs="Times New Roman"/>
                      <w:b/>
                      <w:bCs/>
                      <w:color w:val="auto"/>
                      <w:sz w:val="18"/>
                      <w:szCs w:val="18"/>
                    </w:rPr>
                  </w:pPr>
                </w:p>
              </w:tc>
              <w:tc>
                <w:tcPr>
                  <w:tcW w:w="489" w:type="pct"/>
                  <w:vMerge w:val="continue"/>
                  <w:shd w:val="clear" w:color="auto" w:fill="auto"/>
                  <w:vAlign w:val="center"/>
                </w:tcPr>
                <w:p w14:paraId="58F735F8">
                  <w:pPr>
                    <w:jc w:val="center"/>
                    <w:rPr>
                      <w:rFonts w:hint="default" w:ascii="Times New Roman" w:hAnsi="Times New Roman" w:cs="Times New Roman"/>
                      <w:b/>
                      <w:bCs/>
                      <w:color w:val="auto"/>
                      <w:sz w:val="18"/>
                      <w:szCs w:val="18"/>
                    </w:rPr>
                  </w:pPr>
                </w:p>
              </w:tc>
            </w:tr>
            <w:tr w14:paraId="0269A6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89" w:type="pct"/>
                  <w:vMerge w:val="restart"/>
                  <w:shd w:val="clear" w:color="auto" w:fill="auto"/>
                  <w:vAlign w:val="center"/>
                </w:tcPr>
                <w:p w14:paraId="78F204A1">
                  <w:pPr>
                    <w:widowControl/>
                    <w:jc w:val="center"/>
                    <w:textAlignment w:val="center"/>
                    <w:rPr>
                      <w:rFonts w:hint="default" w:ascii="Times New Roman" w:hAnsi="Times New Roman" w:cs="Times New Roman"/>
                      <w:color w:val="auto"/>
                      <w:sz w:val="18"/>
                      <w:szCs w:val="18"/>
                    </w:rPr>
                  </w:pPr>
                </w:p>
              </w:tc>
              <w:tc>
                <w:tcPr>
                  <w:tcW w:w="489" w:type="pct"/>
                  <w:shd w:val="clear" w:color="auto" w:fill="auto"/>
                  <w:vAlign w:val="center"/>
                </w:tcPr>
                <w:p w14:paraId="6A08500C">
                  <w:pPr>
                    <w:keepNext w:val="0"/>
                    <w:keepLines w:val="0"/>
                    <w:widowControl/>
                    <w:suppressLineNumbers w:val="0"/>
                    <w:jc w:val="center"/>
                    <w:textAlignment w:val="center"/>
                    <w:rPr>
                      <w:rFonts w:hint="default" w:ascii="Times New Roman" w:hAnsi="Times New Roman" w:cs="Times New Roman"/>
                      <w:color w:val="auto"/>
                      <w:sz w:val="18"/>
                      <w:szCs w:val="18"/>
                    </w:rPr>
                  </w:pPr>
                </w:p>
              </w:tc>
              <w:tc>
                <w:tcPr>
                  <w:tcW w:w="489" w:type="pct"/>
                  <w:shd w:val="clear" w:color="auto" w:fill="auto"/>
                  <w:vAlign w:val="center"/>
                </w:tcPr>
                <w:p w14:paraId="14B5B863">
                  <w:pPr>
                    <w:keepNext w:val="0"/>
                    <w:keepLines w:val="0"/>
                    <w:widowControl/>
                    <w:suppressLineNumbers w:val="0"/>
                    <w:jc w:val="center"/>
                    <w:textAlignment w:val="center"/>
                    <w:rPr>
                      <w:rFonts w:hint="default" w:ascii="Times New Roman" w:hAnsi="Times New Roman" w:cs="Times New Roman"/>
                      <w:color w:val="auto"/>
                      <w:sz w:val="18"/>
                      <w:szCs w:val="18"/>
                    </w:rPr>
                  </w:pPr>
                </w:p>
              </w:tc>
              <w:tc>
                <w:tcPr>
                  <w:tcW w:w="489" w:type="pct"/>
                  <w:shd w:val="clear" w:color="auto" w:fill="auto"/>
                  <w:vAlign w:val="center"/>
                </w:tcPr>
                <w:p w14:paraId="665CE5FE">
                  <w:pPr>
                    <w:keepNext w:val="0"/>
                    <w:keepLines w:val="0"/>
                    <w:widowControl/>
                    <w:suppressLineNumbers w:val="0"/>
                    <w:jc w:val="center"/>
                    <w:textAlignment w:val="center"/>
                    <w:rPr>
                      <w:rFonts w:hint="default" w:ascii="Times New Roman" w:hAnsi="Times New Roman" w:cs="Times New Roman"/>
                      <w:color w:val="auto"/>
                      <w:sz w:val="18"/>
                      <w:szCs w:val="18"/>
                    </w:rPr>
                  </w:pPr>
                </w:p>
              </w:tc>
              <w:tc>
                <w:tcPr>
                  <w:tcW w:w="523" w:type="pct"/>
                  <w:shd w:val="clear" w:color="auto" w:fill="auto"/>
                  <w:vAlign w:val="center"/>
                </w:tcPr>
                <w:p w14:paraId="636758D3">
                  <w:pPr>
                    <w:keepNext w:val="0"/>
                    <w:keepLines w:val="0"/>
                    <w:widowControl/>
                    <w:suppressLineNumbers w:val="0"/>
                    <w:jc w:val="center"/>
                    <w:textAlignment w:val="center"/>
                    <w:rPr>
                      <w:rFonts w:hint="default" w:ascii="Times New Roman" w:hAnsi="Times New Roman" w:cs="Times New Roman"/>
                      <w:color w:val="auto"/>
                      <w:sz w:val="18"/>
                      <w:szCs w:val="18"/>
                    </w:rPr>
                  </w:pPr>
                </w:p>
              </w:tc>
              <w:tc>
                <w:tcPr>
                  <w:tcW w:w="527" w:type="pct"/>
                  <w:shd w:val="clear" w:color="auto" w:fill="auto"/>
                  <w:vAlign w:val="center"/>
                </w:tcPr>
                <w:p w14:paraId="4BB4CCFF">
                  <w:pPr>
                    <w:keepNext w:val="0"/>
                    <w:keepLines w:val="0"/>
                    <w:widowControl/>
                    <w:suppressLineNumbers w:val="0"/>
                    <w:jc w:val="center"/>
                    <w:textAlignment w:val="center"/>
                    <w:rPr>
                      <w:rFonts w:hint="default" w:ascii="Times New Roman" w:hAnsi="Times New Roman" w:cs="Times New Roman"/>
                      <w:color w:val="auto"/>
                      <w:sz w:val="18"/>
                      <w:szCs w:val="18"/>
                    </w:rPr>
                  </w:pPr>
                </w:p>
              </w:tc>
              <w:tc>
                <w:tcPr>
                  <w:tcW w:w="523" w:type="pct"/>
                  <w:vMerge w:val="restart"/>
                  <w:shd w:val="clear" w:color="auto" w:fill="auto"/>
                  <w:vAlign w:val="center"/>
                </w:tcPr>
                <w:p w14:paraId="32547140">
                  <w:pPr>
                    <w:widowControl/>
                    <w:jc w:val="center"/>
                    <w:textAlignment w:val="center"/>
                    <w:rPr>
                      <w:rFonts w:hint="default" w:ascii="Times New Roman" w:hAnsi="Times New Roman" w:eastAsia="宋体" w:cs="Times New Roman"/>
                      <w:color w:val="auto"/>
                      <w:sz w:val="18"/>
                      <w:szCs w:val="18"/>
                      <w:lang w:val="en-US" w:eastAsia="zh-CN"/>
                    </w:rPr>
                  </w:pPr>
                </w:p>
              </w:tc>
              <w:tc>
                <w:tcPr>
                  <w:tcW w:w="489" w:type="pct"/>
                  <w:vMerge w:val="restart"/>
                  <w:shd w:val="clear" w:color="auto" w:fill="auto"/>
                  <w:vAlign w:val="center"/>
                </w:tcPr>
                <w:p w14:paraId="14EDFB1D">
                  <w:pPr>
                    <w:widowControl/>
                    <w:jc w:val="center"/>
                    <w:textAlignment w:val="center"/>
                    <w:rPr>
                      <w:rFonts w:hint="default" w:ascii="Times New Roman" w:hAnsi="Times New Roman" w:cs="Times New Roman"/>
                      <w:color w:val="auto"/>
                      <w:sz w:val="18"/>
                      <w:szCs w:val="18"/>
                    </w:rPr>
                  </w:pPr>
                </w:p>
              </w:tc>
              <w:tc>
                <w:tcPr>
                  <w:tcW w:w="491" w:type="pct"/>
                  <w:vMerge w:val="restart"/>
                  <w:shd w:val="clear" w:color="auto" w:fill="auto"/>
                  <w:vAlign w:val="center"/>
                </w:tcPr>
                <w:p w14:paraId="67DD8CA2">
                  <w:pPr>
                    <w:widowControl/>
                    <w:jc w:val="center"/>
                    <w:textAlignment w:val="center"/>
                    <w:rPr>
                      <w:rFonts w:hint="default" w:ascii="Times New Roman" w:hAnsi="Times New Roman" w:cs="Times New Roman"/>
                      <w:color w:val="auto"/>
                      <w:sz w:val="18"/>
                      <w:szCs w:val="18"/>
                    </w:rPr>
                  </w:pPr>
                </w:p>
              </w:tc>
              <w:tc>
                <w:tcPr>
                  <w:tcW w:w="489" w:type="pct"/>
                  <w:vMerge w:val="restart"/>
                  <w:shd w:val="clear" w:color="auto" w:fill="auto"/>
                  <w:vAlign w:val="center"/>
                </w:tcPr>
                <w:p w14:paraId="32CE3F8F">
                  <w:pPr>
                    <w:widowControl/>
                    <w:jc w:val="center"/>
                    <w:textAlignment w:val="center"/>
                    <w:rPr>
                      <w:rFonts w:hint="default" w:ascii="Times New Roman" w:hAnsi="Times New Roman" w:cs="Times New Roman"/>
                      <w:color w:val="auto"/>
                      <w:sz w:val="18"/>
                      <w:szCs w:val="18"/>
                    </w:rPr>
                  </w:pPr>
                </w:p>
              </w:tc>
            </w:tr>
            <w:tr w14:paraId="52F4EF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89" w:type="pct"/>
                  <w:vMerge w:val="continue"/>
                  <w:shd w:val="clear" w:color="auto" w:fill="auto"/>
                  <w:vAlign w:val="center"/>
                </w:tcPr>
                <w:p w14:paraId="5A377BEF">
                  <w:pPr>
                    <w:jc w:val="center"/>
                    <w:rPr>
                      <w:rFonts w:hint="default" w:ascii="Times New Roman" w:hAnsi="Times New Roman" w:cs="Times New Roman"/>
                      <w:color w:val="auto"/>
                      <w:sz w:val="18"/>
                      <w:szCs w:val="18"/>
                    </w:rPr>
                  </w:pPr>
                </w:p>
              </w:tc>
              <w:tc>
                <w:tcPr>
                  <w:tcW w:w="489" w:type="pct"/>
                  <w:shd w:val="clear" w:color="auto" w:fill="auto"/>
                  <w:vAlign w:val="center"/>
                </w:tcPr>
                <w:p w14:paraId="256FAD00">
                  <w:pPr>
                    <w:keepNext w:val="0"/>
                    <w:keepLines w:val="0"/>
                    <w:widowControl/>
                    <w:suppressLineNumbers w:val="0"/>
                    <w:jc w:val="center"/>
                    <w:textAlignment w:val="center"/>
                    <w:rPr>
                      <w:rFonts w:hint="default" w:ascii="Times New Roman" w:hAnsi="Times New Roman" w:cs="Times New Roman"/>
                      <w:color w:val="auto"/>
                      <w:sz w:val="18"/>
                      <w:szCs w:val="18"/>
                    </w:rPr>
                  </w:pPr>
                </w:p>
              </w:tc>
              <w:tc>
                <w:tcPr>
                  <w:tcW w:w="489" w:type="pct"/>
                  <w:shd w:val="clear" w:color="auto" w:fill="auto"/>
                  <w:vAlign w:val="center"/>
                </w:tcPr>
                <w:p w14:paraId="1DFF791C">
                  <w:pPr>
                    <w:keepNext w:val="0"/>
                    <w:keepLines w:val="0"/>
                    <w:widowControl/>
                    <w:suppressLineNumbers w:val="0"/>
                    <w:jc w:val="center"/>
                    <w:textAlignment w:val="center"/>
                    <w:rPr>
                      <w:rFonts w:hint="default" w:ascii="Times New Roman" w:hAnsi="Times New Roman" w:cs="Times New Roman"/>
                      <w:color w:val="auto"/>
                      <w:sz w:val="18"/>
                      <w:szCs w:val="18"/>
                    </w:rPr>
                  </w:pPr>
                </w:p>
              </w:tc>
              <w:tc>
                <w:tcPr>
                  <w:tcW w:w="489" w:type="pct"/>
                  <w:shd w:val="clear" w:color="auto" w:fill="auto"/>
                  <w:vAlign w:val="center"/>
                </w:tcPr>
                <w:p w14:paraId="61E98724">
                  <w:pPr>
                    <w:keepNext w:val="0"/>
                    <w:keepLines w:val="0"/>
                    <w:widowControl/>
                    <w:suppressLineNumbers w:val="0"/>
                    <w:jc w:val="center"/>
                    <w:textAlignment w:val="center"/>
                    <w:rPr>
                      <w:rFonts w:hint="default" w:ascii="Times New Roman" w:hAnsi="Times New Roman" w:cs="Times New Roman"/>
                      <w:color w:val="auto"/>
                      <w:sz w:val="18"/>
                      <w:szCs w:val="18"/>
                    </w:rPr>
                  </w:pPr>
                </w:p>
              </w:tc>
              <w:tc>
                <w:tcPr>
                  <w:tcW w:w="523" w:type="pct"/>
                  <w:shd w:val="clear" w:color="auto" w:fill="auto"/>
                  <w:vAlign w:val="center"/>
                </w:tcPr>
                <w:p w14:paraId="23F61507">
                  <w:pPr>
                    <w:keepNext w:val="0"/>
                    <w:keepLines w:val="0"/>
                    <w:widowControl/>
                    <w:suppressLineNumbers w:val="0"/>
                    <w:jc w:val="center"/>
                    <w:textAlignment w:val="center"/>
                    <w:rPr>
                      <w:rFonts w:hint="default" w:ascii="Times New Roman" w:hAnsi="Times New Roman" w:cs="Times New Roman"/>
                      <w:color w:val="auto"/>
                      <w:sz w:val="18"/>
                      <w:szCs w:val="18"/>
                    </w:rPr>
                  </w:pPr>
                </w:p>
              </w:tc>
              <w:tc>
                <w:tcPr>
                  <w:tcW w:w="527" w:type="pct"/>
                  <w:shd w:val="clear" w:color="auto" w:fill="auto"/>
                  <w:vAlign w:val="center"/>
                </w:tcPr>
                <w:p w14:paraId="5234AF0C">
                  <w:pPr>
                    <w:keepNext w:val="0"/>
                    <w:keepLines w:val="0"/>
                    <w:widowControl/>
                    <w:suppressLineNumbers w:val="0"/>
                    <w:jc w:val="center"/>
                    <w:textAlignment w:val="center"/>
                    <w:rPr>
                      <w:rFonts w:hint="default" w:ascii="Times New Roman" w:hAnsi="Times New Roman" w:cs="Times New Roman"/>
                      <w:color w:val="auto"/>
                      <w:sz w:val="18"/>
                      <w:szCs w:val="18"/>
                    </w:rPr>
                  </w:pPr>
                </w:p>
              </w:tc>
              <w:tc>
                <w:tcPr>
                  <w:tcW w:w="523" w:type="pct"/>
                  <w:vMerge w:val="continue"/>
                  <w:shd w:val="clear" w:color="auto" w:fill="auto"/>
                  <w:vAlign w:val="center"/>
                </w:tcPr>
                <w:p w14:paraId="5887C02B">
                  <w:pPr>
                    <w:jc w:val="center"/>
                    <w:rPr>
                      <w:rFonts w:hint="default" w:ascii="Times New Roman" w:hAnsi="Times New Roman" w:cs="Times New Roman"/>
                      <w:color w:val="auto"/>
                      <w:sz w:val="18"/>
                      <w:szCs w:val="18"/>
                    </w:rPr>
                  </w:pPr>
                </w:p>
              </w:tc>
              <w:tc>
                <w:tcPr>
                  <w:tcW w:w="489" w:type="pct"/>
                  <w:vMerge w:val="continue"/>
                  <w:shd w:val="clear" w:color="auto" w:fill="auto"/>
                  <w:vAlign w:val="center"/>
                </w:tcPr>
                <w:p w14:paraId="6F5588B4">
                  <w:pPr>
                    <w:jc w:val="center"/>
                    <w:rPr>
                      <w:rFonts w:hint="default" w:ascii="Times New Roman" w:hAnsi="Times New Roman" w:cs="Times New Roman"/>
                      <w:color w:val="auto"/>
                      <w:sz w:val="18"/>
                      <w:szCs w:val="18"/>
                    </w:rPr>
                  </w:pPr>
                </w:p>
              </w:tc>
              <w:tc>
                <w:tcPr>
                  <w:tcW w:w="491" w:type="pct"/>
                  <w:vMerge w:val="continue"/>
                  <w:shd w:val="clear" w:color="auto" w:fill="auto"/>
                  <w:vAlign w:val="center"/>
                </w:tcPr>
                <w:p w14:paraId="0382F711">
                  <w:pPr>
                    <w:jc w:val="center"/>
                    <w:rPr>
                      <w:rFonts w:hint="default" w:ascii="Times New Roman" w:hAnsi="Times New Roman" w:cs="Times New Roman"/>
                      <w:color w:val="auto"/>
                      <w:sz w:val="18"/>
                      <w:szCs w:val="18"/>
                    </w:rPr>
                  </w:pPr>
                </w:p>
              </w:tc>
              <w:tc>
                <w:tcPr>
                  <w:tcW w:w="489" w:type="pct"/>
                  <w:vMerge w:val="continue"/>
                  <w:shd w:val="clear" w:color="auto" w:fill="auto"/>
                  <w:vAlign w:val="center"/>
                </w:tcPr>
                <w:p w14:paraId="2F6035F9">
                  <w:pPr>
                    <w:jc w:val="center"/>
                    <w:rPr>
                      <w:rFonts w:hint="default" w:ascii="Times New Roman" w:hAnsi="Times New Roman" w:cs="Times New Roman"/>
                      <w:color w:val="auto"/>
                      <w:sz w:val="18"/>
                      <w:szCs w:val="18"/>
                    </w:rPr>
                  </w:pPr>
                </w:p>
              </w:tc>
            </w:tr>
            <w:tr w14:paraId="7E48A0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89" w:type="pct"/>
                  <w:vMerge w:val="continue"/>
                  <w:shd w:val="clear" w:color="auto" w:fill="auto"/>
                  <w:vAlign w:val="center"/>
                </w:tcPr>
                <w:p w14:paraId="0F686A49">
                  <w:pPr>
                    <w:jc w:val="center"/>
                    <w:rPr>
                      <w:rFonts w:hint="default" w:ascii="Times New Roman" w:hAnsi="Times New Roman" w:cs="Times New Roman"/>
                      <w:color w:val="auto"/>
                      <w:sz w:val="18"/>
                      <w:szCs w:val="18"/>
                    </w:rPr>
                  </w:pPr>
                </w:p>
              </w:tc>
              <w:tc>
                <w:tcPr>
                  <w:tcW w:w="489" w:type="pct"/>
                  <w:shd w:val="clear" w:color="auto" w:fill="auto"/>
                  <w:vAlign w:val="center"/>
                </w:tcPr>
                <w:p w14:paraId="24B7C3AD">
                  <w:pPr>
                    <w:keepNext w:val="0"/>
                    <w:keepLines w:val="0"/>
                    <w:widowControl/>
                    <w:suppressLineNumbers w:val="0"/>
                    <w:jc w:val="center"/>
                    <w:textAlignment w:val="center"/>
                    <w:rPr>
                      <w:rFonts w:hint="default" w:ascii="Times New Roman" w:hAnsi="Times New Roman" w:cs="Times New Roman"/>
                      <w:color w:val="auto"/>
                      <w:sz w:val="18"/>
                      <w:szCs w:val="18"/>
                    </w:rPr>
                  </w:pPr>
                </w:p>
              </w:tc>
              <w:tc>
                <w:tcPr>
                  <w:tcW w:w="489" w:type="pct"/>
                  <w:shd w:val="clear" w:color="auto" w:fill="auto"/>
                  <w:vAlign w:val="center"/>
                </w:tcPr>
                <w:p w14:paraId="73013811">
                  <w:pPr>
                    <w:keepNext w:val="0"/>
                    <w:keepLines w:val="0"/>
                    <w:widowControl/>
                    <w:suppressLineNumbers w:val="0"/>
                    <w:jc w:val="center"/>
                    <w:textAlignment w:val="center"/>
                    <w:rPr>
                      <w:rFonts w:hint="default" w:ascii="Times New Roman" w:hAnsi="Times New Roman" w:cs="Times New Roman"/>
                      <w:color w:val="auto"/>
                      <w:sz w:val="18"/>
                      <w:szCs w:val="18"/>
                    </w:rPr>
                  </w:pPr>
                </w:p>
              </w:tc>
              <w:tc>
                <w:tcPr>
                  <w:tcW w:w="489" w:type="pct"/>
                  <w:shd w:val="clear" w:color="auto" w:fill="auto"/>
                  <w:vAlign w:val="center"/>
                </w:tcPr>
                <w:p w14:paraId="19CF6685">
                  <w:pPr>
                    <w:keepNext w:val="0"/>
                    <w:keepLines w:val="0"/>
                    <w:widowControl/>
                    <w:suppressLineNumbers w:val="0"/>
                    <w:jc w:val="center"/>
                    <w:textAlignment w:val="center"/>
                    <w:rPr>
                      <w:rFonts w:hint="default" w:ascii="Times New Roman" w:hAnsi="Times New Roman" w:cs="Times New Roman"/>
                      <w:color w:val="auto"/>
                      <w:sz w:val="18"/>
                      <w:szCs w:val="18"/>
                    </w:rPr>
                  </w:pPr>
                </w:p>
              </w:tc>
              <w:tc>
                <w:tcPr>
                  <w:tcW w:w="523" w:type="pct"/>
                  <w:shd w:val="clear" w:color="auto" w:fill="auto"/>
                  <w:vAlign w:val="center"/>
                </w:tcPr>
                <w:p w14:paraId="4BB9F32A">
                  <w:pPr>
                    <w:keepNext w:val="0"/>
                    <w:keepLines w:val="0"/>
                    <w:widowControl/>
                    <w:suppressLineNumbers w:val="0"/>
                    <w:jc w:val="center"/>
                    <w:textAlignment w:val="center"/>
                    <w:rPr>
                      <w:rFonts w:hint="default" w:ascii="Times New Roman" w:hAnsi="Times New Roman" w:cs="Times New Roman"/>
                      <w:color w:val="auto"/>
                      <w:sz w:val="18"/>
                      <w:szCs w:val="18"/>
                      <w:lang w:val="en-US"/>
                    </w:rPr>
                  </w:pPr>
                </w:p>
              </w:tc>
              <w:tc>
                <w:tcPr>
                  <w:tcW w:w="527" w:type="pct"/>
                  <w:shd w:val="clear" w:color="auto" w:fill="auto"/>
                  <w:vAlign w:val="center"/>
                </w:tcPr>
                <w:p w14:paraId="15569809">
                  <w:pPr>
                    <w:keepNext w:val="0"/>
                    <w:keepLines w:val="0"/>
                    <w:widowControl/>
                    <w:suppressLineNumbers w:val="0"/>
                    <w:jc w:val="center"/>
                    <w:textAlignment w:val="center"/>
                    <w:rPr>
                      <w:rFonts w:hint="default" w:ascii="Times New Roman" w:hAnsi="Times New Roman" w:cs="Times New Roman"/>
                      <w:color w:val="auto"/>
                      <w:sz w:val="18"/>
                      <w:szCs w:val="18"/>
                    </w:rPr>
                  </w:pPr>
                </w:p>
              </w:tc>
              <w:tc>
                <w:tcPr>
                  <w:tcW w:w="523" w:type="pct"/>
                  <w:vMerge w:val="continue"/>
                  <w:shd w:val="clear" w:color="auto" w:fill="auto"/>
                  <w:vAlign w:val="center"/>
                </w:tcPr>
                <w:p w14:paraId="7A00C4F7">
                  <w:pPr>
                    <w:jc w:val="center"/>
                    <w:rPr>
                      <w:rFonts w:hint="default" w:ascii="Times New Roman" w:hAnsi="Times New Roman" w:cs="Times New Roman"/>
                      <w:color w:val="auto"/>
                      <w:sz w:val="18"/>
                      <w:szCs w:val="18"/>
                    </w:rPr>
                  </w:pPr>
                </w:p>
              </w:tc>
              <w:tc>
                <w:tcPr>
                  <w:tcW w:w="489" w:type="pct"/>
                  <w:vMerge w:val="continue"/>
                  <w:shd w:val="clear" w:color="auto" w:fill="auto"/>
                  <w:vAlign w:val="center"/>
                </w:tcPr>
                <w:p w14:paraId="6488F92D">
                  <w:pPr>
                    <w:jc w:val="center"/>
                    <w:rPr>
                      <w:rFonts w:hint="default" w:ascii="Times New Roman" w:hAnsi="Times New Roman" w:cs="Times New Roman"/>
                      <w:color w:val="auto"/>
                      <w:sz w:val="18"/>
                      <w:szCs w:val="18"/>
                    </w:rPr>
                  </w:pPr>
                </w:p>
              </w:tc>
              <w:tc>
                <w:tcPr>
                  <w:tcW w:w="491" w:type="pct"/>
                  <w:vMerge w:val="continue"/>
                  <w:shd w:val="clear" w:color="auto" w:fill="auto"/>
                  <w:vAlign w:val="center"/>
                </w:tcPr>
                <w:p w14:paraId="1564E55C">
                  <w:pPr>
                    <w:jc w:val="center"/>
                    <w:rPr>
                      <w:rFonts w:hint="default" w:ascii="Times New Roman" w:hAnsi="Times New Roman" w:cs="Times New Roman"/>
                      <w:color w:val="auto"/>
                      <w:sz w:val="18"/>
                      <w:szCs w:val="18"/>
                    </w:rPr>
                  </w:pPr>
                </w:p>
              </w:tc>
              <w:tc>
                <w:tcPr>
                  <w:tcW w:w="489" w:type="pct"/>
                  <w:vMerge w:val="continue"/>
                  <w:shd w:val="clear" w:color="auto" w:fill="auto"/>
                  <w:vAlign w:val="center"/>
                </w:tcPr>
                <w:p w14:paraId="44B666D8">
                  <w:pPr>
                    <w:jc w:val="center"/>
                    <w:rPr>
                      <w:rFonts w:hint="default" w:ascii="Times New Roman" w:hAnsi="Times New Roman" w:cs="Times New Roman"/>
                      <w:color w:val="auto"/>
                      <w:sz w:val="18"/>
                      <w:szCs w:val="18"/>
                    </w:rPr>
                  </w:pPr>
                </w:p>
              </w:tc>
            </w:tr>
            <w:tr w14:paraId="1D7F53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89" w:type="pct"/>
                  <w:vMerge w:val="continue"/>
                  <w:shd w:val="clear" w:color="auto" w:fill="auto"/>
                  <w:vAlign w:val="center"/>
                </w:tcPr>
                <w:p w14:paraId="25A7734B">
                  <w:pPr>
                    <w:jc w:val="center"/>
                    <w:rPr>
                      <w:rFonts w:hint="default" w:ascii="Times New Roman" w:hAnsi="Times New Roman" w:cs="Times New Roman"/>
                      <w:color w:val="auto"/>
                      <w:sz w:val="18"/>
                      <w:szCs w:val="18"/>
                    </w:rPr>
                  </w:pPr>
                </w:p>
              </w:tc>
              <w:tc>
                <w:tcPr>
                  <w:tcW w:w="489" w:type="pct"/>
                  <w:shd w:val="clear" w:color="auto" w:fill="auto"/>
                  <w:vAlign w:val="center"/>
                </w:tcPr>
                <w:p w14:paraId="24B31BA2">
                  <w:pPr>
                    <w:keepNext w:val="0"/>
                    <w:keepLines w:val="0"/>
                    <w:widowControl/>
                    <w:suppressLineNumbers w:val="0"/>
                    <w:jc w:val="center"/>
                    <w:textAlignment w:val="center"/>
                    <w:rPr>
                      <w:rFonts w:hint="default" w:ascii="Times New Roman" w:hAnsi="Times New Roman" w:cs="Times New Roman"/>
                      <w:color w:val="auto"/>
                      <w:sz w:val="18"/>
                      <w:szCs w:val="18"/>
                    </w:rPr>
                  </w:pPr>
                </w:p>
              </w:tc>
              <w:tc>
                <w:tcPr>
                  <w:tcW w:w="489" w:type="pct"/>
                  <w:shd w:val="clear" w:color="auto" w:fill="auto"/>
                  <w:vAlign w:val="center"/>
                </w:tcPr>
                <w:p w14:paraId="2F57DFE8">
                  <w:pPr>
                    <w:keepNext w:val="0"/>
                    <w:keepLines w:val="0"/>
                    <w:widowControl/>
                    <w:suppressLineNumbers w:val="0"/>
                    <w:jc w:val="center"/>
                    <w:textAlignment w:val="center"/>
                    <w:rPr>
                      <w:rFonts w:hint="default" w:ascii="Times New Roman" w:hAnsi="Times New Roman" w:cs="Times New Roman"/>
                      <w:color w:val="auto"/>
                      <w:sz w:val="18"/>
                      <w:szCs w:val="18"/>
                    </w:rPr>
                  </w:pPr>
                </w:p>
              </w:tc>
              <w:tc>
                <w:tcPr>
                  <w:tcW w:w="489" w:type="pct"/>
                  <w:shd w:val="clear" w:color="auto" w:fill="auto"/>
                  <w:vAlign w:val="center"/>
                </w:tcPr>
                <w:p w14:paraId="671810E9">
                  <w:pPr>
                    <w:keepNext w:val="0"/>
                    <w:keepLines w:val="0"/>
                    <w:widowControl/>
                    <w:suppressLineNumbers w:val="0"/>
                    <w:jc w:val="center"/>
                    <w:textAlignment w:val="center"/>
                    <w:rPr>
                      <w:rFonts w:hint="default" w:ascii="Times New Roman" w:hAnsi="Times New Roman" w:cs="Times New Roman"/>
                      <w:color w:val="auto"/>
                      <w:sz w:val="18"/>
                      <w:szCs w:val="18"/>
                    </w:rPr>
                  </w:pPr>
                </w:p>
              </w:tc>
              <w:tc>
                <w:tcPr>
                  <w:tcW w:w="523" w:type="pct"/>
                  <w:shd w:val="clear" w:color="auto" w:fill="auto"/>
                  <w:vAlign w:val="center"/>
                </w:tcPr>
                <w:p w14:paraId="7C031F59">
                  <w:pPr>
                    <w:keepNext w:val="0"/>
                    <w:keepLines w:val="0"/>
                    <w:widowControl/>
                    <w:suppressLineNumbers w:val="0"/>
                    <w:jc w:val="center"/>
                    <w:textAlignment w:val="center"/>
                    <w:rPr>
                      <w:rFonts w:hint="default" w:ascii="Times New Roman" w:hAnsi="Times New Roman" w:cs="Times New Roman"/>
                      <w:color w:val="auto"/>
                      <w:sz w:val="18"/>
                      <w:szCs w:val="18"/>
                    </w:rPr>
                  </w:pPr>
                </w:p>
              </w:tc>
              <w:tc>
                <w:tcPr>
                  <w:tcW w:w="527" w:type="pct"/>
                  <w:shd w:val="clear" w:color="auto" w:fill="auto"/>
                  <w:vAlign w:val="center"/>
                </w:tcPr>
                <w:p w14:paraId="4D13665E">
                  <w:pPr>
                    <w:keepNext w:val="0"/>
                    <w:keepLines w:val="0"/>
                    <w:widowControl/>
                    <w:suppressLineNumbers w:val="0"/>
                    <w:jc w:val="center"/>
                    <w:textAlignment w:val="center"/>
                    <w:rPr>
                      <w:rFonts w:hint="default" w:ascii="Times New Roman" w:hAnsi="Times New Roman" w:cs="Times New Roman"/>
                      <w:color w:val="auto"/>
                      <w:sz w:val="18"/>
                      <w:szCs w:val="18"/>
                    </w:rPr>
                  </w:pPr>
                </w:p>
              </w:tc>
              <w:tc>
                <w:tcPr>
                  <w:tcW w:w="523" w:type="pct"/>
                  <w:vMerge w:val="continue"/>
                  <w:shd w:val="clear" w:color="auto" w:fill="auto"/>
                  <w:vAlign w:val="center"/>
                </w:tcPr>
                <w:p w14:paraId="64209C54">
                  <w:pPr>
                    <w:jc w:val="center"/>
                    <w:rPr>
                      <w:rFonts w:hint="default" w:ascii="Times New Roman" w:hAnsi="Times New Roman" w:cs="Times New Roman"/>
                      <w:color w:val="auto"/>
                      <w:sz w:val="18"/>
                      <w:szCs w:val="18"/>
                    </w:rPr>
                  </w:pPr>
                </w:p>
              </w:tc>
              <w:tc>
                <w:tcPr>
                  <w:tcW w:w="489" w:type="pct"/>
                  <w:vMerge w:val="continue"/>
                  <w:shd w:val="clear" w:color="auto" w:fill="auto"/>
                  <w:vAlign w:val="center"/>
                </w:tcPr>
                <w:p w14:paraId="48191367">
                  <w:pPr>
                    <w:jc w:val="center"/>
                    <w:rPr>
                      <w:rFonts w:hint="default" w:ascii="Times New Roman" w:hAnsi="Times New Roman" w:cs="Times New Roman"/>
                      <w:color w:val="auto"/>
                      <w:sz w:val="18"/>
                      <w:szCs w:val="18"/>
                    </w:rPr>
                  </w:pPr>
                </w:p>
              </w:tc>
              <w:tc>
                <w:tcPr>
                  <w:tcW w:w="491" w:type="pct"/>
                  <w:vMerge w:val="continue"/>
                  <w:shd w:val="clear" w:color="auto" w:fill="auto"/>
                  <w:vAlign w:val="center"/>
                </w:tcPr>
                <w:p w14:paraId="20F33CF1">
                  <w:pPr>
                    <w:jc w:val="center"/>
                    <w:rPr>
                      <w:rFonts w:hint="default" w:ascii="Times New Roman" w:hAnsi="Times New Roman" w:cs="Times New Roman"/>
                      <w:color w:val="auto"/>
                      <w:sz w:val="18"/>
                      <w:szCs w:val="18"/>
                    </w:rPr>
                  </w:pPr>
                </w:p>
              </w:tc>
              <w:tc>
                <w:tcPr>
                  <w:tcW w:w="489" w:type="pct"/>
                  <w:vMerge w:val="continue"/>
                  <w:shd w:val="clear" w:color="auto" w:fill="auto"/>
                  <w:vAlign w:val="center"/>
                </w:tcPr>
                <w:p w14:paraId="1A8DF6BD">
                  <w:pPr>
                    <w:jc w:val="center"/>
                    <w:rPr>
                      <w:rFonts w:hint="default" w:ascii="Times New Roman" w:hAnsi="Times New Roman" w:cs="Times New Roman"/>
                      <w:color w:val="auto"/>
                      <w:sz w:val="18"/>
                      <w:szCs w:val="18"/>
                    </w:rPr>
                  </w:pPr>
                </w:p>
              </w:tc>
            </w:tr>
            <w:tr w14:paraId="006002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89" w:type="pct"/>
                  <w:vMerge w:val="continue"/>
                  <w:shd w:val="clear" w:color="auto" w:fill="auto"/>
                  <w:vAlign w:val="center"/>
                </w:tcPr>
                <w:p w14:paraId="1F9F2D48">
                  <w:pPr>
                    <w:jc w:val="center"/>
                    <w:rPr>
                      <w:rFonts w:hint="default" w:ascii="Times New Roman" w:hAnsi="Times New Roman" w:cs="Times New Roman"/>
                      <w:color w:val="auto"/>
                      <w:sz w:val="18"/>
                      <w:szCs w:val="18"/>
                    </w:rPr>
                  </w:pPr>
                </w:p>
              </w:tc>
              <w:tc>
                <w:tcPr>
                  <w:tcW w:w="489" w:type="pct"/>
                  <w:shd w:val="clear" w:color="auto" w:fill="auto"/>
                  <w:vAlign w:val="center"/>
                </w:tcPr>
                <w:p w14:paraId="5D1508AC">
                  <w:pPr>
                    <w:keepNext w:val="0"/>
                    <w:keepLines w:val="0"/>
                    <w:widowControl/>
                    <w:suppressLineNumbers w:val="0"/>
                    <w:jc w:val="center"/>
                    <w:textAlignment w:val="center"/>
                    <w:rPr>
                      <w:rFonts w:hint="default" w:ascii="Times New Roman" w:hAnsi="Times New Roman" w:cs="Times New Roman"/>
                      <w:color w:val="auto"/>
                      <w:sz w:val="18"/>
                      <w:szCs w:val="18"/>
                    </w:rPr>
                  </w:pPr>
                </w:p>
              </w:tc>
              <w:tc>
                <w:tcPr>
                  <w:tcW w:w="489" w:type="pct"/>
                  <w:shd w:val="clear" w:color="auto" w:fill="auto"/>
                  <w:vAlign w:val="center"/>
                </w:tcPr>
                <w:p w14:paraId="34D52DA1">
                  <w:pPr>
                    <w:keepNext w:val="0"/>
                    <w:keepLines w:val="0"/>
                    <w:widowControl/>
                    <w:suppressLineNumbers w:val="0"/>
                    <w:jc w:val="center"/>
                    <w:textAlignment w:val="center"/>
                    <w:rPr>
                      <w:rFonts w:hint="default" w:ascii="Times New Roman" w:hAnsi="Times New Roman" w:cs="Times New Roman"/>
                      <w:color w:val="auto"/>
                      <w:sz w:val="18"/>
                      <w:szCs w:val="18"/>
                    </w:rPr>
                  </w:pPr>
                </w:p>
              </w:tc>
              <w:tc>
                <w:tcPr>
                  <w:tcW w:w="489" w:type="pct"/>
                  <w:shd w:val="clear" w:color="auto" w:fill="auto"/>
                  <w:vAlign w:val="center"/>
                </w:tcPr>
                <w:p w14:paraId="6271BB7C">
                  <w:pPr>
                    <w:keepNext w:val="0"/>
                    <w:keepLines w:val="0"/>
                    <w:widowControl/>
                    <w:suppressLineNumbers w:val="0"/>
                    <w:jc w:val="center"/>
                    <w:textAlignment w:val="center"/>
                    <w:rPr>
                      <w:rFonts w:hint="default" w:ascii="Times New Roman" w:hAnsi="Times New Roman" w:cs="Times New Roman"/>
                      <w:color w:val="auto"/>
                      <w:sz w:val="18"/>
                      <w:szCs w:val="18"/>
                    </w:rPr>
                  </w:pPr>
                </w:p>
              </w:tc>
              <w:tc>
                <w:tcPr>
                  <w:tcW w:w="523" w:type="pct"/>
                  <w:shd w:val="clear" w:color="auto" w:fill="auto"/>
                  <w:vAlign w:val="center"/>
                </w:tcPr>
                <w:p w14:paraId="61F07366">
                  <w:pPr>
                    <w:keepNext w:val="0"/>
                    <w:keepLines w:val="0"/>
                    <w:widowControl/>
                    <w:suppressLineNumbers w:val="0"/>
                    <w:jc w:val="center"/>
                    <w:textAlignment w:val="center"/>
                    <w:rPr>
                      <w:rFonts w:hint="default" w:ascii="Times New Roman" w:hAnsi="Times New Roman" w:cs="Times New Roman"/>
                      <w:color w:val="auto"/>
                      <w:sz w:val="18"/>
                      <w:szCs w:val="18"/>
                    </w:rPr>
                  </w:pPr>
                </w:p>
              </w:tc>
              <w:tc>
                <w:tcPr>
                  <w:tcW w:w="527" w:type="pct"/>
                  <w:shd w:val="clear" w:color="auto" w:fill="auto"/>
                  <w:vAlign w:val="center"/>
                </w:tcPr>
                <w:p w14:paraId="4189FF07">
                  <w:pPr>
                    <w:keepNext w:val="0"/>
                    <w:keepLines w:val="0"/>
                    <w:widowControl/>
                    <w:suppressLineNumbers w:val="0"/>
                    <w:jc w:val="center"/>
                    <w:textAlignment w:val="center"/>
                    <w:rPr>
                      <w:rFonts w:hint="default" w:ascii="Times New Roman" w:hAnsi="Times New Roman" w:cs="Times New Roman"/>
                      <w:color w:val="auto"/>
                      <w:sz w:val="18"/>
                      <w:szCs w:val="18"/>
                    </w:rPr>
                  </w:pPr>
                </w:p>
              </w:tc>
              <w:tc>
                <w:tcPr>
                  <w:tcW w:w="523" w:type="pct"/>
                  <w:vMerge w:val="continue"/>
                  <w:shd w:val="clear" w:color="auto" w:fill="auto"/>
                  <w:vAlign w:val="center"/>
                </w:tcPr>
                <w:p w14:paraId="2BCE05CF">
                  <w:pPr>
                    <w:jc w:val="center"/>
                    <w:rPr>
                      <w:rFonts w:hint="default" w:ascii="Times New Roman" w:hAnsi="Times New Roman" w:cs="Times New Roman"/>
                      <w:color w:val="auto"/>
                      <w:sz w:val="18"/>
                      <w:szCs w:val="18"/>
                    </w:rPr>
                  </w:pPr>
                </w:p>
              </w:tc>
              <w:tc>
                <w:tcPr>
                  <w:tcW w:w="489" w:type="pct"/>
                  <w:vMerge w:val="continue"/>
                  <w:shd w:val="clear" w:color="auto" w:fill="auto"/>
                  <w:vAlign w:val="center"/>
                </w:tcPr>
                <w:p w14:paraId="625DE1A5">
                  <w:pPr>
                    <w:jc w:val="center"/>
                    <w:rPr>
                      <w:rFonts w:hint="default" w:ascii="Times New Roman" w:hAnsi="Times New Roman" w:cs="Times New Roman"/>
                      <w:color w:val="auto"/>
                      <w:sz w:val="18"/>
                      <w:szCs w:val="18"/>
                    </w:rPr>
                  </w:pPr>
                </w:p>
              </w:tc>
              <w:tc>
                <w:tcPr>
                  <w:tcW w:w="491" w:type="pct"/>
                  <w:vMerge w:val="continue"/>
                  <w:shd w:val="clear" w:color="auto" w:fill="auto"/>
                  <w:vAlign w:val="center"/>
                </w:tcPr>
                <w:p w14:paraId="412D2FD9">
                  <w:pPr>
                    <w:jc w:val="center"/>
                    <w:rPr>
                      <w:rFonts w:hint="default" w:ascii="Times New Roman" w:hAnsi="Times New Roman" w:cs="Times New Roman"/>
                      <w:color w:val="auto"/>
                      <w:sz w:val="18"/>
                      <w:szCs w:val="18"/>
                    </w:rPr>
                  </w:pPr>
                </w:p>
              </w:tc>
              <w:tc>
                <w:tcPr>
                  <w:tcW w:w="489" w:type="pct"/>
                  <w:vMerge w:val="continue"/>
                  <w:shd w:val="clear" w:color="auto" w:fill="auto"/>
                  <w:vAlign w:val="center"/>
                </w:tcPr>
                <w:p w14:paraId="4B403F21">
                  <w:pPr>
                    <w:jc w:val="center"/>
                    <w:rPr>
                      <w:rFonts w:hint="default" w:ascii="Times New Roman" w:hAnsi="Times New Roman" w:cs="Times New Roman"/>
                      <w:color w:val="auto"/>
                      <w:sz w:val="18"/>
                      <w:szCs w:val="18"/>
                    </w:rPr>
                  </w:pPr>
                </w:p>
              </w:tc>
            </w:tr>
            <w:tr w14:paraId="4C436A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89" w:type="pct"/>
                  <w:vMerge w:val="continue"/>
                  <w:shd w:val="clear" w:color="auto" w:fill="auto"/>
                  <w:vAlign w:val="center"/>
                </w:tcPr>
                <w:p w14:paraId="163C7B03">
                  <w:pPr>
                    <w:jc w:val="center"/>
                    <w:rPr>
                      <w:rFonts w:hint="default" w:ascii="Times New Roman" w:hAnsi="Times New Roman" w:cs="Times New Roman"/>
                      <w:color w:val="auto"/>
                      <w:sz w:val="18"/>
                      <w:szCs w:val="18"/>
                    </w:rPr>
                  </w:pPr>
                </w:p>
              </w:tc>
              <w:tc>
                <w:tcPr>
                  <w:tcW w:w="489" w:type="pct"/>
                  <w:shd w:val="clear" w:color="auto" w:fill="auto"/>
                  <w:vAlign w:val="center"/>
                </w:tcPr>
                <w:p w14:paraId="1A69CE8A">
                  <w:pPr>
                    <w:keepNext w:val="0"/>
                    <w:keepLines w:val="0"/>
                    <w:widowControl/>
                    <w:suppressLineNumbers w:val="0"/>
                    <w:jc w:val="center"/>
                    <w:textAlignment w:val="center"/>
                    <w:rPr>
                      <w:rFonts w:hint="default" w:ascii="Times New Roman" w:hAnsi="Times New Roman" w:cs="Times New Roman"/>
                      <w:color w:val="auto"/>
                      <w:sz w:val="18"/>
                      <w:szCs w:val="18"/>
                    </w:rPr>
                  </w:pPr>
                </w:p>
              </w:tc>
              <w:tc>
                <w:tcPr>
                  <w:tcW w:w="489" w:type="pct"/>
                  <w:shd w:val="clear" w:color="auto" w:fill="auto"/>
                  <w:vAlign w:val="center"/>
                </w:tcPr>
                <w:p w14:paraId="0ACE481C">
                  <w:pPr>
                    <w:keepNext w:val="0"/>
                    <w:keepLines w:val="0"/>
                    <w:widowControl/>
                    <w:suppressLineNumbers w:val="0"/>
                    <w:jc w:val="center"/>
                    <w:textAlignment w:val="center"/>
                    <w:rPr>
                      <w:rFonts w:hint="default" w:ascii="Times New Roman" w:hAnsi="Times New Roman" w:cs="Times New Roman"/>
                      <w:color w:val="auto"/>
                      <w:sz w:val="18"/>
                      <w:szCs w:val="18"/>
                    </w:rPr>
                  </w:pPr>
                </w:p>
              </w:tc>
              <w:tc>
                <w:tcPr>
                  <w:tcW w:w="489" w:type="pct"/>
                  <w:shd w:val="clear" w:color="auto" w:fill="auto"/>
                  <w:vAlign w:val="center"/>
                </w:tcPr>
                <w:p w14:paraId="5BE57F1F">
                  <w:pPr>
                    <w:keepNext w:val="0"/>
                    <w:keepLines w:val="0"/>
                    <w:widowControl/>
                    <w:suppressLineNumbers w:val="0"/>
                    <w:jc w:val="center"/>
                    <w:textAlignment w:val="center"/>
                    <w:rPr>
                      <w:rFonts w:hint="default" w:ascii="Times New Roman" w:hAnsi="Times New Roman" w:cs="Times New Roman"/>
                      <w:color w:val="auto"/>
                      <w:sz w:val="18"/>
                      <w:szCs w:val="18"/>
                    </w:rPr>
                  </w:pPr>
                </w:p>
              </w:tc>
              <w:tc>
                <w:tcPr>
                  <w:tcW w:w="523" w:type="pct"/>
                  <w:shd w:val="clear" w:color="auto" w:fill="auto"/>
                  <w:vAlign w:val="center"/>
                </w:tcPr>
                <w:p w14:paraId="45A8ACC6">
                  <w:pPr>
                    <w:keepNext w:val="0"/>
                    <w:keepLines w:val="0"/>
                    <w:widowControl/>
                    <w:suppressLineNumbers w:val="0"/>
                    <w:jc w:val="center"/>
                    <w:textAlignment w:val="center"/>
                    <w:rPr>
                      <w:rFonts w:hint="default" w:ascii="Times New Roman" w:hAnsi="Times New Roman" w:cs="Times New Roman"/>
                      <w:color w:val="auto"/>
                      <w:sz w:val="18"/>
                      <w:szCs w:val="18"/>
                    </w:rPr>
                  </w:pPr>
                </w:p>
              </w:tc>
              <w:tc>
                <w:tcPr>
                  <w:tcW w:w="527" w:type="pct"/>
                  <w:shd w:val="clear" w:color="auto" w:fill="auto"/>
                  <w:vAlign w:val="center"/>
                </w:tcPr>
                <w:p w14:paraId="54E70000">
                  <w:pPr>
                    <w:keepNext w:val="0"/>
                    <w:keepLines w:val="0"/>
                    <w:widowControl/>
                    <w:suppressLineNumbers w:val="0"/>
                    <w:jc w:val="center"/>
                    <w:textAlignment w:val="center"/>
                    <w:rPr>
                      <w:rFonts w:hint="default" w:ascii="Times New Roman" w:hAnsi="Times New Roman" w:cs="Times New Roman"/>
                      <w:color w:val="auto"/>
                      <w:sz w:val="18"/>
                      <w:szCs w:val="18"/>
                    </w:rPr>
                  </w:pPr>
                </w:p>
              </w:tc>
              <w:tc>
                <w:tcPr>
                  <w:tcW w:w="523" w:type="pct"/>
                  <w:vMerge w:val="continue"/>
                  <w:shd w:val="clear" w:color="auto" w:fill="auto"/>
                  <w:vAlign w:val="center"/>
                </w:tcPr>
                <w:p w14:paraId="3BEFE868">
                  <w:pPr>
                    <w:jc w:val="center"/>
                    <w:rPr>
                      <w:rFonts w:hint="default" w:ascii="Times New Roman" w:hAnsi="Times New Roman" w:cs="Times New Roman"/>
                      <w:color w:val="auto"/>
                      <w:sz w:val="18"/>
                      <w:szCs w:val="18"/>
                    </w:rPr>
                  </w:pPr>
                </w:p>
              </w:tc>
              <w:tc>
                <w:tcPr>
                  <w:tcW w:w="489" w:type="pct"/>
                  <w:vMerge w:val="continue"/>
                  <w:shd w:val="clear" w:color="auto" w:fill="auto"/>
                  <w:vAlign w:val="center"/>
                </w:tcPr>
                <w:p w14:paraId="67CCE6D4">
                  <w:pPr>
                    <w:jc w:val="center"/>
                    <w:rPr>
                      <w:rFonts w:hint="default" w:ascii="Times New Roman" w:hAnsi="Times New Roman" w:cs="Times New Roman"/>
                      <w:color w:val="auto"/>
                      <w:sz w:val="18"/>
                      <w:szCs w:val="18"/>
                    </w:rPr>
                  </w:pPr>
                </w:p>
              </w:tc>
              <w:tc>
                <w:tcPr>
                  <w:tcW w:w="491" w:type="pct"/>
                  <w:vMerge w:val="continue"/>
                  <w:shd w:val="clear" w:color="auto" w:fill="auto"/>
                  <w:vAlign w:val="center"/>
                </w:tcPr>
                <w:p w14:paraId="77F2022B">
                  <w:pPr>
                    <w:jc w:val="center"/>
                    <w:rPr>
                      <w:rFonts w:hint="default" w:ascii="Times New Roman" w:hAnsi="Times New Roman" w:cs="Times New Roman"/>
                      <w:color w:val="auto"/>
                      <w:sz w:val="18"/>
                      <w:szCs w:val="18"/>
                    </w:rPr>
                  </w:pPr>
                </w:p>
              </w:tc>
              <w:tc>
                <w:tcPr>
                  <w:tcW w:w="489" w:type="pct"/>
                  <w:vMerge w:val="continue"/>
                  <w:shd w:val="clear" w:color="auto" w:fill="auto"/>
                  <w:vAlign w:val="center"/>
                </w:tcPr>
                <w:p w14:paraId="5BE7607F">
                  <w:pPr>
                    <w:jc w:val="center"/>
                    <w:rPr>
                      <w:rFonts w:hint="default" w:ascii="Times New Roman" w:hAnsi="Times New Roman" w:cs="Times New Roman"/>
                      <w:color w:val="auto"/>
                      <w:sz w:val="18"/>
                      <w:szCs w:val="18"/>
                    </w:rPr>
                  </w:pPr>
                </w:p>
              </w:tc>
            </w:tr>
            <w:tr w14:paraId="32EFE4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89" w:type="pct"/>
                  <w:vMerge w:val="continue"/>
                  <w:shd w:val="clear" w:color="auto" w:fill="auto"/>
                  <w:vAlign w:val="center"/>
                </w:tcPr>
                <w:p w14:paraId="65B5AC3E">
                  <w:pPr>
                    <w:jc w:val="center"/>
                    <w:rPr>
                      <w:rFonts w:hint="default" w:ascii="Times New Roman" w:hAnsi="Times New Roman" w:cs="Times New Roman"/>
                      <w:color w:val="auto"/>
                      <w:sz w:val="18"/>
                      <w:szCs w:val="18"/>
                    </w:rPr>
                  </w:pPr>
                </w:p>
              </w:tc>
              <w:tc>
                <w:tcPr>
                  <w:tcW w:w="489" w:type="pct"/>
                  <w:shd w:val="clear" w:color="auto" w:fill="auto"/>
                  <w:vAlign w:val="center"/>
                </w:tcPr>
                <w:p w14:paraId="27ABA540">
                  <w:pPr>
                    <w:keepNext w:val="0"/>
                    <w:keepLines w:val="0"/>
                    <w:widowControl/>
                    <w:suppressLineNumbers w:val="0"/>
                    <w:jc w:val="center"/>
                    <w:textAlignment w:val="center"/>
                    <w:rPr>
                      <w:rFonts w:hint="default" w:ascii="Times New Roman" w:hAnsi="Times New Roman" w:cs="Times New Roman"/>
                      <w:color w:val="auto"/>
                      <w:kern w:val="0"/>
                      <w:sz w:val="18"/>
                      <w:szCs w:val="18"/>
                      <w:lang w:bidi="ar"/>
                    </w:rPr>
                  </w:pPr>
                </w:p>
              </w:tc>
              <w:tc>
                <w:tcPr>
                  <w:tcW w:w="489" w:type="pct"/>
                  <w:shd w:val="clear" w:color="auto" w:fill="auto"/>
                  <w:vAlign w:val="center"/>
                </w:tcPr>
                <w:p w14:paraId="4757821B">
                  <w:pPr>
                    <w:keepNext w:val="0"/>
                    <w:keepLines w:val="0"/>
                    <w:widowControl/>
                    <w:suppressLineNumbers w:val="0"/>
                    <w:jc w:val="center"/>
                    <w:textAlignment w:val="center"/>
                    <w:rPr>
                      <w:rFonts w:hint="default" w:ascii="Times New Roman" w:hAnsi="Times New Roman" w:cs="Times New Roman"/>
                      <w:color w:val="auto"/>
                      <w:kern w:val="0"/>
                      <w:sz w:val="18"/>
                      <w:szCs w:val="18"/>
                      <w:lang w:bidi="ar"/>
                    </w:rPr>
                  </w:pPr>
                </w:p>
              </w:tc>
              <w:tc>
                <w:tcPr>
                  <w:tcW w:w="489" w:type="pct"/>
                  <w:shd w:val="clear" w:color="auto" w:fill="auto"/>
                  <w:vAlign w:val="center"/>
                </w:tcPr>
                <w:p w14:paraId="00A6E991">
                  <w:pPr>
                    <w:keepNext w:val="0"/>
                    <w:keepLines w:val="0"/>
                    <w:widowControl/>
                    <w:suppressLineNumbers w:val="0"/>
                    <w:jc w:val="center"/>
                    <w:textAlignment w:val="center"/>
                    <w:rPr>
                      <w:rFonts w:hint="default" w:ascii="Times New Roman" w:hAnsi="Times New Roman" w:cs="Times New Roman"/>
                      <w:color w:val="auto"/>
                      <w:kern w:val="0"/>
                      <w:sz w:val="18"/>
                      <w:szCs w:val="18"/>
                      <w:lang w:bidi="ar"/>
                    </w:rPr>
                  </w:pPr>
                </w:p>
              </w:tc>
              <w:tc>
                <w:tcPr>
                  <w:tcW w:w="523" w:type="pct"/>
                  <w:shd w:val="clear" w:color="auto" w:fill="auto"/>
                  <w:vAlign w:val="center"/>
                </w:tcPr>
                <w:p w14:paraId="108DB247">
                  <w:pPr>
                    <w:keepNext w:val="0"/>
                    <w:keepLines w:val="0"/>
                    <w:widowControl/>
                    <w:suppressLineNumbers w:val="0"/>
                    <w:jc w:val="center"/>
                    <w:textAlignment w:val="center"/>
                    <w:rPr>
                      <w:rFonts w:hint="default" w:ascii="Times New Roman" w:hAnsi="Times New Roman" w:cs="Times New Roman"/>
                      <w:color w:val="auto"/>
                      <w:kern w:val="0"/>
                      <w:sz w:val="18"/>
                      <w:szCs w:val="18"/>
                      <w:lang w:bidi="ar"/>
                    </w:rPr>
                  </w:pPr>
                </w:p>
              </w:tc>
              <w:tc>
                <w:tcPr>
                  <w:tcW w:w="527" w:type="pct"/>
                  <w:shd w:val="clear" w:color="auto" w:fill="auto"/>
                  <w:vAlign w:val="center"/>
                </w:tcPr>
                <w:p w14:paraId="34C94E21">
                  <w:pPr>
                    <w:keepNext w:val="0"/>
                    <w:keepLines w:val="0"/>
                    <w:widowControl/>
                    <w:suppressLineNumbers w:val="0"/>
                    <w:jc w:val="center"/>
                    <w:textAlignment w:val="center"/>
                    <w:rPr>
                      <w:rFonts w:hint="default" w:ascii="Times New Roman" w:hAnsi="Times New Roman" w:cs="Times New Roman"/>
                      <w:color w:val="auto"/>
                      <w:kern w:val="0"/>
                      <w:sz w:val="18"/>
                      <w:szCs w:val="18"/>
                      <w:lang w:bidi="ar"/>
                    </w:rPr>
                  </w:pPr>
                </w:p>
              </w:tc>
              <w:tc>
                <w:tcPr>
                  <w:tcW w:w="523" w:type="pct"/>
                  <w:vMerge w:val="continue"/>
                  <w:shd w:val="clear" w:color="auto" w:fill="auto"/>
                  <w:vAlign w:val="center"/>
                </w:tcPr>
                <w:p w14:paraId="674E8222">
                  <w:pPr>
                    <w:jc w:val="center"/>
                    <w:rPr>
                      <w:rFonts w:hint="default" w:ascii="Times New Roman" w:hAnsi="Times New Roman" w:cs="Times New Roman"/>
                      <w:color w:val="auto"/>
                      <w:sz w:val="18"/>
                      <w:szCs w:val="18"/>
                    </w:rPr>
                  </w:pPr>
                </w:p>
              </w:tc>
              <w:tc>
                <w:tcPr>
                  <w:tcW w:w="489" w:type="pct"/>
                  <w:vMerge w:val="continue"/>
                  <w:shd w:val="clear" w:color="auto" w:fill="auto"/>
                  <w:vAlign w:val="center"/>
                </w:tcPr>
                <w:p w14:paraId="21ADD3A9">
                  <w:pPr>
                    <w:jc w:val="center"/>
                    <w:rPr>
                      <w:rFonts w:hint="default" w:ascii="Times New Roman" w:hAnsi="Times New Roman" w:cs="Times New Roman"/>
                      <w:color w:val="auto"/>
                      <w:sz w:val="18"/>
                      <w:szCs w:val="18"/>
                    </w:rPr>
                  </w:pPr>
                </w:p>
              </w:tc>
              <w:tc>
                <w:tcPr>
                  <w:tcW w:w="491" w:type="pct"/>
                  <w:vMerge w:val="continue"/>
                  <w:shd w:val="clear" w:color="auto" w:fill="auto"/>
                  <w:vAlign w:val="center"/>
                </w:tcPr>
                <w:p w14:paraId="4919EF03">
                  <w:pPr>
                    <w:jc w:val="center"/>
                    <w:rPr>
                      <w:rFonts w:hint="default" w:ascii="Times New Roman" w:hAnsi="Times New Roman" w:cs="Times New Roman"/>
                      <w:color w:val="auto"/>
                      <w:sz w:val="18"/>
                      <w:szCs w:val="18"/>
                    </w:rPr>
                  </w:pPr>
                </w:p>
              </w:tc>
              <w:tc>
                <w:tcPr>
                  <w:tcW w:w="489" w:type="pct"/>
                  <w:vMerge w:val="continue"/>
                  <w:shd w:val="clear" w:color="auto" w:fill="auto"/>
                  <w:vAlign w:val="center"/>
                </w:tcPr>
                <w:p w14:paraId="0A1A262B">
                  <w:pPr>
                    <w:jc w:val="center"/>
                    <w:rPr>
                      <w:rFonts w:hint="default" w:ascii="Times New Roman" w:hAnsi="Times New Roman" w:cs="Times New Roman"/>
                      <w:color w:val="auto"/>
                      <w:sz w:val="18"/>
                      <w:szCs w:val="18"/>
                    </w:rPr>
                  </w:pPr>
                </w:p>
              </w:tc>
            </w:tr>
          </w:tbl>
          <w:p w14:paraId="31FAEEA6">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default" w:eastAsia="宋体"/>
                <w:b/>
                <w:color w:val="auto"/>
                <w:sz w:val="18"/>
                <w:szCs w:val="18"/>
                <w:lang w:val="en-US" w:eastAsia="zh-CN"/>
              </w:rPr>
            </w:pPr>
            <w:r>
              <w:rPr>
                <w:rFonts w:hint="eastAsia"/>
                <w:b/>
                <w:color w:val="auto"/>
                <w:sz w:val="18"/>
                <w:szCs w:val="18"/>
                <w:lang w:val="en-US" w:eastAsia="zh-CN"/>
              </w:rPr>
              <w:t>注：本项目VOCs包括甲醇、乙二醇、乙酸、四氯化碳。</w:t>
            </w:r>
          </w:p>
          <w:p w14:paraId="3508E677">
            <w:pPr>
              <w:pStyle w:val="18"/>
              <w:rPr>
                <w:color w:val="auto"/>
              </w:rPr>
            </w:pPr>
          </w:p>
        </w:tc>
      </w:tr>
    </w:tbl>
    <w:p w14:paraId="0613681E">
      <w:pPr>
        <w:adjustRightInd w:val="0"/>
        <w:snapToGrid w:val="0"/>
        <w:spacing w:line="360" w:lineRule="auto"/>
        <w:ind w:firstLine="562"/>
        <w:rPr>
          <w:b/>
          <w:color w:val="auto"/>
          <w:kern w:val="0"/>
          <w:sz w:val="28"/>
          <w:szCs w:val="28"/>
        </w:rPr>
        <w:sectPr>
          <w:type w:val="nextColumn"/>
          <w:pgSz w:w="23811" w:h="16838" w:orient="landscape"/>
          <w:pgMar w:top="1418" w:right="1418" w:bottom="1418" w:left="1418" w:header="851" w:footer="851" w:gutter="0"/>
          <w:cols w:space="720" w:num="1"/>
          <w:docGrid w:linePitch="312" w:charSpace="0"/>
        </w:sectPr>
      </w:pPr>
    </w:p>
    <w:tbl>
      <w:tblPr>
        <w:tblStyle w:val="21"/>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73"/>
        <w:gridCol w:w="8778"/>
      </w:tblGrid>
      <w:tr w14:paraId="6B5999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10" w:hRule="atLeast"/>
          <w:jc w:val="center"/>
        </w:trPr>
        <w:tc>
          <w:tcPr>
            <w:tcW w:w="151" w:type="pct"/>
            <w:tcMar>
              <w:left w:w="28" w:type="dxa"/>
              <w:right w:w="28" w:type="dxa"/>
            </w:tcMar>
            <w:vAlign w:val="center"/>
          </w:tcPr>
          <w:p w14:paraId="318DF787">
            <w:pPr>
              <w:adjustRightInd w:val="0"/>
              <w:snapToGrid w:val="0"/>
              <w:jc w:val="center"/>
              <w:rPr>
                <w:bCs/>
                <w:color w:val="auto"/>
                <w:szCs w:val="21"/>
              </w:rPr>
            </w:pPr>
            <w:r>
              <w:rPr>
                <w:bCs/>
                <w:color w:val="auto"/>
                <w:szCs w:val="21"/>
              </w:rPr>
              <w:t>运营期环境影响和保护措施</w:t>
            </w:r>
          </w:p>
        </w:tc>
        <w:tc>
          <w:tcPr>
            <w:tcW w:w="4849" w:type="pct"/>
          </w:tcPr>
          <w:p w14:paraId="2E5DCB76">
            <w:pPr>
              <w:adjustRightInd w:val="0"/>
              <w:snapToGrid w:val="0"/>
              <w:spacing w:line="500" w:lineRule="exact"/>
              <w:ind w:firstLine="422" w:firstLineChars="200"/>
              <w:rPr>
                <w:b/>
                <w:color w:val="auto"/>
                <w:szCs w:val="21"/>
              </w:rPr>
            </w:pPr>
            <w:r>
              <w:rPr>
                <w:rFonts w:hint="eastAsia"/>
                <w:b/>
                <w:color w:val="auto"/>
                <w:szCs w:val="21"/>
              </w:rPr>
              <w:t>（</w:t>
            </w:r>
            <w:r>
              <w:rPr>
                <w:b/>
                <w:color w:val="auto"/>
                <w:szCs w:val="21"/>
              </w:rPr>
              <w:t>2</w:t>
            </w:r>
            <w:r>
              <w:rPr>
                <w:rFonts w:hint="eastAsia"/>
                <w:b/>
                <w:color w:val="auto"/>
                <w:szCs w:val="21"/>
              </w:rPr>
              <w:t>）废气污染防治措施评述</w:t>
            </w:r>
          </w:p>
          <w:p w14:paraId="5F534A67">
            <w:pPr>
              <w:spacing w:line="500" w:lineRule="exact"/>
              <w:ind w:firstLine="420" w:firstLineChars="200"/>
              <w:rPr>
                <w:color w:val="auto"/>
                <w:szCs w:val="21"/>
              </w:rPr>
            </w:pPr>
            <w:r>
              <w:rPr>
                <w:rFonts w:hint="eastAsia"/>
                <w:color w:val="auto"/>
                <w:szCs w:val="21"/>
              </w:rPr>
              <w:t>本项目废气为实验室废气和无组织排放的废气（未被收集的气体）。实验室废气经酸碱吸收+两级活性炭吸附装置处理后，经</w:t>
            </w:r>
            <w:r>
              <w:rPr>
                <w:color w:val="auto"/>
                <w:szCs w:val="21"/>
              </w:rPr>
              <w:t>15m</w:t>
            </w:r>
            <w:r>
              <w:rPr>
                <w:rFonts w:hint="eastAsia"/>
                <w:color w:val="auto"/>
                <w:szCs w:val="21"/>
              </w:rPr>
              <w:t>高排气筒排放。</w:t>
            </w:r>
          </w:p>
          <w:p w14:paraId="195A37C6">
            <w:pPr>
              <w:spacing w:line="500" w:lineRule="exact"/>
              <w:ind w:firstLine="420" w:firstLineChars="200"/>
              <w:rPr>
                <w:color w:val="auto"/>
                <w:szCs w:val="21"/>
              </w:rPr>
            </w:pPr>
            <w:r>
              <w:rPr>
                <w:rFonts w:hint="eastAsia"/>
                <w:color w:val="auto"/>
                <w:szCs w:val="21"/>
              </w:rPr>
              <w:t>上述有组织废气收集方式见表</w:t>
            </w:r>
            <w:r>
              <w:rPr>
                <w:color w:val="auto"/>
                <w:szCs w:val="21"/>
              </w:rPr>
              <w:t>4</w:t>
            </w:r>
            <w:r>
              <w:rPr>
                <w:rFonts w:hint="eastAsia"/>
                <w:color w:val="auto"/>
                <w:szCs w:val="21"/>
              </w:rPr>
              <w:t>-</w:t>
            </w:r>
            <w:r>
              <w:rPr>
                <w:color w:val="auto"/>
                <w:szCs w:val="21"/>
              </w:rPr>
              <w:t>4</w:t>
            </w:r>
            <w:r>
              <w:rPr>
                <w:rFonts w:hint="eastAsia"/>
                <w:color w:val="auto"/>
                <w:szCs w:val="21"/>
              </w:rPr>
              <w:t>。</w:t>
            </w:r>
          </w:p>
          <w:p w14:paraId="351A5F0D">
            <w:pPr>
              <w:snapToGrid w:val="0"/>
              <w:spacing w:line="500" w:lineRule="exact"/>
              <w:jc w:val="center"/>
              <w:rPr>
                <w:b/>
                <w:color w:val="auto"/>
                <w:szCs w:val="21"/>
              </w:rPr>
            </w:pPr>
            <w:r>
              <w:rPr>
                <w:rFonts w:hint="eastAsia"/>
                <w:b/>
                <w:color w:val="auto"/>
                <w:szCs w:val="21"/>
              </w:rPr>
              <w:t>表</w:t>
            </w:r>
            <w:r>
              <w:rPr>
                <w:b/>
                <w:color w:val="auto"/>
                <w:szCs w:val="21"/>
              </w:rPr>
              <w:t>4</w:t>
            </w:r>
            <w:r>
              <w:rPr>
                <w:rFonts w:hint="eastAsia"/>
                <w:b/>
                <w:color w:val="auto"/>
                <w:szCs w:val="21"/>
              </w:rPr>
              <w:t>-</w:t>
            </w:r>
            <w:r>
              <w:rPr>
                <w:b/>
                <w:color w:val="auto"/>
                <w:szCs w:val="21"/>
              </w:rPr>
              <w:t>4</w:t>
            </w:r>
            <w:r>
              <w:rPr>
                <w:rFonts w:hint="eastAsia"/>
                <w:b/>
                <w:color w:val="auto"/>
                <w:szCs w:val="21"/>
              </w:rPr>
              <w:t>有组织废气收集方式</w:t>
            </w:r>
          </w:p>
          <w:tbl>
            <w:tblPr>
              <w:tblStyle w:val="21"/>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57" w:type="dxa"/>
                <w:left w:w="28" w:type="dxa"/>
                <w:bottom w:w="57" w:type="dxa"/>
                <w:right w:w="28" w:type="dxa"/>
              </w:tblCellMar>
            </w:tblPr>
            <w:tblGrid>
              <w:gridCol w:w="1324"/>
              <w:gridCol w:w="3171"/>
              <w:gridCol w:w="2399"/>
              <w:gridCol w:w="1668"/>
            </w:tblGrid>
            <w:tr w14:paraId="449A3B7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57" w:type="dxa"/>
                  <w:left w:w="28" w:type="dxa"/>
                  <w:bottom w:w="57" w:type="dxa"/>
                  <w:right w:w="28" w:type="dxa"/>
                </w:tblCellMar>
              </w:tblPrEx>
              <w:trPr>
                <w:trHeight w:val="20" w:hRule="atLeast"/>
                <w:tblHeader/>
                <w:jc w:val="center"/>
              </w:trPr>
              <w:tc>
                <w:tcPr>
                  <w:tcW w:w="773" w:type="pct"/>
                  <w:tcBorders>
                    <w:top w:val="single" w:color="auto" w:sz="12" w:space="0"/>
                    <w:left w:val="nil"/>
                    <w:bottom w:val="single" w:color="auto" w:sz="6" w:space="0"/>
                    <w:right w:val="single" w:color="auto" w:sz="6" w:space="0"/>
                  </w:tcBorders>
                  <w:shd w:val="clear" w:color="auto" w:fill="FFFFFF"/>
                  <w:vAlign w:val="center"/>
                </w:tcPr>
                <w:p w14:paraId="4FBD516F">
                  <w:pPr>
                    <w:adjustRightInd w:val="0"/>
                    <w:snapToGrid w:val="0"/>
                    <w:jc w:val="center"/>
                    <w:textAlignment w:val="baseline"/>
                    <w:rPr>
                      <w:b/>
                      <w:color w:val="auto"/>
                      <w:kern w:val="0"/>
                      <w:sz w:val="18"/>
                      <w:szCs w:val="18"/>
                    </w:rPr>
                  </w:pPr>
                  <w:r>
                    <w:rPr>
                      <w:rFonts w:hint="eastAsia"/>
                      <w:b/>
                      <w:color w:val="auto"/>
                      <w:kern w:val="0"/>
                      <w:sz w:val="18"/>
                      <w:szCs w:val="18"/>
                    </w:rPr>
                    <w:t>序号</w:t>
                  </w:r>
                </w:p>
              </w:tc>
              <w:tc>
                <w:tcPr>
                  <w:tcW w:w="1852" w:type="pct"/>
                  <w:tcBorders>
                    <w:top w:val="single" w:color="auto" w:sz="12" w:space="0"/>
                    <w:left w:val="single" w:color="auto" w:sz="6" w:space="0"/>
                    <w:bottom w:val="single" w:color="auto" w:sz="6" w:space="0"/>
                    <w:right w:val="single" w:color="auto" w:sz="6" w:space="0"/>
                  </w:tcBorders>
                  <w:shd w:val="clear" w:color="auto" w:fill="FFFFFF"/>
                  <w:vAlign w:val="center"/>
                </w:tcPr>
                <w:p w14:paraId="2CE9F5C1">
                  <w:pPr>
                    <w:adjustRightInd w:val="0"/>
                    <w:snapToGrid w:val="0"/>
                    <w:jc w:val="center"/>
                    <w:textAlignment w:val="baseline"/>
                    <w:rPr>
                      <w:b/>
                      <w:color w:val="auto"/>
                      <w:kern w:val="0"/>
                      <w:sz w:val="18"/>
                      <w:szCs w:val="18"/>
                    </w:rPr>
                  </w:pPr>
                  <w:r>
                    <w:rPr>
                      <w:rFonts w:hint="eastAsia"/>
                      <w:b/>
                      <w:color w:val="auto"/>
                      <w:kern w:val="0"/>
                      <w:sz w:val="18"/>
                      <w:szCs w:val="18"/>
                    </w:rPr>
                    <w:t>排放源</w:t>
                  </w:r>
                </w:p>
              </w:tc>
              <w:tc>
                <w:tcPr>
                  <w:tcW w:w="1401" w:type="pct"/>
                  <w:tcBorders>
                    <w:top w:val="single" w:color="auto" w:sz="12" w:space="0"/>
                    <w:left w:val="single" w:color="auto" w:sz="6" w:space="0"/>
                    <w:bottom w:val="single" w:color="auto" w:sz="6" w:space="0"/>
                    <w:right w:val="single" w:color="auto" w:sz="6" w:space="0"/>
                  </w:tcBorders>
                  <w:shd w:val="clear" w:color="auto" w:fill="FFFFFF"/>
                  <w:vAlign w:val="center"/>
                </w:tcPr>
                <w:p w14:paraId="2685AC34">
                  <w:pPr>
                    <w:adjustRightInd w:val="0"/>
                    <w:snapToGrid w:val="0"/>
                    <w:jc w:val="center"/>
                    <w:textAlignment w:val="baseline"/>
                    <w:rPr>
                      <w:b/>
                      <w:color w:val="auto"/>
                      <w:kern w:val="0"/>
                      <w:sz w:val="18"/>
                      <w:szCs w:val="18"/>
                    </w:rPr>
                  </w:pPr>
                  <w:r>
                    <w:rPr>
                      <w:rFonts w:hint="eastAsia"/>
                      <w:b/>
                      <w:color w:val="auto"/>
                      <w:kern w:val="0"/>
                      <w:sz w:val="18"/>
                      <w:szCs w:val="18"/>
                    </w:rPr>
                    <w:t>收集方式</w:t>
                  </w:r>
                </w:p>
              </w:tc>
              <w:tc>
                <w:tcPr>
                  <w:tcW w:w="975" w:type="pct"/>
                  <w:tcBorders>
                    <w:top w:val="single" w:color="auto" w:sz="12" w:space="0"/>
                    <w:left w:val="single" w:color="auto" w:sz="6" w:space="0"/>
                    <w:bottom w:val="single" w:color="auto" w:sz="6" w:space="0"/>
                    <w:right w:val="nil"/>
                  </w:tcBorders>
                  <w:shd w:val="clear" w:color="auto" w:fill="FFFFFF"/>
                  <w:vAlign w:val="center"/>
                </w:tcPr>
                <w:p w14:paraId="712C1E7B">
                  <w:pPr>
                    <w:adjustRightInd w:val="0"/>
                    <w:snapToGrid w:val="0"/>
                    <w:jc w:val="center"/>
                    <w:textAlignment w:val="baseline"/>
                    <w:rPr>
                      <w:b/>
                      <w:color w:val="auto"/>
                      <w:kern w:val="0"/>
                      <w:sz w:val="18"/>
                      <w:szCs w:val="18"/>
                    </w:rPr>
                  </w:pPr>
                  <w:r>
                    <w:rPr>
                      <w:rFonts w:hint="eastAsia"/>
                      <w:b/>
                      <w:color w:val="auto"/>
                      <w:kern w:val="0"/>
                      <w:sz w:val="18"/>
                      <w:szCs w:val="18"/>
                    </w:rPr>
                    <w:t>收集效率</w:t>
                  </w:r>
                </w:p>
              </w:tc>
            </w:tr>
            <w:tr w14:paraId="08FF79C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57" w:type="dxa"/>
                  <w:left w:w="28" w:type="dxa"/>
                  <w:bottom w:w="57" w:type="dxa"/>
                  <w:right w:w="28" w:type="dxa"/>
                </w:tblCellMar>
              </w:tblPrEx>
              <w:trPr>
                <w:trHeight w:val="20" w:hRule="atLeast"/>
                <w:jc w:val="center"/>
              </w:trPr>
              <w:tc>
                <w:tcPr>
                  <w:tcW w:w="773" w:type="pct"/>
                  <w:tcBorders>
                    <w:top w:val="single" w:color="auto" w:sz="6" w:space="0"/>
                    <w:left w:val="nil"/>
                    <w:bottom w:val="single" w:color="auto" w:sz="12" w:space="0"/>
                    <w:right w:val="single" w:color="auto" w:sz="6" w:space="0"/>
                  </w:tcBorders>
                  <w:shd w:val="clear" w:color="auto" w:fill="FFFFFF"/>
                  <w:vAlign w:val="center"/>
                </w:tcPr>
                <w:p w14:paraId="6BE8E5FA">
                  <w:pPr>
                    <w:adjustRightInd w:val="0"/>
                    <w:snapToGrid w:val="0"/>
                    <w:jc w:val="center"/>
                    <w:textAlignment w:val="baseline"/>
                    <w:rPr>
                      <w:color w:val="auto"/>
                      <w:kern w:val="0"/>
                      <w:sz w:val="18"/>
                      <w:szCs w:val="18"/>
                    </w:rPr>
                  </w:pPr>
                  <w:r>
                    <w:rPr>
                      <w:color w:val="auto"/>
                      <w:kern w:val="0"/>
                      <w:sz w:val="18"/>
                      <w:szCs w:val="18"/>
                    </w:rPr>
                    <w:t>1</w:t>
                  </w:r>
                </w:p>
              </w:tc>
              <w:tc>
                <w:tcPr>
                  <w:tcW w:w="1852" w:type="pct"/>
                  <w:tcBorders>
                    <w:top w:val="single" w:color="auto" w:sz="6" w:space="0"/>
                    <w:left w:val="single" w:color="auto" w:sz="6" w:space="0"/>
                    <w:bottom w:val="single" w:color="auto" w:sz="12" w:space="0"/>
                    <w:right w:val="single" w:color="auto" w:sz="6" w:space="0"/>
                  </w:tcBorders>
                  <w:shd w:val="clear" w:color="auto" w:fill="FFFFFF"/>
                  <w:vAlign w:val="center"/>
                </w:tcPr>
                <w:p w14:paraId="60CB912B">
                  <w:pPr>
                    <w:adjustRightInd w:val="0"/>
                    <w:snapToGrid w:val="0"/>
                    <w:jc w:val="center"/>
                    <w:textAlignment w:val="baseline"/>
                    <w:rPr>
                      <w:color w:val="auto"/>
                      <w:kern w:val="0"/>
                      <w:sz w:val="18"/>
                      <w:szCs w:val="18"/>
                    </w:rPr>
                  </w:pPr>
                  <w:r>
                    <w:rPr>
                      <w:rFonts w:hint="eastAsia"/>
                      <w:color w:val="auto"/>
                      <w:kern w:val="0"/>
                      <w:sz w:val="18"/>
                      <w:szCs w:val="18"/>
                    </w:rPr>
                    <w:t>实验室废气</w:t>
                  </w:r>
                </w:p>
              </w:tc>
              <w:tc>
                <w:tcPr>
                  <w:tcW w:w="1401" w:type="pct"/>
                  <w:tcBorders>
                    <w:top w:val="single" w:color="auto" w:sz="6" w:space="0"/>
                    <w:left w:val="single" w:color="auto" w:sz="6" w:space="0"/>
                    <w:bottom w:val="single" w:color="auto" w:sz="12" w:space="0"/>
                    <w:right w:val="single" w:color="auto" w:sz="6" w:space="0"/>
                  </w:tcBorders>
                  <w:shd w:val="clear" w:color="auto" w:fill="FFFFFF"/>
                  <w:vAlign w:val="center"/>
                </w:tcPr>
                <w:p w14:paraId="7C8D0771">
                  <w:pPr>
                    <w:adjustRightInd w:val="0"/>
                    <w:snapToGrid w:val="0"/>
                    <w:jc w:val="center"/>
                    <w:textAlignment w:val="baseline"/>
                    <w:rPr>
                      <w:color w:val="auto"/>
                      <w:kern w:val="0"/>
                      <w:sz w:val="18"/>
                      <w:szCs w:val="18"/>
                    </w:rPr>
                  </w:pPr>
                  <w:r>
                    <w:rPr>
                      <w:rFonts w:hint="eastAsia"/>
                      <w:color w:val="auto"/>
                      <w:kern w:val="0"/>
                      <w:sz w:val="18"/>
                      <w:szCs w:val="18"/>
                    </w:rPr>
                    <w:t>通风橱+集气罩</w:t>
                  </w:r>
                </w:p>
              </w:tc>
              <w:tc>
                <w:tcPr>
                  <w:tcW w:w="975" w:type="pct"/>
                  <w:tcBorders>
                    <w:top w:val="single" w:color="auto" w:sz="6" w:space="0"/>
                    <w:left w:val="single" w:color="auto" w:sz="6" w:space="0"/>
                    <w:bottom w:val="single" w:color="auto" w:sz="12" w:space="0"/>
                    <w:right w:val="nil"/>
                  </w:tcBorders>
                  <w:shd w:val="clear" w:color="auto" w:fill="FFFFFF"/>
                  <w:vAlign w:val="center"/>
                </w:tcPr>
                <w:p w14:paraId="49637EAC">
                  <w:pPr>
                    <w:adjustRightInd w:val="0"/>
                    <w:snapToGrid w:val="0"/>
                    <w:jc w:val="center"/>
                    <w:textAlignment w:val="baseline"/>
                    <w:rPr>
                      <w:color w:val="auto"/>
                      <w:kern w:val="0"/>
                      <w:sz w:val="18"/>
                      <w:szCs w:val="18"/>
                    </w:rPr>
                  </w:pPr>
                  <w:r>
                    <w:rPr>
                      <w:color w:val="auto"/>
                      <w:kern w:val="0"/>
                      <w:sz w:val="18"/>
                      <w:szCs w:val="18"/>
                    </w:rPr>
                    <w:t>95%</w:t>
                  </w:r>
                </w:p>
              </w:tc>
            </w:tr>
          </w:tbl>
          <w:p w14:paraId="4076EC75">
            <w:pPr>
              <w:spacing w:line="500" w:lineRule="exact"/>
              <w:ind w:firstLine="422" w:firstLineChars="200"/>
              <w:rPr>
                <w:rFonts w:hint="eastAsia"/>
                <w:b/>
                <w:color w:val="auto"/>
                <w:szCs w:val="21"/>
              </w:rPr>
            </w:pPr>
            <w:r>
              <w:rPr>
                <w:rFonts w:hint="eastAsia"/>
                <w:b/>
                <w:color w:val="auto"/>
                <w:szCs w:val="21"/>
                <w:lang w:val="en-US" w:eastAsia="zh-CN"/>
              </w:rPr>
              <w:t>SDG</w:t>
            </w:r>
            <w:r>
              <w:rPr>
                <w:rFonts w:hint="eastAsia"/>
                <w:b/>
                <w:color w:val="auto"/>
                <w:szCs w:val="21"/>
              </w:rPr>
              <w:t>吸附工作原理</w:t>
            </w:r>
            <w:r>
              <w:rPr>
                <w:rFonts w:hint="eastAsia"/>
                <w:b/>
                <w:color w:val="auto"/>
                <w:szCs w:val="21"/>
                <w:lang w:eastAsia="zh-CN"/>
              </w:rPr>
              <w:t>：</w:t>
            </w:r>
            <w:r>
              <w:rPr>
                <w:rFonts w:hint="eastAsia" w:ascii="Times New Roman" w:hAnsi="Times New Roman" w:cs="Times New Roman"/>
                <w:color w:val="auto"/>
                <w:szCs w:val="21"/>
              </w:rPr>
              <w:t>SDG吸附剂本质上是一种弱碱性的固体颗粒状无机物，其净化酸性气体的基础是酸碱中和反应。当酸性气体分子扩散到吸附剂表面时，会与吸附剂中的碱性活性成分发生化学反应，生成稳定的中性盐，从而被固定在吸附剂结构中。</w:t>
            </w:r>
          </w:p>
          <w:p w14:paraId="4BF0AE33">
            <w:pPr>
              <w:spacing w:line="500" w:lineRule="exact"/>
              <w:ind w:firstLine="422" w:firstLineChars="200"/>
              <w:rPr>
                <w:color w:val="auto"/>
                <w:szCs w:val="21"/>
              </w:rPr>
            </w:pPr>
            <w:r>
              <w:rPr>
                <w:rFonts w:hint="eastAsia"/>
                <w:b/>
                <w:color w:val="auto"/>
                <w:szCs w:val="21"/>
              </w:rPr>
              <w:t>活性炭吸附工作原理：</w:t>
            </w:r>
            <w:r>
              <w:rPr>
                <w:color w:val="auto"/>
                <w:szCs w:val="21"/>
              </w:rPr>
              <w:t>活性炭固体表面上存在着未平衡和未饱和的分子引力或</w:t>
            </w:r>
            <w:r>
              <w:rPr>
                <w:rFonts w:hint="eastAsia"/>
                <w:color w:val="auto"/>
                <w:szCs w:val="21"/>
              </w:rPr>
              <w:t>化学键</w:t>
            </w:r>
            <w:r>
              <w:rPr>
                <w:color w:val="auto"/>
                <w:szCs w:val="21"/>
              </w:rPr>
              <w:t>力，因此当固体表面与气体接触时，就能吸引气体分子，使其浓聚并保持在固体表面，污染物质从而被吸附。</w:t>
            </w:r>
          </w:p>
          <w:p w14:paraId="6B57B69D">
            <w:pPr>
              <w:spacing w:line="500" w:lineRule="exact"/>
              <w:ind w:firstLine="420" w:firstLineChars="200"/>
              <w:rPr>
                <w:color w:val="auto"/>
                <w:szCs w:val="21"/>
              </w:rPr>
            </w:pPr>
            <w:r>
              <w:rPr>
                <w:color w:val="auto"/>
                <w:szCs w:val="21"/>
              </w:rPr>
              <w:t>吸附箱体设计选取较低的吸附流速，利于废气中有机成分更为充分</w:t>
            </w:r>
            <w:r>
              <w:rPr>
                <w:rFonts w:hint="eastAsia"/>
                <w:color w:val="auto"/>
                <w:szCs w:val="21"/>
                <w:lang w:eastAsia="zh-CN"/>
              </w:rPr>
              <w:t>地</w:t>
            </w:r>
            <w:r>
              <w:rPr>
                <w:color w:val="auto"/>
                <w:szCs w:val="21"/>
              </w:rPr>
              <w:t>与</w:t>
            </w:r>
            <w:r>
              <w:rPr>
                <w:rFonts w:hint="eastAsia"/>
                <w:color w:val="auto"/>
                <w:szCs w:val="21"/>
                <w:lang w:val="en-US" w:eastAsia="zh-CN"/>
              </w:rPr>
              <w:t>SDG、</w:t>
            </w:r>
            <w:r>
              <w:rPr>
                <w:color w:val="auto"/>
                <w:szCs w:val="21"/>
              </w:rPr>
              <w:t>活性炭接触，增强吸附效果。合理设计装填量，既可以满足吸附要求，同时也兼顾设备占地面积。</w:t>
            </w:r>
            <w:r>
              <w:rPr>
                <w:rFonts w:hint="eastAsia"/>
                <w:color w:val="auto"/>
                <w:szCs w:val="21"/>
              </w:rPr>
              <w:t>同时</w:t>
            </w:r>
            <w:r>
              <w:rPr>
                <w:color w:val="auto"/>
                <w:szCs w:val="21"/>
              </w:rPr>
              <w:t>选用更高效的</w:t>
            </w:r>
            <w:r>
              <w:rPr>
                <w:rFonts w:hint="eastAsia"/>
                <w:color w:val="auto"/>
                <w:szCs w:val="21"/>
                <w:lang w:val="en-US" w:eastAsia="zh-CN"/>
              </w:rPr>
              <w:t>SDG、</w:t>
            </w:r>
            <w:r>
              <w:rPr>
                <w:color w:val="auto"/>
                <w:szCs w:val="21"/>
              </w:rPr>
              <w:t>活性炭，可保证对废气的有效吸附。实际运行过程中，需定期更换</w:t>
            </w:r>
            <w:r>
              <w:rPr>
                <w:rFonts w:hint="eastAsia"/>
                <w:color w:val="auto"/>
                <w:szCs w:val="21"/>
                <w:lang w:val="en-US" w:eastAsia="zh-CN"/>
              </w:rPr>
              <w:t>SDG、</w:t>
            </w:r>
            <w:r>
              <w:rPr>
                <w:color w:val="auto"/>
                <w:szCs w:val="21"/>
              </w:rPr>
              <w:t>活性炭。</w:t>
            </w:r>
          </w:p>
          <w:p w14:paraId="1F0587F1">
            <w:pPr>
              <w:spacing w:line="500" w:lineRule="exact"/>
              <w:ind w:firstLine="420" w:firstLineChars="200"/>
              <w:rPr>
                <w:color w:val="auto"/>
                <w:szCs w:val="21"/>
              </w:rPr>
            </w:pPr>
            <w:r>
              <w:rPr>
                <w:rFonts w:hint="eastAsia"/>
                <w:color w:val="auto"/>
                <w:szCs w:val="21"/>
              </w:rPr>
              <w:t>本项目</w:t>
            </w:r>
            <w:r>
              <w:rPr>
                <w:color w:val="auto"/>
                <w:szCs w:val="21"/>
              </w:rPr>
              <w:t>进入吸附装置的系统设计风量</w:t>
            </w:r>
            <w:r>
              <w:rPr>
                <w:rFonts w:hint="eastAsia"/>
                <w:color w:val="auto"/>
                <w:szCs w:val="21"/>
                <w:lang w:val="en-US" w:eastAsia="zh-CN"/>
              </w:rPr>
              <w:t>分别为</w:t>
            </w:r>
            <w:r>
              <w:rPr>
                <w:color w:val="auto"/>
                <w:szCs w:val="21"/>
              </w:rPr>
              <w:t>Q</w:t>
            </w:r>
            <w:r>
              <w:rPr>
                <w:rFonts w:hint="eastAsia"/>
                <w:color w:val="auto"/>
                <w:szCs w:val="21"/>
                <w:lang w:val="en-US" w:eastAsia="zh-CN"/>
              </w:rPr>
              <w:t>1</w:t>
            </w:r>
            <w:r>
              <w:rPr>
                <w:color w:val="auto"/>
                <w:szCs w:val="21"/>
              </w:rPr>
              <w:t>＝</w:t>
            </w:r>
            <w:r>
              <w:rPr>
                <w:rFonts w:hint="eastAsia"/>
                <w:color w:val="auto"/>
                <w:szCs w:val="21"/>
                <w:lang w:val="en-US" w:eastAsia="zh-CN"/>
              </w:rPr>
              <w:t>155</w:t>
            </w:r>
            <w:r>
              <w:rPr>
                <w:color w:val="auto"/>
                <w:szCs w:val="21"/>
              </w:rPr>
              <w:t>00m</w:t>
            </w:r>
            <w:r>
              <w:rPr>
                <w:color w:val="auto"/>
                <w:szCs w:val="21"/>
                <w:vertAlign w:val="superscript"/>
              </w:rPr>
              <w:t>3</w:t>
            </w:r>
            <w:r>
              <w:rPr>
                <w:color w:val="auto"/>
                <w:szCs w:val="21"/>
              </w:rPr>
              <w:t>/h</w:t>
            </w:r>
            <w:r>
              <w:rPr>
                <w:rFonts w:hint="eastAsia"/>
                <w:color w:val="auto"/>
                <w:szCs w:val="21"/>
                <w:lang w:eastAsia="zh-CN"/>
              </w:rPr>
              <w:t>，</w:t>
            </w:r>
            <w:r>
              <w:rPr>
                <w:color w:val="auto"/>
                <w:szCs w:val="21"/>
              </w:rPr>
              <w:t>Q</w:t>
            </w:r>
            <w:r>
              <w:rPr>
                <w:rFonts w:hint="eastAsia"/>
                <w:color w:val="auto"/>
                <w:szCs w:val="21"/>
                <w:lang w:val="en-US" w:eastAsia="zh-CN"/>
              </w:rPr>
              <w:t>2</w:t>
            </w:r>
            <w:r>
              <w:rPr>
                <w:color w:val="auto"/>
                <w:szCs w:val="21"/>
              </w:rPr>
              <w:t>＝</w:t>
            </w:r>
            <w:r>
              <w:rPr>
                <w:rFonts w:hint="eastAsia"/>
                <w:color w:val="auto"/>
                <w:szCs w:val="21"/>
                <w:lang w:val="en-US" w:eastAsia="zh-CN"/>
              </w:rPr>
              <w:t>70</w:t>
            </w:r>
            <w:r>
              <w:rPr>
                <w:color w:val="auto"/>
                <w:szCs w:val="21"/>
              </w:rPr>
              <w:t>00m</w:t>
            </w:r>
            <w:r>
              <w:rPr>
                <w:color w:val="auto"/>
                <w:szCs w:val="21"/>
                <w:vertAlign w:val="superscript"/>
              </w:rPr>
              <w:t>3</w:t>
            </w:r>
            <w:r>
              <w:rPr>
                <w:color w:val="auto"/>
                <w:szCs w:val="21"/>
              </w:rPr>
              <w:t>/h</w:t>
            </w:r>
            <w:r>
              <w:rPr>
                <w:rFonts w:hint="eastAsia"/>
                <w:color w:val="auto"/>
                <w:szCs w:val="21"/>
                <w:lang w:eastAsia="zh-CN"/>
              </w:rPr>
              <w:t>，</w:t>
            </w:r>
            <w:r>
              <w:rPr>
                <w:color w:val="auto"/>
                <w:szCs w:val="21"/>
              </w:rPr>
              <w:t>Q</w:t>
            </w:r>
            <w:r>
              <w:rPr>
                <w:rFonts w:hint="eastAsia"/>
                <w:color w:val="auto"/>
                <w:szCs w:val="21"/>
                <w:lang w:val="en-US" w:eastAsia="zh-CN"/>
              </w:rPr>
              <w:t>3</w:t>
            </w:r>
            <w:r>
              <w:rPr>
                <w:color w:val="auto"/>
                <w:szCs w:val="21"/>
              </w:rPr>
              <w:t>＝</w:t>
            </w:r>
            <w:r>
              <w:rPr>
                <w:rFonts w:hint="eastAsia"/>
                <w:color w:val="auto"/>
                <w:szCs w:val="21"/>
                <w:lang w:val="en-US" w:eastAsia="zh-CN"/>
              </w:rPr>
              <w:t>700</w:t>
            </w:r>
            <w:r>
              <w:rPr>
                <w:color w:val="auto"/>
                <w:szCs w:val="21"/>
              </w:rPr>
              <w:t>0m</w:t>
            </w:r>
            <w:r>
              <w:rPr>
                <w:color w:val="auto"/>
                <w:szCs w:val="21"/>
                <w:vertAlign w:val="superscript"/>
              </w:rPr>
              <w:t>3</w:t>
            </w:r>
            <w:r>
              <w:rPr>
                <w:color w:val="auto"/>
                <w:szCs w:val="21"/>
              </w:rPr>
              <w:t>/h</w:t>
            </w:r>
            <w:r>
              <w:rPr>
                <w:rFonts w:hint="eastAsia"/>
                <w:color w:val="auto"/>
                <w:szCs w:val="21"/>
                <w:lang w:eastAsia="zh-CN"/>
              </w:rPr>
              <w:t>，</w:t>
            </w:r>
            <w:r>
              <w:rPr>
                <w:rFonts w:hint="eastAsia"/>
                <w:color w:val="auto"/>
                <w:szCs w:val="21"/>
                <w:lang w:val="en-US" w:eastAsia="zh-CN"/>
              </w:rPr>
              <w:t>总风量29500</w:t>
            </w:r>
            <w:r>
              <w:rPr>
                <w:color w:val="auto"/>
                <w:szCs w:val="21"/>
              </w:rPr>
              <w:t>m</w:t>
            </w:r>
            <w:r>
              <w:rPr>
                <w:color w:val="auto"/>
                <w:szCs w:val="21"/>
                <w:vertAlign w:val="superscript"/>
              </w:rPr>
              <w:t>3</w:t>
            </w:r>
            <w:r>
              <w:rPr>
                <w:color w:val="auto"/>
                <w:szCs w:val="21"/>
              </w:rPr>
              <w:t>/h。总管管道风速不大于15m/s，风管总管</w:t>
            </w:r>
            <w:r>
              <w:rPr>
                <w:color w:val="auto"/>
                <w:szCs w:val="21"/>
                <w:highlight w:val="none"/>
              </w:rPr>
              <w:t>管径为DN800。</w:t>
            </w:r>
          </w:p>
          <w:p w14:paraId="323CF966">
            <w:pPr>
              <w:spacing w:line="500" w:lineRule="exact"/>
              <w:ind w:firstLine="420" w:firstLineChars="200"/>
              <w:rPr>
                <w:color w:val="auto"/>
                <w:szCs w:val="21"/>
              </w:rPr>
            </w:pPr>
            <w:r>
              <w:rPr>
                <w:rFonts w:hint="eastAsia"/>
                <w:color w:val="auto"/>
                <w:szCs w:val="21"/>
              </w:rPr>
              <w:t>本项目</w:t>
            </w:r>
            <w:r>
              <w:rPr>
                <w:color w:val="auto"/>
                <w:szCs w:val="21"/>
              </w:rPr>
              <w:t>拟采用</w:t>
            </w:r>
            <w:r>
              <w:rPr>
                <w:rFonts w:hint="eastAsia"/>
                <w:color w:val="auto"/>
                <w:szCs w:val="21"/>
                <w:lang w:val="en-US" w:eastAsia="zh-CN"/>
              </w:rPr>
              <w:t>SDG吸附+</w:t>
            </w:r>
            <w:r>
              <w:rPr>
                <w:rFonts w:hint="eastAsia"/>
                <w:color w:val="auto"/>
                <w:szCs w:val="21"/>
              </w:rPr>
              <w:t>活性炭吸附装置，活性炭类型选用蜂窝活性炭，保证参数符合《省生态环境厅关于深入开展涉</w:t>
            </w:r>
            <w:r>
              <w:rPr>
                <w:color w:val="auto"/>
                <w:szCs w:val="21"/>
              </w:rPr>
              <w:t>VOCs治理</w:t>
            </w:r>
            <w:r>
              <w:rPr>
                <w:rFonts w:hint="eastAsia"/>
                <w:color w:val="auto"/>
                <w:szCs w:val="21"/>
              </w:rPr>
              <w:t>重点工作核查的通知》（苏环办〔</w:t>
            </w:r>
            <w:r>
              <w:rPr>
                <w:color w:val="auto"/>
                <w:szCs w:val="21"/>
              </w:rPr>
              <w:t>2022〕218号</w:t>
            </w:r>
            <w:r>
              <w:rPr>
                <w:rFonts w:hint="eastAsia"/>
                <w:color w:val="auto"/>
                <w:szCs w:val="21"/>
              </w:rPr>
              <w:t>）要求。本项目活性炭吸附装置主要技术参数见表</w:t>
            </w:r>
            <w:r>
              <w:rPr>
                <w:color w:val="auto"/>
                <w:szCs w:val="21"/>
              </w:rPr>
              <w:t>4</w:t>
            </w:r>
            <w:r>
              <w:rPr>
                <w:rFonts w:hint="eastAsia"/>
                <w:color w:val="auto"/>
                <w:szCs w:val="21"/>
              </w:rPr>
              <w:t>-</w:t>
            </w:r>
            <w:r>
              <w:rPr>
                <w:color w:val="auto"/>
                <w:szCs w:val="21"/>
              </w:rPr>
              <w:t>5</w:t>
            </w:r>
            <w:r>
              <w:rPr>
                <w:rFonts w:hint="eastAsia"/>
                <w:color w:val="auto"/>
                <w:szCs w:val="21"/>
              </w:rPr>
              <w:t>。</w:t>
            </w:r>
          </w:p>
          <w:p w14:paraId="68389784">
            <w:pPr>
              <w:widowControl/>
              <w:adjustRightInd w:val="0"/>
              <w:snapToGrid w:val="0"/>
              <w:spacing w:line="500" w:lineRule="exact"/>
              <w:ind w:firstLine="420" w:firstLineChars="200"/>
              <w:rPr>
                <w:color w:val="auto"/>
                <w:kern w:val="0"/>
                <w:szCs w:val="21"/>
              </w:rPr>
            </w:pPr>
            <w:r>
              <w:rPr>
                <w:rFonts w:hint="eastAsia"/>
                <w:color w:val="auto"/>
                <w:kern w:val="0"/>
                <w:szCs w:val="21"/>
              </w:rPr>
              <w:t>根据《省生态环境厅关于将排污单位活性炭使用更换纳入排污许可管理的通知》（苏环办〔2021〕218号）要求，参照以下公式计算活性炭更换周期，因本项目活性炭削减的VOCs浓度极低，计算出更换周期见表4-</w:t>
            </w:r>
            <w:r>
              <w:rPr>
                <w:color w:val="auto"/>
                <w:kern w:val="0"/>
                <w:szCs w:val="21"/>
              </w:rPr>
              <w:t>5</w:t>
            </w:r>
            <w:r>
              <w:rPr>
                <w:rFonts w:hint="eastAsia"/>
                <w:color w:val="auto"/>
                <w:kern w:val="0"/>
                <w:szCs w:val="21"/>
              </w:rPr>
              <w:t>。</w:t>
            </w:r>
          </w:p>
          <w:p w14:paraId="5E199E82">
            <w:pPr>
              <w:autoSpaceDE w:val="0"/>
              <w:autoSpaceDN w:val="0"/>
              <w:snapToGrid w:val="0"/>
              <w:spacing w:line="500" w:lineRule="exact"/>
              <w:ind w:firstLine="420"/>
              <w:rPr>
                <w:snapToGrid w:val="0"/>
                <w:color w:val="auto"/>
                <w:kern w:val="0"/>
                <w:szCs w:val="21"/>
              </w:rPr>
            </w:pPr>
            <w:r>
              <w:rPr>
                <w:snapToGrid w:val="0"/>
                <w:color w:val="auto"/>
                <w:kern w:val="0"/>
                <w:szCs w:val="21"/>
              </w:rPr>
              <w:t>T=m×s÷（c×10</w:t>
            </w:r>
            <w:r>
              <w:rPr>
                <w:snapToGrid w:val="0"/>
                <w:color w:val="auto"/>
                <w:kern w:val="0"/>
                <w:szCs w:val="21"/>
                <w:vertAlign w:val="superscript"/>
              </w:rPr>
              <w:t>-6</w:t>
            </w:r>
            <w:r>
              <w:rPr>
                <w:snapToGrid w:val="0"/>
                <w:color w:val="auto"/>
                <w:kern w:val="0"/>
                <w:szCs w:val="21"/>
              </w:rPr>
              <w:t>×Q×t）</w:t>
            </w:r>
          </w:p>
          <w:p w14:paraId="17E2CF39">
            <w:pPr>
              <w:autoSpaceDE w:val="0"/>
              <w:autoSpaceDN w:val="0"/>
              <w:snapToGrid w:val="0"/>
              <w:spacing w:line="500" w:lineRule="exact"/>
              <w:ind w:firstLine="420"/>
              <w:rPr>
                <w:snapToGrid w:val="0"/>
                <w:color w:val="auto"/>
                <w:kern w:val="0"/>
                <w:szCs w:val="21"/>
              </w:rPr>
            </w:pPr>
            <w:r>
              <w:rPr>
                <w:snapToGrid w:val="0"/>
                <w:color w:val="auto"/>
                <w:kern w:val="0"/>
                <w:szCs w:val="21"/>
              </w:rPr>
              <w:t>式中：</w:t>
            </w:r>
          </w:p>
          <w:p w14:paraId="73348A0E">
            <w:pPr>
              <w:autoSpaceDE w:val="0"/>
              <w:autoSpaceDN w:val="0"/>
              <w:snapToGrid w:val="0"/>
              <w:spacing w:line="500" w:lineRule="exact"/>
              <w:ind w:firstLine="420"/>
              <w:rPr>
                <w:snapToGrid w:val="0"/>
                <w:color w:val="auto"/>
                <w:kern w:val="0"/>
                <w:szCs w:val="21"/>
              </w:rPr>
            </w:pPr>
            <w:r>
              <w:rPr>
                <w:snapToGrid w:val="0"/>
                <w:color w:val="auto"/>
                <w:kern w:val="0"/>
                <w:szCs w:val="21"/>
              </w:rPr>
              <w:t>T—更换周期，天；</w:t>
            </w:r>
          </w:p>
          <w:p w14:paraId="41A13ECF">
            <w:pPr>
              <w:autoSpaceDE w:val="0"/>
              <w:autoSpaceDN w:val="0"/>
              <w:snapToGrid w:val="0"/>
              <w:spacing w:line="500" w:lineRule="exact"/>
              <w:ind w:firstLine="420"/>
              <w:rPr>
                <w:snapToGrid w:val="0"/>
                <w:color w:val="auto"/>
                <w:kern w:val="0"/>
                <w:szCs w:val="21"/>
              </w:rPr>
            </w:pPr>
            <w:r>
              <w:rPr>
                <w:snapToGrid w:val="0"/>
                <w:color w:val="auto"/>
                <w:kern w:val="0"/>
                <w:szCs w:val="21"/>
              </w:rPr>
              <w:t>m—活性炭的用量，kg；</w:t>
            </w:r>
          </w:p>
          <w:p w14:paraId="61F371A0">
            <w:pPr>
              <w:autoSpaceDE w:val="0"/>
              <w:autoSpaceDN w:val="0"/>
              <w:snapToGrid w:val="0"/>
              <w:spacing w:line="500" w:lineRule="exact"/>
              <w:ind w:firstLine="420"/>
              <w:rPr>
                <w:snapToGrid w:val="0"/>
                <w:color w:val="auto"/>
                <w:kern w:val="0"/>
                <w:szCs w:val="21"/>
              </w:rPr>
            </w:pPr>
            <w:r>
              <w:rPr>
                <w:snapToGrid w:val="0"/>
                <w:color w:val="auto"/>
                <w:kern w:val="0"/>
                <w:szCs w:val="21"/>
              </w:rPr>
              <w:t>s—动态吸附量，%；</w:t>
            </w:r>
            <w:r>
              <w:rPr>
                <w:snapToGrid w:val="0"/>
                <w:color w:val="auto"/>
                <w:szCs w:val="21"/>
              </w:rPr>
              <w:t>（一般取值10%）</w:t>
            </w:r>
          </w:p>
          <w:p w14:paraId="535AEC94">
            <w:pPr>
              <w:autoSpaceDE w:val="0"/>
              <w:autoSpaceDN w:val="0"/>
              <w:snapToGrid w:val="0"/>
              <w:spacing w:line="500" w:lineRule="exact"/>
              <w:ind w:firstLine="420"/>
              <w:rPr>
                <w:snapToGrid w:val="0"/>
                <w:color w:val="auto"/>
                <w:kern w:val="0"/>
                <w:szCs w:val="21"/>
              </w:rPr>
            </w:pPr>
            <w:r>
              <w:rPr>
                <w:snapToGrid w:val="0"/>
                <w:color w:val="auto"/>
                <w:kern w:val="0"/>
                <w:szCs w:val="21"/>
              </w:rPr>
              <w:t>c—活性炭削减的VOCs浓度，</w:t>
            </w:r>
            <w:r>
              <w:rPr>
                <w:rFonts w:hint="eastAsia"/>
                <w:snapToGrid w:val="0"/>
                <w:color w:val="auto"/>
                <w:kern w:val="0"/>
                <w:szCs w:val="21"/>
              </w:rPr>
              <w:t>0.</w:t>
            </w:r>
            <w:r>
              <w:rPr>
                <w:rFonts w:hint="eastAsia"/>
                <w:snapToGrid w:val="0"/>
                <w:color w:val="auto"/>
                <w:kern w:val="0"/>
                <w:szCs w:val="21"/>
                <w:lang w:val="en-US" w:eastAsia="zh-CN"/>
              </w:rPr>
              <w:t>58</w:t>
            </w:r>
            <w:r>
              <w:rPr>
                <w:snapToGrid w:val="0"/>
                <w:color w:val="auto"/>
                <w:kern w:val="0"/>
                <w:szCs w:val="21"/>
              </w:rPr>
              <w:t>mg/m</w:t>
            </w:r>
            <w:r>
              <w:rPr>
                <w:snapToGrid w:val="0"/>
                <w:color w:val="auto"/>
                <w:kern w:val="0"/>
                <w:szCs w:val="21"/>
                <w:vertAlign w:val="superscript"/>
              </w:rPr>
              <w:t>3</w:t>
            </w:r>
            <w:r>
              <w:rPr>
                <w:snapToGrid w:val="0"/>
                <w:color w:val="auto"/>
                <w:kern w:val="0"/>
                <w:szCs w:val="21"/>
              </w:rPr>
              <w:t>；</w:t>
            </w:r>
          </w:p>
          <w:p w14:paraId="6232C15B">
            <w:pPr>
              <w:autoSpaceDE w:val="0"/>
              <w:autoSpaceDN w:val="0"/>
              <w:snapToGrid w:val="0"/>
              <w:spacing w:line="500" w:lineRule="exact"/>
              <w:ind w:firstLine="420"/>
              <w:rPr>
                <w:snapToGrid w:val="0"/>
                <w:color w:val="auto"/>
                <w:kern w:val="0"/>
                <w:szCs w:val="21"/>
              </w:rPr>
            </w:pPr>
            <w:r>
              <w:rPr>
                <w:snapToGrid w:val="0"/>
                <w:color w:val="auto"/>
                <w:kern w:val="0"/>
                <w:szCs w:val="21"/>
              </w:rPr>
              <w:t>Q—风量，</w:t>
            </w:r>
            <w:r>
              <w:rPr>
                <w:rFonts w:hint="eastAsia"/>
                <w:snapToGrid w:val="0"/>
                <w:color w:val="auto"/>
                <w:kern w:val="0"/>
                <w:szCs w:val="21"/>
                <w:lang w:val="en-US" w:eastAsia="zh-CN"/>
              </w:rPr>
              <w:t>295</w:t>
            </w:r>
            <w:r>
              <w:rPr>
                <w:rFonts w:hint="eastAsia"/>
                <w:snapToGrid w:val="0"/>
                <w:color w:val="auto"/>
                <w:kern w:val="0"/>
                <w:szCs w:val="21"/>
              </w:rPr>
              <w:t>00</w:t>
            </w:r>
            <w:r>
              <w:rPr>
                <w:snapToGrid w:val="0"/>
                <w:color w:val="auto"/>
                <w:kern w:val="0"/>
                <w:szCs w:val="21"/>
              </w:rPr>
              <w:t>m</w:t>
            </w:r>
            <w:r>
              <w:rPr>
                <w:snapToGrid w:val="0"/>
                <w:color w:val="auto"/>
                <w:kern w:val="0"/>
                <w:szCs w:val="21"/>
                <w:vertAlign w:val="superscript"/>
              </w:rPr>
              <w:t>3</w:t>
            </w:r>
            <w:r>
              <w:rPr>
                <w:snapToGrid w:val="0"/>
                <w:color w:val="auto"/>
                <w:kern w:val="0"/>
                <w:szCs w:val="21"/>
              </w:rPr>
              <w:t>/h；</w:t>
            </w:r>
          </w:p>
          <w:p w14:paraId="5030A6DC">
            <w:pPr>
              <w:autoSpaceDE w:val="0"/>
              <w:autoSpaceDN w:val="0"/>
              <w:snapToGrid w:val="0"/>
              <w:spacing w:line="500" w:lineRule="exact"/>
              <w:ind w:firstLine="420"/>
              <w:rPr>
                <w:snapToGrid w:val="0"/>
                <w:color w:val="auto"/>
                <w:kern w:val="0"/>
                <w:szCs w:val="21"/>
              </w:rPr>
            </w:pPr>
            <w:r>
              <w:rPr>
                <w:snapToGrid w:val="0"/>
                <w:color w:val="auto"/>
                <w:kern w:val="0"/>
                <w:szCs w:val="21"/>
              </w:rPr>
              <w:t>t—运行时间，</w:t>
            </w:r>
            <w:r>
              <w:rPr>
                <w:rFonts w:hint="eastAsia"/>
                <w:snapToGrid w:val="0"/>
                <w:color w:val="auto"/>
                <w:kern w:val="0"/>
                <w:szCs w:val="21"/>
              </w:rPr>
              <w:t>24</w:t>
            </w:r>
            <w:r>
              <w:rPr>
                <w:snapToGrid w:val="0"/>
                <w:color w:val="auto"/>
                <w:kern w:val="0"/>
                <w:szCs w:val="21"/>
              </w:rPr>
              <w:t>h/d</w:t>
            </w:r>
            <w:r>
              <w:rPr>
                <w:rFonts w:hint="eastAsia"/>
                <w:snapToGrid w:val="0"/>
                <w:color w:val="auto"/>
                <w:kern w:val="0"/>
                <w:szCs w:val="21"/>
              </w:rPr>
              <w:t>。</w:t>
            </w:r>
          </w:p>
          <w:p w14:paraId="757E27DA">
            <w:pPr>
              <w:snapToGrid w:val="0"/>
              <w:spacing w:line="500" w:lineRule="exact"/>
              <w:jc w:val="center"/>
              <w:rPr>
                <w:b/>
                <w:color w:val="auto"/>
                <w:szCs w:val="21"/>
              </w:rPr>
            </w:pPr>
            <w:r>
              <w:rPr>
                <w:rFonts w:hint="eastAsia"/>
                <w:b/>
                <w:color w:val="auto"/>
                <w:szCs w:val="21"/>
              </w:rPr>
              <w:t>表</w:t>
            </w:r>
            <w:r>
              <w:rPr>
                <w:b/>
                <w:color w:val="auto"/>
                <w:szCs w:val="21"/>
              </w:rPr>
              <w:t>4</w:t>
            </w:r>
            <w:r>
              <w:rPr>
                <w:rFonts w:hint="eastAsia"/>
                <w:b/>
                <w:color w:val="auto"/>
                <w:szCs w:val="21"/>
              </w:rPr>
              <w:t>-</w:t>
            </w:r>
            <w:r>
              <w:rPr>
                <w:b/>
                <w:color w:val="auto"/>
                <w:szCs w:val="21"/>
              </w:rPr>
              <w:t>5</w:t>
            </w:r>
            <w:r>
              <w:rPr>
                <w:rFonts w:hint="eastAsia"/>
                <w:b/>
                <w:color w:val="auto"/>
                <w:szCs w:val="21"/>
              </w:rPr>
              <w:t>活性炭吸附装置主要设计技术参数</w:t>
            </w:r>
          </w:p>
          <w:tbl>
            <w:tblPr>
              <w:tblStyle w:val="21"/>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19"/>
              <w:gridCol w:w="3192"/>
              <w:gridCol w:w="4151"/>
            </w:tblGrid>
            <w:tr w14:paraId="155B61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12" w:type="pct"/>
                  <w:vAlign w:val="center"/>
                </w:tcPr>
                <w:p w14:paraId="03CBBF8C">
                  <w:pPr>
                    <w:tabs>
                      <w:tab w:val="center" w:pos="4153"/>
                      <w:tab w:val="right" w:pos="8306"/>
                    </w:tabs>
                    <w:snapToGrid w:val="0"/>
                    <w:spacing w:line="320" w:lineRule="exact"/>
                    <w:jc w:val="center"/>
                    <w:rPr>
                      <w:b/>
                      <w:color w:val="auto"/>
                      <w:sz w:val="18"/>
                      <w:szCs w:val="18"/>
                    </w:rPr>
                  </w:pPr>
                </w:p>
              </w:tc>
              <w:tc>
                <w:tcPr>
                  <w:tcW w:w="1864" w:type="pct"/>
                  <w:vAlign w:val="center"/>
                </w:tcPr>
                <w:p w14:paraId="3A802052">
                  <w:pPr>
                    <w:tabs>
                      <w:tab w:val="center" w:pos="4153"/>
                      <w:tab w:val="right" w:pos="8306"/>
                    </w:tabs>
                    <w:snapToGrid w:val="0"/>
                    <w:spacing w:line="320" w:lineRule="exact"/>
                    <w:jc w:val="center"/>
                    <w:rPr>
                      <w:b/>
                      <w:color w:val="auto"/>
                      <w:sz w:val="18"/>
                      <w:szCs w:val="18"/>
                    </w:rPr>
                  </w:pPr>
                </w:p>
              </w:tc>
              <w:tc>
                <w:tcPr>
                  <w:tcW w:w="2424" w:type="pct"/>
                  <w:vAlign w:val="center"/>
                </w:tcPr>
                <w:p w14:paraId="6064C80C">
                  <w:pPr>
                    <w:tabs>
                      <w:tab w:val="center" w:pos="4153"/>
                      <w:tab w:val="right" w:pos="8306"/>
                    </w:tabs>
                    <w:snapToGrid w:val="0"/>
                    <w:spacing w:line="320" w:lineRule="exact"/>
                    <w:jc w:val="center"/>
                    <w:rPr>
                      <w:b/>
                      <w:bCs/>
                      <w:color w:val="auto"/>
                      <w:sz w:val="18"/>
                      <w:szCs w:val="18"/>
                    </w:rPr>
                  </w:pPr>
                </w:p>
              </w:tc>
            </w:tr>
            <w:tr w14:paraId="225198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12" w:type="pct"/>
                  <w:vAlign w:val="center"/>
                </w:tcPr>
                <w:p w14:paraId="6DB96AD5">
                  <w:pPr>
                    <w:tabs>
                      <w:tab w:val="center" w:pos="4153"/>
                      <w:tab w:val="right" w:pos="8306"/>
                    </w:tabs>
                    <w:snapToGrid w:val="0"/>
                    <w:spacing w:line="320" w:lineRule="exact"/>
                    <w:jc w:val="center"/>
                    <w:rPr>
                      <w:color w:val="auto"/>
                      <w:sz w:val="18"/>
                      <w:szCs w:val="18"/>
                    </w:rPr>
                  </w:pPr>
                </w:p>
              </w:tc>
              <w:tc>
                <w:tcPr>
                  <w:tcW w:w="1864" w:type="pct"/>
                  <w:vAlign w:val="center"/>
                </w:tcPr>
                <w:p w14:paraId="7D4451B4">
                  <w:pPr>
                    <w:tabs>
                      <w:tab w:val="center" w:pos="4153"/>
                      <w:tab w:val="right" w:pos="8306"/>
                    </w:tabs>
                    <w:snapToGrid w:val="0"/>
                    <w:spacing w:line="320" w:lineRule="exact"/>
                    <w:jc w:val="center"/>
                    <w:rPr>
                      <w:color w:val="auto"/>
                      <w:sz w:val="18"/>
                      <w:szCs w:val="18"/>
                    </w:rPr>
                  </w:pPr>
                </w:p>
              </w:tc>
              <w:tc>
                <w:tcPr>
                  <w:tcW w:w="2424" w:type="pct"/>
                  <w:vAlign w:val="center"/>
                </w:tcPr>
                <w:p w14:paraId="40FF6EFC">
                  <w:pPr>
                    <w:tabs>
                      <w:tab w:val="center" w:pos="4153"/>
                      <w:tab w:val="right" w:pos="8306"/>
                    </w:tabs>
                    <w:snapToGrid w:val="0"/>
                    <w:spacing w:line="320" w:lineRule="exact"/>
                    <w:jc w:val="center"/>
                    <w:rPr>
                      <w:color w:val="auto"/>
                      <w:sz w:val="18"/>
                      <w:szCs w:val="18"/>
                    </w:rPr>
                  </w:pPr>
                </w:p>
              </w:tc>
            </w:tr>
            <w:tr w14:paraId="1FD3AC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12" w:type="pct"/>
                  <w:vAlign w:val="center"/>
                </w:tcPr>
                <w:p w14:paraId="2F5385D8">
                  <w:pPr>
                    <w:tabs>
                      <w:tab w:val="center" w:pos="4153"/>
                      <w:tab w:val="right" w:pos="8306"/>
                    </w:tabs>
                    <w:snapToGrid w:val="0"/>
                    <w:spacing w:line="320" w:lineRule="exact"/>
                    <w:jc w:val="center"/>
                    <w:rPr>
                      <w:color w:val="auto"/>
                      <w:sz w:val="18"/>
                      <w:szCs w:val="18"/>
                    </w:rPr>
                  </w:pPr>
                </w:p>
              </w:tc>
              <w:tc>
                <w:tcPr>
                  <w:tcW w:w="1864" w:type="pct"/>
                  <w:vAlign w:val="center"/>
                </w:tcPr>
                <w:p w14:paraId="32427D2C">
                  <w:pPr>
                    <w:tabs>
                      <w:tab w:val="center" w:pos="4153"/>
                      <w:tab w:val="right" w:pos="8306"/>
                    </w:tabs>
                    <w:snapToGrid w:val="0"/>
                    <w:spacing w:line="320" w:lineRule="exact"/>
                    <w:jc w:val="center"/>
                    <w:rPr>
                      <w:color w:val="auto"/>
                      <w:sz w:val="18"/>
                      <w:szCs w:val="18"/>
                    </w:rPr>
                  </w:pPr>
                </w:p>
              </w:tc>
              <w:tc>
                <w:tcPr>
                  <w:tcW w:w="2424" w:type="pct"/>
                  <w:vAlign w:val="center"/>
                </w:tcPr>
                <w:p w14:paraId="3BC8C253">
                  <w:pPr>
                    <w:tabs>
                      <w:tab w:val="center" w:pos="4153"/>
                      <w:tab w:val="right" w:pos="8306"/>
                    </w:tabs>
                    <w:snapToGrid w:val="0"/>
                    <w:spacing w:line="320" w:lineRule="exact"/>
                    <w:jc w:val="center"/>
                    <w:rPr>
                      <w:color w:val="auto"/>
                      <w:sz w:val="18"/>
                      <w:szCs w:val="18"/>
                    </w:rPr>
                  </w:pPr>
                </w:p>
              </w:tc>
            </w:tr>
            <w:tr w14:paraId="0ACC07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12" w:type="pct"/>
                  <w:vAlign w:val="center"/>
                </w:tcPr>
                <w:p w14:paraId="1691E14C">
                  <w:pPr>
                    <w:tabs>
                      <w:tab w:val="center" w:pos="4153"/>
                      <w:tab w:val="right" w:pos="8306"/>
                    </w:tabs>
                    <w:snapToGrid w:val="0"/>
                    <w:spacing w:line="320" w:lineRule="exact"/>
                    <w:jc w:val="center"/>
                    <w:rPr>
                      <w:color w:val="auto"/>
                      <w:sz w:val="18"/>
                      <w:szCs w:val="18"/>
                    </w:rPr>
                  </w:pPr>
                </w:p>
              </w:tc>
              <w:tc>
                <w:tcPr>
                  <w:tcW w:w="1864" w:type="pct"/>
                  <w:vAlign w:val="center"/>
                </w:tcPr>
                <w:p w14:paraId="757CE76A">
                  <w:pPr>
                    <w:tabs>
                      <w:tab w:val="center" w:pos="4153"/>
                      <w:tab w:val="right" w:pos="8306"/>
                    </w:tabs>
                    <w:snapToGrid w:val="0"/>
                    <w:spacing w:line="320" w:lineRule="exact"/>
                    <w:jc w:val="center"/>
                    <w:rPr>
                      <w:color w:val="auto"/>
                      <w:sz w:val="18"/>
                      <w:szCs w:val="18"/>
                    </w:rPr>
                  </w:pPr>
                </w:p>
              </w:tc>
              <w:tc>
                <w:tcPr>
                  <w:tcW w:w="2424" w:type="pct"/>
                  <w:vAlign w:val="center"/>
                </w:tcPr>
                <w:p w14:paraId="53C6C04C">
                  <w:pPr>
                    <w:tabs>
                      <w:tab w:val="center" w:pos="4153"/>
                      <w:tab w:val="right" w:pos="8306"/>
                    </w:tabs>
                    <w:snapToGrid w:val="0"/>
                    <w:spacing w:line="320" w:lineRule="exact"/>
                    <w:jc w:val="center"/>
                    <w:rPr>
                      <w:color w:val="auto"/>
                      <w:sz w:val="18"/>
                      <w:szCs w:val="18"/>
                    </w:rPr>
                  </w:pPr>
                </w:p>
              </w:tc>
            </w:tr>
            <w:tr w14:paraId="53AD46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12" w:type="pct"/>
                  <w:vAlign w:val="center"/>
                </w:tcPr>
                <w:p w14:paraId="50596458">
                  <w:pPr>
                    <w:tabs>
                      <w:tab w:val="center" w:pos="4153"/>
                      <w:tab w:val="right" w:pos="8306"/>
                    </w:tabs>
                    <w:snapToGrid w:val="0"/>
                    <w:spacing w:line="320" w:lineRule="exact"/>
                    <w:jc w:val="center"/>
                    <w:rPr>
                      <w:color w:val="auto"/>
                      <w:sz w:val="18"/>
                      <w:szCs w:val="18"/>
                    </w:rPr>
                  </w:pPr>
                </w:p>
              </w:tc>
              <w:tc>
                <w:tcPr>
                  <w:tcW w:w="1864" w:type="pct"/>
                  <w:vAlign w:val="center"/>
                </w:tcPr>
                <w:p w14:paraId="106B5BDD">
                  <w:pPr>
                    <w:tabs>
                      <w:tab w:val="center" w:pos="4153"/>
                      <w:tab w:val="right" w:pos="8306"/>
                    </w:tabs>
                    <w:snapToGrid w:val="0"/>
                    <w:spacing w:line="320" w:lineRule="exact"/>
                    <w:jc w:val="center"/>
                    <w:rPr>
                      <w:color w:val="auto"/>
                      <w:sz w:val="18"/>
                      <w:szCs w:val="18"/>
                    </w:rPr>
                  </w:pPr>
                </w:p>
              </w:tc>
              <w:tc>
                <w:tcPr>
                  <w:tcW w:w="2424" w:type="pct"/>
                  <w:vAlign w:val="center"/>
                </w:tcPr>
                <w:p w14:paraId="01AFE33D">
                  <w:pPr>
                    <w:tabs>
                      <w:tab w:val="center" w:pos="4153"/>
                      <w:tab w:val="right" w:pos="8306"/>
                    </w:tabs>
                    <w:snapToGrid w:val="0"/>
                    <w:spacing w:line="320" w:lineRule="exact"/>
                    <w:jc w:val="center"/>
                    <w:rPr>
                      <w:color w:val="auto"/>
                      <w:sz w:val="18"/>
                      <w:szCs w:val="18"/>
                    </w:rPr>
                  </w:pPr>
                </w:p>
              </w:tc>
            </w:tr>
            <w:tr w14:paraId="7167D9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12" w:type="pct"/>
                  <w:vAlign w:val="center"/>
                </w:tcPr>
                <w:p w14:paraId="396CA360">
                  <w:pPr>
                    <w:tabs>
                      <w:tab w:val="center" w:pos="4153"/>
                      <w:tab w:val="right" w:pos="8306"/>
                    </w:tabs>
                    <w:snapToGrid w:val="0"/>
                    <w:spacing w:line="320" w:lineRule="exact"/>
                    <w:jc w:val="center"/>
                    <w:rPr>
                      <w:color w:val="auto"/>
                      <w:sz w:val="18"/>
                      <w:szCs w:val="18"/>
                    </w:rPr>
                  </w:pPr>
                </w:p>
              </w:tc>
              <w:tc>
                <w:tcPr>
                  <w:tcW w:w="1864" w:type="pct"/>
                  <w:vAlign w:val="center"/>
                </w:tcPr>
                <w:p w14:paraId="17C4651B">
                  <w:pPr>
                    <w:tabs>
                      <w:tab w:val="center" w:pos="4153"/>
                      <w:tab w:val="right" w:pos="8306"/>
                    </w:tabs>
                    <w:snapToGrid w:val="0"/>
                    <w:spacing w:line="320" w:lineRule="exact"/>
                    <w:jc w:val="center"/>
                    <w:rPr>
                      <w:color w:val="auto"/>
                      <w:sz w:val="18"/>
                      <w:szCs w:val="18"/>
                    </w:rPr>
                  </w:pPr>
                </w:p>
              </w:tc>
              <w:tc>
                <w:tcPr>
                  <w:tcW w:w="2424" w:type="pct"/>
                  <w:vAlign w:val="center"/>
                </w:tcPr>
                <w:p w14:paraId="64677E5E">
                  <w:pPr>
                    <w:tabs>
                      <w:tab w:val="center" w:pos="4153"/>
                      <w:tab w:val="right" w:pos="8306"/>
                    </w:tabs>
                    <w:snapToGrid w:val="0"/>
                    <w:spacing w:line="320" w:lineRule="exact"/>
                    <w:jc w:val="center"/>
                    <w:rPr>
                      <w:color w:val="auto"/>
                      <w:sz w:val="18"/>
                      <w:szCs w:val="18"/>
                    </w:rPr>
                  </w:pPr>
                </w:p>
              </w:tc>
            </w:tr>
            <w:tr w14:paraId="3B9210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12" w:type="pct"/>
                  <w:vAlign w:val="center"/>
                </w:tcPr>
                <w:p w14:paraId="381E5EA3">
                  <w:pPr>
                    <w:tabs>
                      <w:tab w:val="center" w:pos="4153"/>
                      <w:tab w:val="right" w:pos="8306"/>
                    </w:tabs>
                    <w:snapToGrid w:val="0"/>
                    <w:spacing w:line="320" w:lineRule="exact"/>
                    <w:jc w:val="center"/>
                    <w:rPr>
                      <w:color w:val="auto"/>
                      <w:sz w:val="18"/>
                      <w:szCs w:val="18"/>
                    </w:rPr>
                  </w:pPr>
                </w:p>
              </w:tc>
              <w:tc>
                <w:tcPr>
                  <w:tcW w:w="1864" w:type="pct"/>
                  <w:vAlign w:val="center"/>
                </w:tcPr>
                <w:p w14:paraId="00215B3A">
                  <w:pPr>
                    <w:tabs>
                      <w:tab w:val="center" w:pos="4153"/>
                      <w:tab w:val="right" w:pos="8306"/>
                    </w:tabs>
                    <w:snapToGrid w:val="0"/>
                    <w:spacing w:line="320" w:lineRule="exact"/>
                    <w:jc w:val="center"/>
                    <w:rPr>
                      <w:color w:val="auto"/>
                      <w:sz w:val="18"/>
                      <w:szCs w:val="18"/>
                    </w:rPr>
                  </w:pPr>
                </w:p>
              </w:tc>
              <w:tc>
                <w:tcPr>
                  <w:tcW w:w="2424" w:type="pct"/>
                  <w:vAlign w:val="center"/>
                </w:tcPr>
                <w:p w14:paraId="1AB5628A">
                  <w:pPr>
                    <w:tabs>
                      <w:tab w:val="center" w:pos="4153"/>
                      <w:tab w:val="right" w:pos="8306"/>
                    </w:tabs>
                    <w:snapToGrid w:val="0"/>
                    <w:spacing w:line="320" w:lineRule="exact"/>
                    <w:jc w:val="center"/>
                    <w:rPr>
                      <w:color w:val="auto"/>
                      <w:sz w:val="18"/>
                      <w:szCs w:val="18"/>
                    </w:rPr>
                  </w:pPr>
                </w:p>
              </w:tc>
            </w:tr>
          </w:tbl>
          <w:p w14:paraId="4320BB7A">
            <w:pPr>
              <w:spacing w:line="500" w:lineRule="exact"/>
              <w:ind w:firstLine="422" w:firstLineChars="200"/>
              <w:rPr>
                <w:rFonts w:hint="default" w:eastAsia="宋体"/>
                <w:color w:val="auto"/>
                <w:szCs w:val="21"/>
                <w:lang w:val="en-US" w:eastAsia="zh-CN"/>
              </w:rPr>
            </w:pPr>
            <w:r>
              <w:rPr>
                <w:rFonts w:hint="eastAsia"/>
                <w:b/>
                <w:color w:val="auto"/>
                <w:szCs w:val="21"/>
              </w:rPr>
              <w:t>可行性分析：</w:t>
            </w:r>
            <w:r>
              <w:rPr>
                <w:rFonts w:hint="eastAsia"/>
                <w:color w:val="auto"/>
                <w:szCs w:val="21"/>
              </w:rPr>
              <w:t>类似项目《泰安高新技术产业开发区实验室项目》，实验废气经通风橱收集，采用SDG吸附+二级活性炭吸附处理，非甲烷总烃的最大小时排放浓度和最大小时排放速率均满足《大气污染物综合排放标准》（DB32/4041-2021）表1限值要求，二级活性炭吸附系统对非甲烷总烃的去除率为85.66%~91.37%。考虑到本项目实验废气采用“</w:t>
            </w:r>
            <w:r>
              <w:rPr>
                <w:rFonts w:hint="eastAsia"/>
                <w:color w:val="auto"/>
                <w:szCs w:val="21"/>
                <w:lang w:val="en-US" w:eastAsia="zh-CN"/>
              </w:rPr>
              <w:t>SDG吸附</w:t>
            </w:r>
            <w:r>
              <w:rPr>
                <w:rFonts w:hint="eastAsia"/>
                <w:color w:val="auto"/>
                <w:szCs w:val="21"/>
              </w:rPr>
              <w:t>+活性炭吸附”处置，活性炭</w:t>
            </w:r>
            <w:r>
              <w:rPr>
                <w:rFonts w:hint="eastAsia"/>
                <w:color w:val="auto"/>
                <w:szCs w:val="21"/>
                <w:lang w:val="en-US" w:eastAsia="zh-CN"/>
              </w:rPr>
              <w:t>为单级，因此</w:t>
            </w:r>
            <w:r>
              <w:rPr>
                <w:rFonts w:hint="eastAsia"/>
                <w:color w:val="auto"/>
                <w:szCs w:val="21"/>
              </w:rPr>
              <w:t>VOCs去除效率</w:t>
            </w:r>
            <w:r>
              <w:rPr>
                <w:rFonts w:hint="eastAsia"/>
                <w:color w:val="auto"/>
                <w:szCs w:val="21"/>
                <w:lang w:val="en-US" w:eastAsia="zh-CN"/>
              </w:rPr>
              <w:t>保守</w:t>
            </w:r>
            <w:r>
              <w:rPr>
                <w:rFonts w:hint="eastAsia"/>
                <w:color w:val="auto"/>
                <w:szCs w:val="21"/>
              </w:rPr>
              <w:t>取50%。</w:t>
            </w:r>
            <w:r>
              <w:rPr>
                <w:rFonts w:hint="eastAsia"/>
                <w:color w:val="auto"/>
                <w:lang w:val="en-US" w:eastAsia="zh-CN"/>
              </w:rPr>
              <w:t>另</w:t>
            </w:r>
            <w:r>
              <w:rPr>
                <w:rFonts w:hint="eastAsia"/>
                <w:color w:val="auto"/>
              </w:rPr>
              <w:t>参照《实验室废气污染控制技术规范》（DB32/T 4455-2023），SDG干式化学吸附工艺适用于实验室酸性无机废气净化</w:t>
            </w:r>
            <w:r>
              <w:rPr>
                <w:rFonts w:hint="eastAsia"/>
                <w:color w:val="auto"/>
                <w:lang w:eastAsia="zh-CN"/>
              </w:rPr>
              <w:t>，</w:t>
            </w:r>
            <w:r>
              <w:rPr>
                <w:rFonts w:hint="eastAsia"/>
                <w:color w:val="auto"/>
                <w:lang w:val="en-US" w:eastAsia="zh-CN"/>
              </w:rPr>
              <w:t>因此本项目选取SDG吸附+活性炭吸附，保守考虑去除率为50%是可行的。</w:t>
            </w:r>
          </w:p>
          <w:p w14:paraId="42BF9558">
            <w:pPr>
              <w:adjustRightInd w:val="0"/>
              <w:snapToGrid w:val="0"/>
              <w:spacing w:line="500" w:lineRule="exact"/>
              <w:ind w:firstLine="422" w:firstLineChars="200"/>
              <w:rPr>
                <w:b/>
                <w:color w:val="auto"/>
                <w:szCs w:val="21"/>
              </w:rPr>
            </w:pPr>
            <w:r>
              <w:rPr>
                <w:rFonts w:hint="eastAsia"/>
                <w:b/>
                <w:color w:val="auto"/>
                <w:szCs w:val="21"/>
              </w:rPr>
              <w:t>2</w:t>
            </w:r>
            <w:r>
              <w:rPr>
                <w:b/>
                <w:color w:val="auto"/>
                <w:szCs w:val="21"/>
              </w:rPr>
              <w:t>、</w:t>
            </w:r>
            <w:r>
              <w:rPr>
                <w:rFonts w:hint="eastAsia"/>
                <w:b/>
                <w:color w:val="auto"/>
                <w:szCs w:val="21"/>
              </w:rPr>
              <w:t>废水</w:t>
            </w:r>
          </w:p>
          <w:p w14:paraId="65EC59B0">
            <w:pPr>
              <w:adjustRightInd w:val="0"/>
              <w:snapToGrid w:val="0"/>
              <w:spacing w:line="500" w:lineRule="exact"/>
              <w:ind w:firstLine="422" w:firstLineChars="200"/>
              <w:rPr>
                <w:bCs/>
                <w:color w:val="auto"/>
                <w:kern w:val="0"/>
                <w:szCs w:val="21"/>
              </w:rPr>
            </w:pPr>
            <w:r>
              <w:rPr>
                <w:rFonts w:hint="eastAsia"/>
                <w:b/>
                <w:color w:val="auto"/>
                <w:szCs w:val="21"/>
              </w:rPr>
              <w:t>（1）废水污染物排放源强</w:t>
            </w:r>
          </w:p>
          <w:p w14:paraId="0B54D118">
            <w:pPr>
              <w:autoSpaceDE w:val="0"/>
              <w:autoSpaceDN w:val="0"/>
              <w:adjustRightInd w:val="0"/>
              <w:snapToGrid w:val="0"/>
              <w:spacing w:line="500" w:lineRule="exact"/>
              <w:ind w:firstLine="420" w:firstLineChars="200"/>
              <w:rPr>
                <w:bCs/>
                <w:color w:val="auto"/>
                <w:kern w:val="0"/>
                <w:szCs w:val="21"/>
              </w:rPr>
            </w:pPr>
            <w:r>
              <w:rPr>
                <w:rFonts w:hint="eastAsia"/>
                <w:bCs/>
                <w:color w:val="auto"/>
                <w:kern w:val="0"/>
                <w:szCs w:val="21"/>
              </w:rPr>
              <w:t>本项目废水主要包括实验废水W1。</w:t>
            </w:r>
          </w:p>
          <w:p w14:paraId="4AD12A82">
            <w:pPr>
              <w:autoSpaceDE w:val="0"/>
              <w:autoSpaceDN w:val="0"/>
              <w:adjustRightInd w:val="0"/>
              <w:snapToGrid w:val="0"/>
              <w:spacing w:line="500" w:lineRule="exact"/>
              <w:ind w:firstLine="420" w:firstLineChars="200"/>
              <w:rPr>
                <w:bCs/>
                <w:color w:val="auto"/>
                <w:kern w:val="0"/>
                <w:szCs w:val="21"/>
              </w:rPr>
            </w:pPr>
            <w:r>
              <w:rPr>
                <w:rFonts w:hint="eastAsia"/>
                <w:bCs/>
                <w:color w:val="auto"/>
                <w:kern w:val="0"/>
                <w:szCs w:val="21"/>
              </w:rPr>
              <w:t>实验室中实验仪器（各类玻璃仪器清洗废水、其他实验设施）清洗废水（非初次）、清洁废水等无法进行分类收集，故统一收集作为实验废水W1。</w:t>
            </w:r>
          </w:p>
          <w:p w14:paraId="55589963">
            <w:pPr>
              <w:autoSpaceDE w:val="0"/>
              <w:autoSpaceDN w:val="0"/>
              <w:adjustRightInd w:val="0"/>
              <w:snapToGrid w:val="0"/>
              <w:spacing w:line="500" w:lineRule="exact"/>
              <w:ind w:firstLine="420" w:firstLineChars="200"/>
              <w:rPr>
                <w:bCs/>
                <w:color w:val="auto"/>
                <w:kern w:val="0"/>
                <w:szCs w:val="21"/>
              </w:rPr>
            </w:pPr>
            <w:r>
              <w:rPr>
                <w:rFonts w:hint="eastAsia"/>
                <w:bCs/>
                <w:color w:val="auto"/>
                <w:kern w:val="0"/>
                <w:szCs w:val="21"/>
              </w:rPr>
              <w:t>本项目实验室检查项目、规模、频率及废水污染物产排情况与现有实验室保持一致。参照现有实验室运行情况，实验室用纯水量约1973.1t/a，损耗约204.2t/a，则</w:t>
            </w:r>
            <w:r>
              <w:rPr>
                <w:bCs/>
                <w:color w:val="auto"/>
                <w:kern w:val="0"/>
                <w:szCs w:val="21"/>
              </w:rPr>
              <w:t>废水量约为</w:t>
            </w:r>
            <w:r>
              <w:rPr>
                <w:rFonts w:hint="eastAsia"/>
                <w:bCs/>
                <w:color w:val="auto"/>
                <w:kern w:val="0"/>
                <w:szCs w:val="21"/>
              </w:rPr>
              <w:t>1768.9</w:t>
            </w:r>
            <w:r>
              <w:rPr>
                <w:bCs/>
                <w:color w:val="auto"/>
                <w:kern w:val="0"/>
                <w:szCs w:val="21"/>
              </w:rPr>
              <w:t xml:space="preserve"> t/a，废水经</w:t>
            </w:r>
            <w:r>
              <w:rPr>
                <w:rFonts w:hint="eastAsia"/>
                <w:bCs/>
                <w:color w:val="auto"/>
                <w:kern w:val="0"/>
                <w:szCs w:val="21"/>
              </w:rPr>
              <w:t>实验室管道收集后泵入污水处理区域的污水综合收集池，经过折流池，加酸（碱）,调节</w:t>
            </w:r>
            <w:r>
              <w:rPr>
                <w:rFonts w:hint="eastAsia"/>
                <w:bCs/>
                <w:color w:val="auto"/>
                <w:kern w:val="0"/>
                <w:szCs w:val="21"/>
                <w:lang w:eastAsia="zh-CN"/>
              </w:rPr>
              <w:t>pH值</w:t>
            </w:r>
            <w:r>
              <w:rPr>
                <w:rFonts w:hint="eastAsia"/>
                <w:bCs/>
                <w:color w:val="auto"/>
                <w:kern w:val="0"/>
                <w:szCs w:val="21"/>
              </w:rPr>
              <w:t>，分析合格后</w:t>
            </w:r>
            <w:r>
              <w:rPr>
                <w:rFonts w:hint="eastAsia"/>
                <w:bCs/>
                <w:color w:val="auto"/>
                <w:kern w:val="0"/>
                <w:szCs w:val="21"/>
                <w:lang w:eastAsia="zh-CN"/>
              </w:rPr>
              <w:t>进入</w:t>
            </w:r>
            <w:r>
              <w:rPr>
                <w:rFonts w:hint="eastAsia"/>
                <w:bCs/>
                <w:color w:val="auto"/>
                <w:kern w:val="0"/>
                <w:szCs w:val="21"/>
              </w:rPr>
              <w:t>合格水排放池，监测</w:t>
            </w:r>
            <w:r>
              <w:rPr>
                <w:rFonts w:hint="eastAsia"/>
                <w:bCs/>
                <w:color w:val="auto"/>
                <w:kern w:val="0"/>
                <w:szCs w:val="21"/>
                <w:lang w:eastAsia="zh-CN"/>
              </w:rPr>
              <w:t>达到</w:t>
            </w:r>
            <w:r>
              <w:rPr>
                <w:rFonts w:hint="eastAsia"/>
                <w:bCs/>
                <w:color w:val="auto"/>
                <w:kern w:val="0"/>
                <w:szCs w:val="21"/>
              </w:rPr>
              <w:t>接管标准后接管。</w:t>
            </w:r>
          </w:p>
          <w:p w14:paraId="324065FE">
            <w:pPr>
              <w:autoSpaceDE w:val="0"/>
              <w:autoSpaceDN w:val="0"/>
              <w:adjustRightInd w:val="0"/>
              <w:snapToGrid w:val="0"/>
              <w:spacing w:line="500" w:lineRule="exact"/>
              <w:ind w:firstLine="420" w:firstLineChars="200"/>
              <w:rPr>
                <w:bCs/>
                <w:color w:val="auto"/>
                <w:kern w:val="0"/>
                <w:szCs w:val="21"/>
              </w:rPr>
            </w:pPr>
            <w:r>
              <w:rPr>
                <w:rFonts w:hint="eastAsia"/>
                <w:bCs/>
                <w:color w:val="auto"/>
                <w:kern w:val="0"/>
                <w:szCs w:val="21"/>
              </w:rPr>
              <w:t>由于本次项目建成后实验室废水的产生情况及处置去向均不变。</w:t>
            </w:r>
          </w:p>
          <w:p w14:paraId="06B53A8F">
            <w:pPr>
              <w:snapToGrid w:val="0"/>
              <w:spacing w:line="500" w:lineRule="exact"/>
              <w:jc w:val="center"/>
              <w:rPr>
                <w:bCs/>
                <w:color w:val="auto"/>
                <w:kern w:val="0"/>
                <w:szCs w:val="21"/>
              </w:rPr>
            </w:pPr>
            <w:r>
              <w:rPr>
                <w:rFonts w:hint="eastAsia"/>
                <w:b/>
                <w:color w:val="auto"/>
                <w:szCs w:val="21"/>
              </w:rPr>
              <w:t>表</w:t>
            </w:r>
            <w:r>
              <w:rPr>
                <w:b/>
                <w:color w:val="auto"/>
                <w:szCs w:val="21"/>
              </w:rPr>
              <w:t>4</w:t>
            </w:r>
            <w:r>
              <w:rPr>
                <w:rFonts w:hint="eastAsia"/>
                <w:b/>
                <w:color w:val="auto"/>
                <w:szCs w:val="21"/>
              </w:rPr>
              <w:t>-6本项目废水产生及接管排放情况</w:t>
            </w:r>
          </w:p>
          <w:tbl>
            <w:tblPr>
              <w:tblStyle w:val="21"/>
              <w:tblW w:w="4996"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78"/>
              <w:gridCol w:w="765"/>
              <w:gridCol w:w="686"/>
              <w:gridCol w:w="820"/>
              <w:gridCol w:w="904"/>
              <w:gridCol w:w="363"/>
              <w:gridCol w:w="611"/>
              <w:gridCol w:w="726"/>
              <w:gridCol w:w="595"/>
              <w:gridCol w:w="589"/>
              <w:gridCol w:w="785"/>
              <w:gridCol w:w="650"/>
              <w:gridCol w:w="584"/>
            </w:tblGrid>
            <w:tr w14:paraId="432FDAC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279" w:type="pct"/>
                  <w:shd w:val="clear" w:color="auto" w:fill="auto"/>
                  <w:vAlign w:val="center"/>
                </w:tcPr>
                <w:p w14:paraId="02891191">
                  <w:pPr>
                    <w:widowControl/>
                    <w:jc w:val="center"/>
                    <w:textAlignment w:val="center"/>
                    <w:rPr>
                      <w:color w:val="auto"/>
                      <w:sz w:val="18"/>
                      <w:szCs w:val="18"/>
                    </w:rPr>
                  </w:pPr>
                </w:p>
              </w:tc>
              <w:tc>
                <w:tcPr>
                  <w:tcW w:w="447" w:type="pct"/>
                  <w:shd w:val="clear" w:color="auto" w:fill="auto"/>
                  <w:vAlign w:val="center"/>
                </w:tcPr>
                <w:p w14:paraId="1037468B">
                  <w:pPr>
                    <w:widowControl/>
                    <w:jc w:val="center"/>
                    <w:textAlignment w:val="center"/>
                    <w:rPr>
                      <w:color w:val="auto"/>
                      <w:sz w:val="18"/>
                      <w:szCs w:val="18"/>
                    </w:rPr>
                  </w:pPr>
                </w:p>
              </w:tc>
              <w:tc>
                <w:tcPr>
                  <w:tcW w:w="400" w:type="pct"/>
                  <w:shd w:val="clear" w:color="auto" w:fill="auto"/>
                  <w:vAlign w:val="center"/>
                </w:tcPr>
                <w:p w14:paraId="3EA2611B">
                  <w:pPr>
                    <w:widowControl/>
                    <w:jc w:val="center"/>
                    <w:textAlignment w:val="center"/>
                    <w:rPr>
                      <w:color w:val="auto"/>
                      <w:sz w:val="18"/>
                      <w:szCs w:val="18"/>
                    </w:rPr>
                  </w:pPr>
                </w:p>
              </w:tc>
              <w:tc>
                <w:tcPr>
                  <w:tcW w:w="479" w:type="pct"/>
                  <w:shd w:val="clear" w:color="auto" w:fill="auto"/>
                  <w:vAlign w:val="center"/>
                </w:tcPr>
                <w:p w14:paraId="09DDA8E0">
                  <w:pPr>
                    <w:widowControl/>
                    <w:jc w:val="center"/>
                    <w:textAlignment w:val="center"/>
                    <w:rPr>
                      <w:color w:val="auto"/>
                      <w:sz w:val="18"/>
                      <w:szCs w:val="18"/>
                    </w:rPr>
                  </w:pPr>
                </w:p>
              </w:tc>
              <w:tc>
                <w:tcPr>
                  <w:tcW w:w="528" w:type="pct"/>
                  <w:shd w:val="clear" w:color="auto" w:fill="auto"/>
                  <w:vAlign w:val="center"/>
                </w:tcPr>
                <w:p w14:paraId="31D96323">
                  <w:pPr>
                    <w:widowControl/>
                    <w:jc w:val="center"/>
                    <w:textAlignment w:val="center"/>
                    <w:rPr>
                      <w:color w:val="auto"/>
                      <w:sz w:val="18"/>
                      <w:szCs w:val="18"/>
                    </w:rPr>
                  </w:pPr>
                </w:p>
              </w:tc>
              <w:tc>
                <w:tcPr>
                  <w:tcW w:w="212" w:type="pct"/>
                  <w:shd w:val="clear" w:color="auto" w:fill="auto"/>
                  <w:vAlign w:val="center"/>
                </w:tcPr>
                <w:p w14:paraId="167E513A">
                  <w:pPr>
                    <w:widowControl/>
                    <w:jc w:val="center"/>
                    <w:textAlignment w:val="center"/>
                    <w:rPr>
                      <w:color w:val="auto"/>
                      <w:sz w:val="18"/>
                      <w:szCs w:val="18"/>
                    </w:rPr>
                  </w:pPr>
                </w:p>
              </w:tc>
              <w:tc>
                <w:tcPr>
                  <w:tcW w:w="357" w:type="pct"/>
                  <w:shd w:val="clear" w:color="auto" w:fill="auto"/>
                  <w:vAlign w:val="center"/>
                </w:tcPr>
                <w:p w14:paraId="108EE013">
                  <w:pPr>
                    <w:widowControl/>
                    <w:jc w:val="center"/>
                    <w:textAlignment w:val="center"/>
                    <w:rPr>
                      <w:color w:val="auto"/>
                      <w:sz w:val="18"/>
                      <w:szCs w:val="18"/>
                    </w:rPr>
                  </w:pPr>
                </w:p>
              </w:tc>
              <w:tc>
                <w:tcPr>
                  <w:tcW w:w="424" w:type="pct"/>
                  <w:shd w:val="clear" w:color="auto" w:fill="auto"/>
                  <w:vAlign w:val="center"/>
                </w:tcPr>
                <w:p w14:paraId="71945F07">
                  <w:pPr>
                    <w:widowControl/>
                    <w:jc w:val="center"/>
                    <w:textAlignment w:val="center"/>
                    <w:rPr>
                      <w:color w:val="auto"/>
                      <w:sz w:val="18"/>
                      <w:szCs w:val="18"/>
                    </w:rPr>
                  </w:pPr>
                </w:p>
              </w:tc>
              <w:tc>
                <w:tcPr>
                  <w:tcW w:w="347" w:type="pct"/>
                  <w:shd w:val="clear" w:color="auto" w:fill="auto"/>
                  <w:vAlign w:val="center"/>
                </w:tcPr>
                <w:p w14:paraId="65B36C14">
                  <w:pPr>
                    <w:widowControl/>
                    <w:jc w:val="center"/>
                    <w:textAlignment w:val="center"/>
                    <w:rPr>
                      <w:color w:val="auto"/>
                      <w:sz w:val="18"/>
                      <w:szCs w:val="18"/>
                    </w:rPr>
                  </w:pPr>
                </w:p>
              </w:tc>
              <w:tc>
                <w:tcPr>
                  <w:tcW w:w="344" w:type="pct"/>
                  <w:shd w:val="clear" w:color="auto" w:fill="auto"/>
                  <w:noWrap/>
                  <w:vAlign w:val="center"/>
                </w:tcPr>
                <w:p w14:paraId="79EB6AE1">
                  <w:pPr>
                    <w:widowControl/>
                    <w:jc w:val="center"/>
                    <w:textAlignment w:val="center"/>
                    <w:rPr>
                      <w:color w:val="auto"/>
                      <w:sz w:val="18"/>
                      <w:szCs w:val="18"/>
                    </w:rPr>
                  </w:pPr>
                </w:p>
              </w:tc>
              <w:tc>
                <w:tcPr>
                  <w:tcW w:w="458" w:type="pct"/>
                  <w:shd w:val="clear" w:color="auto" w:fill="auto"/>
                  <w:vAlign w:val="center"/>
                </w:tcPr>
                <w:p w14:paraId="3BFDFA18">
                  <w:pPr>
                    <w:widowControl/>
                    <w:jc w:val="center"/>
                    <w:textAlignment w:val="center"/>
                    <w:rPr>
                      <w:color w:val="auto"/>
                      <w:sz w:val="18"/>
                      <w:szCs w:val="18"/>
                    </w:rPr>
                  </w:pPr>
                </w:p>
              </w:tc>
              <w:tc>
                <w:tcPr>
                  <w:tcW w:w="379" w:type="pct"/>
                  <w:shd w:val="clear" w:color="auto" w:fill="auto"/>
                  <w:vAlign w:val="center"/>
                </w:tcPr>
                <w:p w14:paraId="447EDE59">
                  <w:pPr>
                    <w:widowControl/>
                    <w:jc w:val="center"/>
                    <w:textAlignment w:val="center"/>
                    <w:rPr>
                      <w:color w:val="auto"/>
                      <w:sz w:val="18"/>
                      <w:szCs w:val="18"/>
                    </w:rPr>
                  </w:pPr>
                </w:p>
              </w:tc>
              <w:tc>
                <w:tcPr>
                  <w:tcW w:w="341" w:type="pct"/>
                  <w:shd w:val="clear" w:color="auto" w:fill="auto"/>
                  <w:vAlign w:val="center"/>
                </w:tcPr>
                <w:p w14:paraId="2E3B0CE1">
                  <w:pPr>
                    <w:widowControl/>
                    <w:jc w:val="center"/>
                    <w:textAlignment w:val="center"/>
                    <w:rPr>
                      <w:color w:val="auto"/>
                      <w:sz w:val="18"/>
                      <w:szCs w:val="18"/>
                    </w:rPr>
                  </w:pPr>
                </w:p>
              </w:tc>
            </w:tr>
            <w:tr w14:paraId="6FAC25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279" w:type="pct"/>
                  <w:vMerge w:val="restart"/>
                  <w:shd w:val="clear" w:color="auto" w:fill="auto"/>
                  <w:vAlign w:val="center"/>
                </w:tcPr>
                <w:p w14:paraId="400D5098">
                  <w:pPr>
                    <w:widowControl/>
                    <w:jc w:val="center"/>
                    <w:textAlignment w:val="center"/>
                    <w:rPr>
                      <w:color w:val="auto"/>
                      <w:sz w:val="18"/>
                      <w:szCs w:val="18"/>
                    </w:rPr>
                  </w:pPr>
                </w:p>
              </w:tc>
              <w:tc>
                <w:tcPr>
                  <w:tcW w:w="447" w:type="pct"/>
                  <w:vMerge w:val="restart"/>
                  <w:shd w:val="clear" w:color="auto" w:fill="auto"/>
                  <w:vAlign w:val="center"/>
                </w:tcPr>
                <w:p w14:paraId="24467355">
                  <w:pPr>
                    <w:widowControl/>
                    <w:jc w:val="center"/>
                    <w:textAlignment w:val="center"/>
                    <w:rPr>
                      <w:color w:val="auto"/>
                      <w:sz w:val="18"/>
                      <w:szCs w:val="18"/>
                    </w:rPr>
                  </w:pPr>
                </w:p>
              </w:tc>
              <w:tc>
                <w:tcPr>
                  <w:tcW w:w="400" w:type="pct"/>
                  <w:shd w:val="clear" w:color="auto" w:fill="auto"/>
                  <w:noWrap/>
                  <w:vAlign w:val="center"/>
                </w:tcPr>
                <w:p w14:paraId="52A10277">
                  <w:pPr>
                    <w:widowControl/>
                    <w:jc w:val="center"/>
                    <w:textAlignment w:val="center"/>
                    <w:rPr>
                      <w:color w:val="auto"/>
                      <w:sz w:val="18"/>
                      <w:szCs w:val="18"/>
                    </w:rPr>
                  </w:pPr>
                </w:p>
              </w:tc>
              <w:tc>
                <w:tcPr>
                  <w:tcW w:w="479" w:type="pct"/>
                  <w:shd w:val="clear" w:color="auto" w:fill="auto"/>
                  <w:noWrap/>
                  <w:vAlign w:val="center"/>
                </w:tcPr>
                <w:p w14:paraId="0F4CD17F">
                  <w:pPr>
                    <w:widowControl/>
                    <w:jc w:val="center"/>
                    <w:textAlignment w:val="center"/>
                    <w:rPr>
                      <w:color w:val="auto"/>
                      <w:sz w:val="18"/>
                      <w:szCs w:val="18"/>
                    </w:rPr>
                  </w:pPr>
                </w:p>
              </w:tc>
              <w:tc>
                <w:tcPr>
                  <w:tcW w:w="528" w:type="pct"/>
                  <w:shd w:val="clear" w:color="auto" w:fill="auto"/>
                  <w:noWrap/>
                  <w:vAlign w:val="center"/>
                </w:tcPr>
                <w:p w14:paraId="202F700D">
                  <w:pPr>
                    <w:widowControl/>
                    <w:jc w:val="center"/>
                    <w:textAlignment w:val="center"/>
                    <w:rPr>
                      <w:color w:val="auto"/>
                      <w:sz w:val="18"/>
                      <w:szCs w:val="18"/>
                    </w:rPr>
                  </w:pPr>
                </w:p>
              </w:tc>
              <w:tc>
                <w:tcPr>
                  <w:tcW w:w="212" w:type="pct"/>
                  <w:vMerge w:val="restart"/>
                  <w:shd w:val="clear" w:color="auto" w:fill="auto"/>
                  <w:vAlign w:val="center"/>
                </w:tcPr>
                <w:p w14:paraId="6FCFE201">
                  <w:pPr>
                    <w:widowControl/>
                    <w:jc w:val="left"/>
                    <w:textAlignment w:val="center"/>
                    <w:rPr>
                      <w:color w:val="auto"/>
                      <w:sz w:val="18"/>
                      <w:szCs w:val="18"/>
                    </w:rPr>
                  </w:pPr>
                </w:p>
              </w:tc>
              <w:tc>
                <w:tcPr>
                  <w:tcW w:w="357" w:type="pct"/>
                  <w:shd w:val="clear" w:color="auto" w:fill="auto"/>
                  <w:vAlign w:val="center"/>
                </w:tcPr>
                <w:p w14:paraId="49A491B2">
                  <w:pPr>
                    <w:widowControl/>
                    <w:jc w:val="center"/>
                    <w:textAlignment w:val="center"/>
                    <w:rPr>
                      <w:color w:val="auto"/>
                      <w:sz w:val="18"/>
                      <w:szCs w:val="18"/>
                    </w:rPr>
                  </w:pPr>
                </w:p>
              </w:tc>
              <w:tc>
                <w:tcPr>
                  <w:tcW w:w="424" w:type="pct"/>
                  <w:shd w:val="clear" w:color="auto" w:fill="auto"/>
                  <w:noWrap/>
                  <w:vAlign w:val="center"/>
                </w:tcPr>
                <w:p w14:paraId="1BDDFA40">
                  <w:pPr>
                    <w:keepNext w:val="0"/>
                    <w:keepLines w:val="0"/>
                    <w:widowControl/>
                    <w:suppressLineNumbers w:val="0"/>
                    <w:jc w:val="center"/>
                    <w:textAlignment w:val="center"/>
                    <w:rPr>
                      <w:color w:val="auto"/>
                      <w:sz w:val="18"/>
                      <w:szCs w:val="18"/>
                    </w:rPr>
                  </w:pPr>
                </w:p>
              </w:tc>
              <w:tc>
                <w:tcPr>
                  <w:tcW w:w="347" w:type="pct"/>
                  <w:shd w:val="clear" w:color="auto" w:fill="auto"/>
                  <w:noWrap/>
                  <w:vAlign w:val="center"/>
                </w:tcPr>
                <w:p w14:paraId="6C09176F">
                  <w:pPr>
                    <w:keepNext w:val="0"/>
                    <w:keepLines w:val="0"/>
                    <w:widowControl/>
                    <w:suppressLineNumbers w:val="0"/>
                    <w:jc w:val="center"/>
                    <w:textAlignment w:val="center"/>
                    <w:rPr>
                      <w:color w:val="auto"/>
                      <w:sz w:val="18"/>
                      <w:szCs w:val="18"/>
                    </w:rPr>
                  </w:pPr>
                </w:p>
              </w:tc>
              <w:tc>
                <w:tcPr>
                  <w:tcW w:w="344" w:type="pct"/>
                  <w:shd w:val="clear" w:color="auto" w:fill="auto"/>
                  <w:noWrap/>
                  <w:vAlign w:val="center"/>
                </w:tcPr>
                <w:p w14:paraId="792D71ED">
                  <w:pPr>
                    <w:keepNext w:val="0"/>
                    <w:keepLines w:val="0"/>
                    <w:widowControl/>
                    <w:suppressLineNumbers w:val="0"/>
                    <w:jc w:val="center"/>
                    <w:textAlignment w:val="center"/>
                    <w:rPr>
                      <w:color w:val="auto"/>
                      <w:sz w:val="18"/>
                      <w:szCs w:val="18"/>
                    </w:rPr>
                  </w:pPr>
                </w:p>
              </w:tc>
              <w:tc>
                <w:tcPr>
                  <w:tcW w:w="458" w:type="pct"/>
                  <w:vMerge w:val="restart"/>
                  <w:shd w:val="clear" w:color="auto" w:fill="auto"/>
                  <w:vAlign w:val="center"/>
                </w:tcPr>
                <w:p w14:paraId="2426FE8C">
                  <w:pPr>
                    <w:widowControl/>
                    <w:jc w:val="center"/>
                    <w:textAlignment w:val="center"/>
                    <w:rPr>
                      <w:color w:val="auto"/>
                      <w:sz w:val="18"/>
                      <w:szCs w:val="18"/>
                    </w:rPr>
                  </w:pPr>
                </w:p>
              </w:tc>
              <w:tc>
                <w:tcPr>
                  <w:tcW w:w="379" w:type="pct"/>
                  <w:shd w:val="clear" w:color="auto" w:fill="auto"/>
                  <w:noWrap/>
                  <w:vAlign w:val="center"/>
                </w:tcPr>
                <w:p w14:paraId="4FDE5B79">
                  <w:pPr>
                    <w:keepNext w:val="0"/>
                    <w:keepLines w:val="0"/>
                    <w:widowControl/>
                    <w:suppressLineNumbers w:val="0"/>
                    <w:jc w:val="center"/>
                    <w:textAlignment w:val="center"/>
                    <w:rPr>
                      <w:color w:val="auto"/>
                      <w:sz w:val="18"/>
                      <w:szCs w:val="18"/>
                    </w:rPr>
                  </w:pPr>
                </w:p>
              </w:tc>
              <w:tc>
                <w:tcPr>
                  <w:tcW w:w="341" w:type="pct"/>
                  <w:shd w:val="clear" w:color="auto" w:fill="auto"/>
                  <w:noWrap/>
                  <w:vAlign w:val="center"/>
                </w:tcPr>
                <w:p w14:paraId="44ABF695">
                  <w:pPr>
                    <w:keepNext w:val="0"/>
                    <w:keepLines w:val="0"/>
                    <w:widowControl/>
                    <w:suppressLineNumbers w:val="0"/>
                    <w:jc w:val="center"/>
                    <w:textAlignment w:val="center"/>
                    <w:rPr>
                      <w:color w:val="auto"/>
                      <w:sz w:val="18"/>
                      <w:szCs w:val="18"/>
                    </w:rPr>
                  </w:pPr>
                </w:p>
              </w:tc>
            </w:tr>
            <w:tr w14:paraId="60254E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279" w:type="pct"/>
                  <w:vMerge w:val="continue"/>
                  <w:shd w:val="clear" w:color="auto" w:fill="auto"/>
                  <w:vAlign w:val="center"/>
                </w:tcPr>
                <w:p w14:paraId="0051D105">
                  <w:pPr>
                    <w:jc w:val="center"/>
                    <w:rPr>
                      <w:color w:val="auto"/>
                      <w:sz w:val="18"/>
                      <w:szCs w:val="18"/>
                    </w:rPr>
                  </w:pPr>
                </w:p>
              </w:tc>
              <w:tc>
                <w:tcPr>
                  <w:tcW w:w="447" w:type="pct"/>
                  <w:vMerge w:val="continue"/>
                  <w:shd w:val="clear" w:color="auto" w:fill="auto"/>
                  <w:vAlign w:val="center"/>
                </w:tcPr>
                <w:p w14:paraId="5D922C71">
                  <w:pPr>
                    <w:jc w:val="center"/>
                    <w:rPr>
                      <w:color w:val="auto"/>
                      <w:sz w:val="18"/>
                      <w:szCs w:val="18"/>
                    </w:rPr>
                  </w:pPr>
                </w:p>
              </w:tc>
              <w:tc>
                <w:tcPr>
                  <w:tcW w:w="400" w:type="pct"/>
                  <w:shd w:val="clear" w:color="auto" w:fill="auto"/>
                  <w:noWrap/>
                  <w:vAlign w:val="center"/>
                </w:tcPr>
                <w:p w14:paraId="2AED1B20">
                  <w:pPr>
                    <w:widowControl/>
                    <w:jc w:val="center"/>
                    <w:textAlignment w:val="center"/>
                    <w:rPr>
                      <w:color w:val="auto"/>
                      <w:sz w:val="18"/>
                      <w:szCs w:val="18"/>
                    </w:rPr>
                  </w:pPr>
                </w:p>
              </w:tc>
              <w:tc>
                <w:tcPr>
                  <w:tcW w:w="479" w:type="pct"/>
                  <w:shd w:val="clear" w:color="auto" w:fill="auto"/>
                  <w:noWrap/>
                  <w:vAlign w:val="center"/>
                </w:tcPr>
                <w:p w14:paraId="6F70407C">
                  <w:pPr>
                    <w:widowControl/>
                    <w:jc w:val="center"/>
                    <w:textAlignment w:val="center"/>
                    <w:rPr>
                      <w:color w:val="auto"/>
                      <w:sz w:val="18"/>
                      <w:szCs w:val="18"/>
                    </w:rPr>
                  </w:pPr>
                </w:p>
              </w:tc>
              <w:tc>
                <w:tcPr>
                  <w:tcW w:w="528" w:type="pct"/>
                  <w:shd w:val="clear" w:color="auto" w:fill="auto"/>
                  <w:noWrap/>
                  <w:vAlign w:val="center"/>
                </w:tcPr>
                <w:p w14:paraId="50122FC1">
                  <w:pPr>
                    <w:widowControl/>
                    <w:jc w:val="center"/>
                    <w:textAlignment w:val="center"/>
                    <w:rPr>
                      <w:color w:val="auto"/>
                      <w:sz w:val="18"/>
                      <w:szCs w:val="18"/>
                    </w:rPr>
                  </w:pPr>
                </w:p>
              </w:tc>
              <w:tc>
                <w:tcPr>
                  <w:tcW w:w="212" w:type="pct"/>
                  <w:vMerge w:val="continue"/>
                  <w:shd w:val="clear" w:color="auto" w:fill="auto"/>
                  <w:vAlign w:val="center"/>
                </w:tcPr>
                <w:p w14:paraId="542B6229">
                  <w:pPr>
                    <w:jc w:val="left"/>
                    <w:rPr>
                      <w:color w:val="auto"/>
                      <w:sz w:val="18"/>
                      <w:szCs w:val="18"/>
                    </w:rPr>
                  </w:pPr>
                </w:p>
              </w:tc>
              <w:tc>
                <w:tcPr>
                  <w:tcW w:w="357" w:type="pct"/>
                  <w:shd w:val="clear" w:color="auto" w:fill="auto"/>
                  <w:vAlign w:val="center"/>
                </w:tcPr>
                <w:p w14:paraId="69C8B28A">
                  <w:pPr>
                    <w:widowControl/>
                    <w:jc w:val="center"/>
                    <w:textAlignment w:val="center"/>
                    <w:rPr>
                      <w:color w:val="auto"/>
                      <w:sz w:val="18"/>
                      <w:szCs w:val="18"/>
                    </w:rPr>
                  </w:pPr>
                </w:p>
              </w:tc>
              <w:tc>
                <w:tcPr>
                  <w:tcW w:w="424" w:type="pct"/>
                  <w:shd w:val="clear" w:color="auto" w:fill="auto"/>
                  <w:noWrap/>
                  <w:vAlign w:val="center"/>
                </w:tcPr>
                <w:p w14:paraId="1D3C14D3">
                  <w:pPr>
                    <w:keepNext w:val="0"/>
                    <w:keepLines w:val="0"/>
                    <w:widowControl/>
                    <w:suppressLineNumbers w:val="0"/>
                    <w:jc w:val="center"/>
                    <w:textAlignment w:val="center"/>
                    <w:rPr>
                      <w:color w:val="auto"/>
                      <w:sz w:val="18"/>
                      <w:szCs w:val="18"/>
                    </w:rPr>
                  </w:pPr>
                </w:p>
              </w:tc>
              <w:tc>
                <w:tcPr>
                  <w:tcW w:w="347" w:type="pct"/>
                  <w:shd w:val="clear" w:color="auto" w:fill="auto"/>
                  <w:noWrap/>
                  <w:vAlign w:val="center"/>
                </w:tcPr>
                <w:p w14:paraId="26BCD729">
                  <w:pPr>
                    <w:keepNext w:val="0"/>
                    <w:keepLines w:val="0"/>
                    <w:widowControl/>
                    <w:suppressLineNumbers w:val="0"/>
                    <w:jc w:val="center"/>
                    <w:textAlignment w:val="center"/>
                    <w:rPr>
                      <w:color w:val="auto"/>
                      <w:kern w:val="0"/>
                      <w:sz w:val="18"/>
                      <w:szCs w:val="18"/>
                      <w:lang w:bidi="ar"/>
                    </w:rPr>
                  </w:pPr>
                </w:p>
              </w:tc>
              <w:tc>
                <w:tcPr>
                  <w:tcW w:w="344" w:type="pct"/>
                  <w:shd w:val="clear" w:color="auto" w:fill="auto"/>
                  <w:noWrap/>
                  <w:vAlign w:val="center"/>
                </w:tcPr>
                <w:p w14:paraId="01D2AE07">
                  <w:pPr>
                    <w:keepNext w:val="0"/>
                    <w:keepLines w:val="0"/>
                    <w:widowControl/>
                    <w:suppressLineNumbers w:val="0"/>
                    <w:jc w:val="center"/>
                    <w:textAlignment w:val="center"/>
                    <w:rPr>
                      <w:color w:val="auto"/>
                      <w:sz w:val="18"/>
                      <w:szCs w:val="18"/>
                    </w:rPr>
                  </w:pPr>
                </w:p>
              </w:tc>
              <w:tc>
                <w:tcPr>
                  <w:tcW w:w="458" w:type="pct"/>
                  <w:vMerge w:val="continue"/>
                  <w:shd w:val="clear" w:color="auto" w:fill="auto"/>
                  <w:vAlign w:val="center"/>
                </w:tcPr>
                <w:p w14:paraId="5D77B203">
                  <w:pPr>
                    <w:jc w:val="center"/>
                    <w:rPr>
                      <w:color w:val="auto"/>
                      <w:sz w:val="18"/>
                      <w:szCs w:val="18"/>
                    </w:rPr>
                  </w:pPr>
                </w:p>
              </w:tc>
              <w:tc>
                <w:tcPr>
                  <w:tcW w:w="379" w:type="pct"/>
                  <w:shd w:val="clear" w:color="auto" w:fill="auto"/>
                  <w:noWrap/>
                  <w:vAlign w:val="center"/>
                </w:tcPr>
                <w:p w14:paraId="00707A65">
                  <w:pPr>
                    <w:keepNext w:val="0"/>
                    <w:keepLines w:val="0"/>
                    <w:widowControl/>
                    <w:suppressLineNumbers w:val="0"/>
                    <w:jc w:val="center"/>
                    <w:textAlignment w:val="center"/>
                    <w:rPr>
                      <w:color w:val="auto"/>
                      <w:sz w:val="18"/>
                      <w:szCs w:val="18"/>
                    </w:rPr>
                  </w:pPr>
                </w:p>
              </w:tc>
              <w:tc>
                <w:tcPr>
                  <w:tcW w:w="341" w:type="pct"/>
                  <w:shd w:val="clear" w:color="auto" w:fill="auto"/>
                  <w:noWrap/>
                  <w:vAlign w:val="center"/>
                </w:tcPr>
                <w:p w14:paraId="2289B03B">
                  <w:pPr>
                    <w:keepNext w:val="0"/>
                    <w:keepLines w:val="0"/>
                    <w:widowControl/>
                    <w:suppressLineNumbers w:val="0"/>
                    <w:jc w:val="center"/>
                    <w:textAlignment w:val="center"/>
                    <w:rPr>
                      <w:color w:val="auto"/>
                      <w:kern w:val="0"/>
                      <w:sz w:val="18"/>
                      <w:szCs w:val="18"/>
                      <w:lang w:bidi="ar"/>
                    </w:rPr>
                  </w:pPr>
                </w:p>
              </w:tc>
            </w:tr>
            <w:tr w14:paraId="725AE8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279" w:type="pct"/>
                  <w:vMerge w:val="continue"/>
                  <w:shd w:val="clear" w:color="auto" w:fill="auto"/>
                  <w:vAlign w:val="center"/>
                </w:tcPr>
                <w:p w14:paraId="1A52E225">
                  <w:pPr>
                    <w:jc w:val="center"/>
                    <w:rPr>
                      <w:color w:val="auto"/>
                      <w:sz w:val="18"/>
                      <w:szCs w:val="18"/>
                    </w:rPr>
                  </w:pPr>
                </w:p>
              </w:tc>
              <w:tc>
                <w:tcPr>
                  <w:tcW w:w="447" w:type="pct"/>
                  <w:vMerge w:val="continue"/>
                  <w:shd w:val="clear" w:color="auto" w:fill="auto"/>
                  <w:vAlign w:val="center"/>
                </w:tcPr>
                <w:p w14:paraId="40ED3DBF">
                  <w:pPr>
                    <w:jc w:val="center"/>
                    <w:rPr>
                      <w:color w:val="auto"/>
                      <w:sz w:val="18"/>
                      <w:szCs w:val="18"/>
                    </w:rPr>
                  </w:pPr>
                </w:p>
              </w:tc>
              <w:tc>
                <w:tcPr>
                  <w:tcW w:w="400" w:type="pct"/>
                  <w:shd w:val="clear" w:color="auto" w:fill="auto"/>
                  <w:noWrap/>
                  <w:vAlign w:val="center"/>
                </w:tcPr>
                <w:p w14:paraId="7EAEAD9F">
                  <w:pPr>
                    <w:widowControl/>
                    <w:jc w:val="center"/>
                    <w:textAlignment w:val="center"/>
                    <w:rPr>
                      <w:color w:val="auto"/>
                      <w:sz w:val="18"/>
                      <w:szCs w:val="18"/>
                    </w:rPr>
                  </w:pPr>
                </w:p>
              </w:tc>
              <w:tc>
                <w:tcPr>
                  <w:tcW w:w="479" w:type="pct"/>
                  <w:shd w:val="clear" w:color="auto" w:fill="auto"/>
                  <w:noWrap/>
                  <w:vAlign w:val="center"/>
                </w:tcPr>
                <w:p w14:paraId="442270AF">
                  <w:pPr>
                    <w:widowControl/>
                    <w:jc w:val="center"/>
                    <w:textAlignment w:val="center"/>
                    <w:rPr>
                      <w:color w:val="auto"/>
                      <w:sz w:val="18"/>
                      <w:szCs w:val="18"/>
                    </w:rPr>
                  </w:pPr>
                </w:p>
              </w:tc>
              <w:tc>
                <w:tcPr>
                  <w:tcW w:w="528" w:type="pct"/>
                  <w:shd w:val="clear" w:color="auto" w:fill="auto"/>
                  <w:noWrap/>
                  <w:vAlign w:val="center"/>
                </w:tcPr>
                <w:p w14:paraId="6B8AF3F2">
                  <w:pPr>
                    <w:widowControl/>
                    <w:jc w:val="center"/>
                    <w:textAlignment w:val="center"/>
                    <w:rPr>
                      <w:color w:val="auto"/>
                      <w:sz w:val="18"/>
                      <w:szCs w:val="18"/>
                    </w:rPr>
                  </w:pPr>
                </w:p>
              </w:tc>
              <w:tc>
                <w:tcPr>
                  <w:tcW w:w="212" w:type="pct"/>
                  <w:vMerge w:val="continue"/>
                  <w:shd w:val="clear" w:color="auto" w:fill="auto"/>
                  <w:vAlign w:val="center"/>
                </w:tcPr>
                <w:p w14:paraId="30FB1D66">
                  <w:pPr>
                    <w:jc w:val="left"/>
                    <w:rPr>
                      <w:color w:val="auto"/>
                      <w:sz w:val="18"/>
                      <w:szCs w:val="18"/>
                    </w:rPr>
                  </w:pPr>
                </w:p>
              </w:tc>
              <w:tc>
                <w:tcPr>
                  <w:tcW w:w="357" w:type="pct"/>
                  <w:shd w:val="clear" w:color="auto" w:fill="auto"/>
                  <w:vAlign w:val="center"/>
                </w:tcPr>
                <w:p w14:paraId="2BCBB484">
                  <w:pPr>
                    <w:widowControl/>
                    <w:jc w:val="center"/>
                    <w:textAlignment w:val="center"/>
                    <w:rPr>
                      <w:color w:val="auto"/>
                      <w:sz w:val="18"/>
                      <w:szCs w:val="18"/>
                    </w:rPr>
                  </w:pPr>
                </w:p>
              </w:tc>
              <w:tc>
                <w:tcPr>
                  <w:tcW w:w="424" w:type="pct"/>
                  <w:shd w:val="clear" w:color="auto" w:fill="auto"/>
                  <w:noWrap/>
                  <w:vAlign w:val="center"/>
                </w:tcPr>
                <w:p w14:paraId="43498840">
                  <w:pPr>
                    <w:keepNext w:val="0"/>
                    <w:keepLines w:val="0"/>
                    <w:widowControl/>
                    <w:suppressLineNumbers w:val="0"/>
                    <w:jc w:val="center"/>
                    <w:textAlignment w:val="center"/>
                    <w:rPr>
                      <w:color w:val="auto"/>
                      <w:sz w:val="18"/>
                      <w:szCs w:val="18"/>
                    </w:rPr>
                  </w:pPr>
                </w:p>
              </w:tc>
              <w:tc>
                <w:tcPr>
                  <w:tcW w:w="347" w:type="pct"/>
                  <w:shd w:val="clear" w:color="auto" w:fill="auto"/>
                  <w:noWrap/>
                  <w:vAlign w:val="center"/>
                </w:tcPr>
                <w:p w14:paraId="08DBF0F8">
                  <w:pPr>
                    <w:keepNext w:val="0"/>
                    <w:keepLines w:val="0"/>
                    <w:widowControl/>
                    <w:suppressLineNumbers w:val="0"/>
                    <w:jc w:val="center"/>
                    <w:textAlignment w:val="center"/>
                    <w:rPr>
                      <w:color w:val="auto"/>
                      <w:kern w:val="0"/>
                      <w:sz w:val="18"/>
                      <w:szCs w:val="18"/>
                      <w:lang w:bidi="ar"/>
                    </w:rPr>
                  </w:pPr>
                </w:p>
              </w:tc>
              <w:tc>
                <w:tcPr>
                  <w:tcW w:w="344" w:type="pct"/>
                  <w:shd w:val="clear" w:color="auto" w:fill="auto"/>
                  <w:noWrap/>
                  <w:vAlign w:val="center"/>
                </w:tcPr>
                <w:p w14:paraId="41894056">
                  <w:pPr>
                    <w:keepNext w:val="0"/>
                    <w:keepLines w:val="0"/>
                    <w:widowControl/>
                    <w:suppressLineNumbers w:val="0"/>
                    <w:jc w:val="center"/>
                    <w:textAlignment w:val="center"/>
                    <w:rPr>
                      <w:color w:val="auto"/>
                      <w:sz w:val="18"/>
                      <w:szCs w:val="18"/>
                    </w:rPr>
                  </w:pPr>
                </w:p>
              </w:tc>
              <w:tc>
                <w:tcPr>
                  <w:tcW w:w="458" w:type="pct"/>
                  <w:vMerge w:val="continue"/>
                  <w:shd w:val="clear" w:color="auto" w:fill="auto"/>
                  <w:vAlign w:val="center"/>
                </w:tcPr>
                <w:p w14:paraId="5D331E74">
                  <w:pPr>
                    <w:jc w:val="center"/>
                    <w:rPr>
                      <w:color w:val="auto"/>
                      <w:sz w:val="18"/>
                      <w:szCs w:val="18"/>
                    </w:rPr>
                  </w:pPr>
                </w:p>
              </w:tc>
              <w:tc>
                <w:tcPr>
                  <w:tcW w:w="379" w:type="pct"/>
                  <w:shd w:val="clear" w:color="auto" w:fill="auto"/>
                  <w:noWrap/>
                  <w:vAlign w:val="center"/>
                </w:tcPr>
                <w:p w14:paraId="18A7A0B7">
                  <w:pPr>
                    <w:keepNext w:val="0"/>
                    <w:keepLines w:val="0"/>
                    <w:widowControl/>
                    <w:suppressLineNumbers w:val="0"/>
                    <w:jc w:val="center"/>
                    <w:textAlignment w:val="center"/>
                    <w:rPr>
                      <w:color w:val="auto"/>
                      <w:sz w:val="18"/>
                      <w:szCs w:val="18"/>
                    </w:rPr>
                  </w:pPr>
                </w:p>
              </w:tc>
              <w:tc>
                <w:tcPr>
                  <w:tcW w:w="341" w:type="pct"/>
                  <w:shd w:val="clear" w:color="auto" w:fill="auto"/>
                  <w:noWrap/>
                  <w:vAlign w:val="center"/>
                </w:tcPr>
                <w:p w14:paraId="1A1793F6">
                  <w:pPr>
                    <w:keepNext w:val="0"/>
                    <w:keepLines w:val="0"/>
                    <w:widowControl/>
                    <w:suppressLineNumbers w:val="0"/>
                    <w:jc w:val="center"/>
                    <w:textAlignment w:val="center"/>
                    <w:rPr>
                      <w:color w:val="auto"/>
                      <w:kern w:val="0"/>
                      <w:sz w:val="18"/>
                      <w:szCs w:val="18"/>
                      <w:lang w:bidi="ar"/>
                    </w:rPr>
                  </w:pPr>
                </w:p>
              </w:tc>
            </w:tr>
            <w:tr w14:paraId="08A0C2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279" w:type="pct"/>
                  <w:vMerge w:val="continue"/>
                  <w:shd w:val="clear" w:color="auto" w:fill="auto"/>
                  <w:vAlign w:val="center"/>
                </w:tcPr>
                <w:p w14:paraId="4D8331FD">
                  <w:pPr>
                    <w:jc w:val="center"/>
                    <w:rPr>
                      <w:color w:val="auto"/>
                      <w:sz w:val="18"/>
                      <w:szCs w:val="18"/>
                    </w:rPr>
                  </w:pPr>
                </w:p>
              </w:tc>
              <w:tc>
                <w:tcPr>
                  <w:tcW w:w="447" w:type="pct"/>
                  <w:vMerge w:val="continue"/>
                  <w:shd w:val="clear" w:color="auto" w:fill="auto"/>
                  <w:vAlign w:val="center"/>
                </w:tcPr>
                <w:p w14:paraId="5F6C65F7">
                  <w:pPr>
                    <w:jc w:val="center"/>
                    <w:rPr>
                      <w:color w:val="auto"/>
                      <w:sz w:val="18"/>
                      <w:szCs w:val="18"/>
                    </w:rPr>
                  </w:pPr>
                </w:p>
              </w:tc>
              <w:tc>
                <w:tcPr>
                  <w:tcW w:w="400" w:type="pct"/>
                  <w:shd w:val="clear" w:color="auto" w:fill="auto"/>
                  <w:vAlign w:val="center"/>
                </w:tcPr>
                <w:p w14:paraId="1930E48F">
                  <w:pPr>
                    <w:widowControl/>
                    <w:jc w:val="center"/>
                    <w:textAlignment w:val="center"/>
                    <w:rPr>
                      <w:color w:val="auto"/>
                      <w:sz w:val="18"/>
                      <w:szCs w:val="18"/>
                    </w:rPr>
                  </w:pPr>
                </w:p>
              </w:tc>
              <w:tc>
                <w:tcPr>
                  <w:tcW w:w="479" w:type="pct"/>
                  <w:shd w:val="clear" w:color="auto" w:fill="auto"/>
                  <w:noWrap/>
                  <w:vAlign w:val="center"/>
                </w:tcPr>
                <w:p w14:paraId="69666F27">
                  <w:pPr>
                    <w:widowControl/>
                    <w:jc w:val="center"/>
                    <w:textAlignment w:val="center"/>
                    <w:rPr>
                      <w:color w:val="auto"/>
                      <w:sz w:val="18"/>
                      <w:szCs w:val="18"/>
                    </w:rPr>
                  </w:pPr>
                </w:p>
              </w:tc>
              <w:tc>
                <w:tcPr>
                  <w:tcW w:w="528" w:type="pct"/>
                  <w:shd w:val="clear" w:color="auto" w:fill="auto"/>
                  <w:noWrap/>
                  <w:vAlign w:val="center"/>
                </w:tcPr>
                <w:p w14:paraId="434C830B">
                  <w:pPr>
                    <w:widowControl/>
                    <w:jc w:val="center"/>
                    <w:textAlignment w:val="center"/>
                    <w:rPr>
                      <w:color w:val="auto"/>
                      <w:sz w:val="18"/>
                      <w:szCs w:val="18"/>
                    </w:rPr>
                  </w:pPr>
                </w:p>
              </w:tc>
              <w:tc>
                <w:tcPr>
                  <w:tcW w:w="212" w:type="pct"/>
                  <w:vMerge w:val="continue"/>
                  <w:shd w:val="clear" w:color="auto" w:fill="auto"/>
                  <w:vAlign w:val="center"/>
                </w:tcPr>
                <w:p w14:paraId="08123C4E">
                  <w:pPr>
                    <w:jc w:val="left"/>
                    <w:rPr>
                      <w:color w:val="auto"/>
                      <w:sz w:val="18"/>
                      <w:szCs w:val="18"/>
                    </w:rPr>
                  </w:pPr>
                </w:p>
              </w:tc>
              <w:tc>
                <w:tcPr>
                  <w:tcW w:w="357" w:type="pct"/>
                  <w:shd w:val="clear" w:color="auto" w:fill="auto"/>
                  <w:vAlign w:val="center"/>
                </w:tcPr>
                <w:p w14:paraId="3F027895">
                  <w:pPr>
                    <w:widowControl/>
                    <w:jc w:val="center"/>
                    <w:textAlignment w:val="center"/>
                    <w:rPr>
                      <w:color w:val="auto"/>
                      <w:sz w:val="18"/>
                      <w:szCs w:val="18"/>
                    </w:rPr>
                  </w:pPr>
                </w:p>
              </w:tc>
              <w:tc>
                <w:tcPr>
                  <w:tcW w:w="424" w:type="pct"/>
                  <w:shd w:val="clear" w:color="auto" w:fill="auto"/>
                  <w:noWrap/>
                  <w:vAlign w:val="center"/>
                </w:tcPr>
                <w:p w14:paraId="772C5BB3">
                  <w:pPr>
                    <w:keepNext w:val="0"/>
                    <w:keepLines w:val="0"/>
                    <w:widowControl/>
                    <w:suppressLineNumbers w:val="0"/>
                    <w:jc w:val="center"/>
                    <w:textAlignment w:val="center"/>
                    <w:rPr>
                      <w:color w:val="auto"/>
                      <w:sz w:val="18"/>
                      <w:szCs w:val="18"/>
                    </w:rPr>
                  </w:pPr>
                </w:p>
              </w:tc>
              <w:tc>
                <w:tcPr>
                  <w:tcW w:w="347" w:type="pct"/>
                  <w:shd w:val="clear" w:color="auto" w:fill="auto"/>
                  <w:noWrap/>
                  <w:vAlign w:val="center"/>
                </w:tcPr>
                <w:p w14:paraId="271E7C4C">
                  <w:pPr>
                    <w:keepNext w:val="0"/>
                    <w:keepLines w:val="0"/>
                    <w:widowControl/>
                    <w:suppressLineNumbers w:val="0"/>
                    <w:jc w:val="center"/>
                    <w:textAlignment w:val="center"/>
                    <w:rPr>
                      <w:color w:val="auto"/>
                      <w:kern w:val="0"/>
                      <w:sz w:val="18"/>
                      <w:szCs w:val="18"/>
                      <w:lang w:bidi="ar"/>
                    </w:rPr>
                  </w:pPr>
                </w:p>
              </w:tc>
              <w:tc>
                <w:tcPr>
                  <w:tcW w:w="344" w:type="pct"/>
                  <w:shd w:val="clear" w:color="auto" w:fill="auto"/>
                  <w:noWrap/>
                  <w:vAlign w:val="center"/>
                </w:tcPr>
                <w:p w14:paraId="10B0C59B">
                  <w:pPr>
                    <w:keepNext w:val="0"/>
                    <w:keepLines w:val="0"/>
                    <w:widowControl/>
                    <w:suppressLineNumbers w:val="0"/>
                    <w:jc w:val="center"/>
                    <w:textAlignment w:val="center"/>
                    <w:rPr>
                      <w:color w:val="auto"/>
                      <w:sz w:val="18"/>
                      <w:szCs w:val="18"/>
                    </w:rPr>
                  </w:pPr>
                </w:p>
              </w:tc>
              <w:tc>
                <w:tcPr>
                  <w:tcW w:w="458" w:type="pct"/>
                  <w:vMerge w:val="continue"/>
                  <w:shd w:val="clear" w:color="auto" w:fill="auto"/>
                  <w:vAlign w:val="center"/>
                </w:tcPr>
                <w:p w14:paraId="3A103EAB">
                  <w:pPr>
                    <w:jc w:val="center"/>
                    <w:rPr>
                      <w:color w:val="auto"/>
                      <w:sz w:val="18"/>
                      <w:szCs w:val="18"/>
                    </w:rPr>
                  </w:pPr>
                </w:p>
              </w:tc>
              <w:tc>
                <w:tcPr>
                  <w:tcW w:w="379" w:type="pct"/>
                  <w:shd w:val="clear" w:color="auto" w:fill="auto"/>
                  <w:noWrap/>
                  <w:vAlign w:val="center"/>
                </w:tcPr>
                <w:p w14:paraId="4BA0539E">
                  <w:pPr>
                    <w:keepNext w:val="0"/>
                    <w:keepLines w:val="0"/>
                    <w:widowControl/>
                    <w:suppressLineNumbers w:val="0"/>
                    <w:jc w:val="center"/>
                    <w:textAlignment w:val="center"/>
                    <w:rPr>
                      <w:color w:val="auto"/>
                      <w:sz w:val="18"/>
                      <w:szCs w:val="18"/>
                    </w:rPr>
                  </w:pPr>
                </w:p>
              </w:tc>
              <w:tc>
                <w:tcPr>
                  <w:tcW w:w="341" w:type="pct"/>
                  <w:shd w:val="clear" w:color="auto" w:fill="auto"/>
                  <w:noWrap/>
                  <w:vAlign w:val="center"/>
                </w:tcPr>
                <w:p w14:paraId="338B4132">
                  <w:pPr>
                    <w:keepNext w:val="0"/>
                    <w:keepLines w:val="0"/>
                    <w:widowControl/>
                    <w:suppressLineNumbers w:val="0"/>
                    <w:jc w:val="center"/>
                    <w:textAlignment w:val="center"/>
                    <w:rPr>
                      <w:color w:val="auto"/>
                      <w:kern w:val="0"/>
                      <w:sz w:val="18"/>
                      <w:szCs w:val="18"/>
                      <w:lang w:bidi="ar"/>
                    </w:rPr>
                  </w:pPr>
                </w:p>
              </w:tc>
            </w:tr>
            <w:tr w14:paraId="51E3ED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279" w:type="pct"/>
                  <w:vMerge w:val="continue"/>
                  <w:shd w:val="clear" w:color="auto" w:fill="auto"/>
                  <w:vAlign w:val="center"/>
                </w:tcPr>
                <w:p w14:paraId="5EC27737">
                  <w:pPr>
                    <w:jc w:val="center"/>
                    <w:rPr>
                      <w:color w:val="auto"/>
                      <w:sz w:val="18"/>
                      <w:szCs w:val="18"/>
                    </w:rPr>
                  </w:pPr>
                </w:p>
              </w:tc>
              <w:tc>
                <w:tcPr>
                  <w:tcW w:w="447" w:type="pct"/>
                  <w:vMerge w:val="continue"/>
                  <w:shd w:val="clear" w:color="auto" w:fill="auto"/>
                  <w:vAlign w:val="center"/>
                </w:tcPr>
                <w:p w14:paraId="03A1775C">
                  <w:pPr>
                    <w:jc w:val="center"/>
                    <w:rPr>
                      <w:color w:val="auto"/>
                      <w:sz w:val="18"/>
                      <w:szCs w:val="18"/>
                    </w:rPr>
                  </w:pPr>
                </w:p>
              </w:tc>
              <w:tc>
                <w:tcPr>
                  <w:tcW w:w="400" w:type="pct"/>
                  <w:shd w:val="clear" w:color="auto" w:fill="auto"/>
                  <w:noWrap/>
                  <w:vAlign w:val="center"/>
                </w:tcPr>
                <w:p w14:paraId="0BA2AC20">
                  <w:pPr>
                    <w:widowControl/>
                    <w:jc w:val="center"/>
                    <w:textAlignment w:val="center"/>
                    <w:rPr>
                      <w:color w:val="auto"/>
                      <w:sz w:val="18"/>
                      <w:szCs w:val="18"/>
                    </w:rPr>
                  </w:pPr>
                </w:p>
              </w:tc>
              <w:tc>
                <w:tcPr>
                  <w:tcW w:w="479" w:type="pct"/>
                  <w:shd w:val="clear" w:color="auto" w:fill="auto"/>
                  <w:noWrap/>
                  <w:vAlign w:val="center"/>
                </w:tcPr>
                <w:p w14:paraId="7CCDE425">
                  <w:pPr>
                    <w:widowControl/>
                    <w:jc w:val="center"/>
                    <w:textAlignment w:val="center"/>
                    <w:rPr>
                      <w:color w:val="auto"/>
                      <w:sz w:val="18"/>
                      <w:szCs w:val="18"/>
                    </w:rPr>
                  </w:pPr>
                </w:p>
              </w:tc>
              <w:tc>
                <w:tcPr>
                  <w:tcW w:w="528" w:type="pct"/>
                  <w:shd w:val="clear" w:color="auto" w:fill="auto"/>
                  <w:noWrap/>
                  <w:vAlign w:val="center"/>
                </w:tcPr>
                <w:p w14:paraId="586E82F3">
                  <w:pPr>
                    <w:widowControl/>
                    <w:jc w:val="center"/>
                    <w:textAlignment w:val="center"/>
                    <w:rPr>
                      <w:color w:val="auto"/>
                      <w:sz w:val="18"/>
                      <w:szCs w:val="18"/>
                    </w:rPr>
                  </w:pPr>
                </w:p>
              </w:tc>
              <w:tc>
                <w:tcPr>
                  <w:tcW w:w="212" w:type="pct"/>
                  <w:vMerge w:val="continue"/>
                  <w:shd w:val="clear" w:color="auto" w:fill="auto"/>
                  <w:vAlign w:val="center"/>
                </w:tcPr>
                <w:p w14:paraId="611F6625">
                  <w:pPr>
                    <w:jc w:val="left"/>
                    <w:rPr>
                      <w:color w:val="auto"/>
                      <w:sz w:val="18"/>
                      <w:szCs w:val="18"/>
                    </w:rPr>
                  </w:pPr>
                </w:p>
              </w:tc>
              <w:tc>
                <w:tcPr>
                  <w:tcW w:w="357" w:type="pct"/>
                  <w:shd w:val="clear" w:color="auto" w:fill="auto"/>
                  <w:vAlign w:val="center"/>
                </w:tcPr>
                <w:p w14:paraId="4AE9C5D3">
                  <w:pPr>
                    <w:widowControl/>
                    <w:jc w:val="center"/>
                    <w:textAlignment w:val="center"/>
                    <w:rPr>
                      <w:color w:val="auto"/>
                      <w:sz w:val="18"/>
                      <w:szCs w:val="18"/>
                    </w:rPr>
                  </w:pPr>
                </w:p>
              </w:tc>
              <w:tc>
                <w:tcPr>
                  <w:tcW w:w="424" w:type="pct"/>
                  <w:shd w:val="clear" w:color="auto" w:fill="auto"/>
                  <w:noWrap/>
                  <w:vAlign w:val="center"/>
                </w:tcPr>
                <w:p w14:paraId="1F06E332">
                  <w:pPr>
                    <w:keepNext w:val="0"/>
                    <w:keepLines w:val="0"/>
                    <w:widowControl/>
                    <w:suppressLineNumbers w:val="0"/>
                    <w:jc w:val="center"/>
                    <w:textAlignment w:val="center"/>
                    <w:rPr>
                      <w:color w:val="auto"/>
                      <w:sz w:val="18"/>
                      <w:szCs w:val="18"/>
                    </w:rPr>
                  </w:pPr>
                </w:p>
              </w:tc>
              <w:tc>
                <w:tcPr>
                  <w:tcW w:w="347" w:type="pct"/>
                  <w:shd w:val="clear" w:color="auto" w:fill="auto"/>
                  <w:noWrap/>
                  <w:vAlign w:val="center"/>
                </w:tcPr>
                <w:p w14:paraId="680967BF">
                  <w:pPr>
                    <w:keepNext w:val="0"/>
                    <w:keepLines w:val="0"/>
                    <w:widowControl/>
                    <w:suppressLineNumbers w:val="0"/>
                    <w:jc w:val="center"/>
                    <w:textAlignment w:val="center"/>
                    <w:rPr>
                      <w:color w:val="auto"/>
                      <w:kern w:val="0"/>
                      <w:sz w:val="18"/>
                      <w:szCs w:val="18"/>
                      <w:lang w:bidi="ar"/>
                    </w:rPr>
                  </w:pPr>
                </w:p>
              </w:tc>
              <w:tc>
                <w:tcPr>
                  <w:tcW w:w="344" w:type="pct"/>
                  <w:shd w:val="clear" w:color="auto" w:fill="auto"/>
                  <w:noWrap/>
                  <w:vAlign w:val="center"/>
                </w:tcPr>
                <w:p w14:paraId="3DDD4203">
                  <w:pPr>
                    <w:keepNext w:val="0"/>
                    <w:keepLines w:val="0"/>
                    <w:widowControl/>
                    <w:suppressLineNumbers w:val="0"/>
                    <w:jc w:val="center"/>
                    <w:textAlignment w:val="center"/>
                    <w:rPr>
                      <w:color w:val="auto"/>
                      <w:sz w:val="18"/>
                      <w:szCs w:val="18"/>
                    </w:rPr>
                  </w:pPr>
                </w:p>
              </w:tc>
              <w:tc>
                <w:tcPr>
                  <w:tcW w:w="458" w:type="pct"/>
                  <w:vMerge w:val="continue"/>
                  <w:shd w:val="clear" w:color="auto" w:fill="auto"/>
                  <w:vAlign w:val="center"/>
                </w:tcPr>
                <w:p w14:paraId="6DC9A20F">
                  <w:pPr>
                    <w:jc w:val="center"/>
                    <w:rPr>
                      <w:color w:val="auto"/>
                      <w:sz w:val="18"/>
                      <w:szCs w:val="18"/>
                    </w:rPr>
                  </w:pPr>
                </w:p>
              </w:tc>
              <w:tc>
                <w:tcPr>
                  <w:tcW w:w="379" w:type="pct"/>
                  <w:shd w:val="clear" w:color="auto" w:fill="auto"/>
                  <w:noWrap/>
                  <w:vAlign w:val="center"/>
                </w:tcPr>
                <w:p w14:paraId="12548A77">
                  <w:pPr>
                    <w:keepNext w:val="0"/>
                    <w:keepLines w:val="0"/>
                    <w:widowControl/>
                    <w:suppressLineNumbers w:val="0"/>
                    <w:jc w:val="center"/>
                    <w:textAlignment w:val="center"/>
                    <w:rPr>
                      <w:color w:val="auto"/>
                      <w:sz w:val="18"/>
                      <w:szCs w:val="18"/>
                    </w:rPr>
                  </w:pPr>
                </w:p>
              </w:tc>
              <w:tc>
                <w:tcPr>
                  <w:tcW w:w="341" w:type="pct"/>
                  <w:shd w:val="clear" w:color="auto" w:fill="auto"/>
                  <w:noWrap/>
                  <w:vAlign w:val="center"/>
                </w:tcPr>
                <w:p w14:paraId="0A90D134">
                  <w:pPr>
                    <w:keepNext w:val="0"/>
                    <w:keepLines w:val="0"/>
                    <w:widowControl/>
                    <w:suppressLineNumbers w:val="0"/>
                    <w:jc w:val="center"/>
                    <w:textAlignment w:val="center"/>
                    <w:rPr>
                      <w:color w:val="auto"/>
                      <w:kern w:val="0"/>
                      <w:sz w:val="18"/>
                      <w:szCs w:val="18"/>
                      <w:lang w:bidi="ar"/>
                    </w:rPr>
                  </w:pPr>
                </w:p>
              </w:tc>
            </w:tr>
            <w:tr w14:paraId="632550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279" w:type="pct"/>
                  <w:shd w:val="clear" w:color="auto" w:fill="auto"/>
                  <w:vAlign w:val="center"/>
                </w:tcPr>
                <w:p w14:paraId="144A3DF6">
                  <w:pPr>
                    <w:jc w:val="center"/>
                    <w:rPr>
                      <w:color w:val="auto"/>
                      <w:sz w:val="18"/>
                      <w:szCs w:val="18"/>
                    </w:rPr>
                  </w:pPr>
                </w:p>
              </w:tc>
              <w:tc>
                <w:tcPr>
                  <w:tcW w:w="447" w:type="pct"/>
                  <w:shd w:val="clear" w:color="auto" w:fill="auto"/>
                  <w:vAlign w:val="center"/>
                </w:tcPr>
                <w:p w14:paraId="3CB67777">
                  <w:pPr>
                    <w:jc w:val="center"/>
                    <w:rPr>
                      <w:color w:val="auto"/>
                      <w:sz w:val="18"/>
                      <w:szCs w:val="18"/>
                    </w:rPr>
                  </w:pPr>
                </w:p>
              </w:tc>
              <w:tc>
                <w:tcPr>
                  <w:tcW w:w="400" w:type="pct"/>
                  <w:shd w:val="clear" w:color="auto" w:fill="auto"/>
                  <w:noWrap/>
                  <w:vAlign w:val="center"/>
                </w:tcPr>
                <w:p w14:paraId="03E6D2C6">
                  <w:pPr>
                    <w:widowControl/>
                    <w:jc w:val="center"/>
                    <w:textAlignment w:val="center"/>
                    <w:rPr>
                      <w:color w:val="auto"/>
                      <w:kern w:val="0"/>
                      <w:sz w:val="18"/>
                      <w:szCs w:val="18"/>
                      <w:lang w:bidi="ar"/>
                    </w:rPr>
                  </w:pPr>
                </w:p>
              </w:tc>
              <w:tc>
                <w:tcPr>
                  <w:tcW w:w="479" w:type="pct"/>
                  <w:shd w:val="clear" w:color="auto" w:fill="auto"/>
                  <w:noWrap/>
                  <w:vAlign w:val="center"/>
                </w:tcPr>
                <w:p w14:paraId="32884B7D">
                  <w:pPr>
                    <w:widowControl/>
                    <w:jc w:val="center"/>
                    <w:textAlignment w:val="center"/>
                    <w:rPr>
                      <w:color w:val="auto"/>
                      <w:kern w:val="0"/>
                      <w:sz w:val="18"/>
                      <w:szCs w:val="18"/>
                      <w:lang w:bidi="ar"/>
                    </w:rPr>
                  </w:pPr>
                </w:p>
              </w:tc>
              <w:tc>
                <w:tcPr>
                  <w:tcW w:w="528" w:type="pct"/>
                  <w:shd w:val="clear" w:color="auto" w:fill="auto"/>
                  <w:noWrap/>
                  <w:vAlign w:val="center"/>
                </w:tcPr>
                <w:p w14:paraId="1F91D054">
                  <w:pPr>
                    <w:widowControl/>
                    <w:jc w:val="center"/>
                    <w:textAlignment w:val="center"/>
                    <w:rPr>
                      <w:color w:val="auto"/>
                      <w:kern w:val="0"/>
                      <w:sz w:val="18"/>
                      <w:szCs w:val="18"/>
                      <w:lang w:bidi="ar"/>
                    </w:rPr>
                  </w:pPr>
                </w:p>
              </w:tc>
              <w:tc>
                <w:tcPr>
                  <w:tcW w:w="212" w:type="pct"/>
                  <w:shd w:val="clear" w:color="auto" w:fill="auto"/>
                  <w:vAlign w:val="center"/>
                </w:tcPr>
                <w:p w14:paraId="567B55AD">
                  <w:pPr>
                    <w:jc w:val="left"/>
                    <w:rPr>
                      <w:color w:val="auto"/>
                      <w:sz w:val="18"/>
                      <w:szCs w:val="18"/>
                    </w:rPr>
                  </w:pPr>
                </w:p>
              </w:tc>
              <w:tc>
                <w:tcPr>
                  <w:tcW w:w="357" w:type="pct"/>
                  <w:shd w:val="clear" w:color="auto" w:fill="auto"/>
                  <w:vAlign w:val="center"/>
                </w:tcPr>
                <w:p w14:paraId="29A2D19E">
                  <w:pPr>
                    <w:keepNext w:val="0"/>
                    <w:keepLines w:val="0"/>
                    <w:widowControl/>
                    <w:suppressLineNumbers w:val="0"/>
                    <w:jc w:val="center"/>
                    <w:textAlignment w:val="center"/>
                    <w:rPr>
                      <w:color w:val="auto"/>
                      <w:kern w:val="0"/>
                      <w:sz w:val="18"/>
                      <w:szCs w:val="18"/>
                      <w:lang w:bidi="ar"/>
                    </w:rPr>
                  </w:pPr>
                </w:p>
              </w:tc>
              <w:tc>
                <w:tcPr>
                  <w:tcW w:w="424" w:type="pct"/>
                  <w:shd w:val="clear" w:color="auto" w:fill="auto"/>
                  <w:noWrap/>
                  <w:vAlign w:val="center"/>
                </w:tcPr>
                <w:p w14:paraId="01FBA97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p>
              </w:tc>
              <w:tc>
                <w:tcPr>
                  <w:tcW w:w="347" w:type="pct"/>
                  <w:shd w:val="clear" w:color="auto" w:fill="auto"/>
                  <w:noWrap/>
                  <w:vAlign w:val="center"/>
                </w:tcPr>
                <w:p w14:paraId="0910604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p>
              </w:tc>
              <w:tc>
                <w:tcPr>
                  <w:tcW w:w="344" w:type="pct"/>
                  <w:shd w:val="clear" w:color="auto" w:fill="auto"/>
                  <w:noWrap/>
                  <w:vAlign w:val="center"/>
                </w:tcPr>
                <w:p w14:paraId="4D0C25C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458" w:type="pct"/>
                  <w:vMerge w:val="continue"/>
                  <w:shd w:val="clear" w:color="auto" w:fill="auto"/>
                  <w:vAlign w:val="center"/>
                </w:tcPr>
                <w:p w14:paraId="050BF0BE">
                  <w:pPr>
                    <w:jc w:val="center"/>
                    <w:rPr>
                      <w:color w:val="auto"/>
                      <w:sz w:val="18"/>
                      <w:szCs w:val="18"/>
                    </w:rPr>
                  </w:pPr>
                </w:p>
              </w:tc>
              <w:tc>
                <w:tcPr>
                  <w:tcW w:w="379" w:type="pct"/>
                  <w:shd w:val="clear" w:color="auto" w:fill="auto"/>
                  <w:noWrap/>
                  <w:vAlign w:val="center"/>
                </w:tcPr>
                <w:p w14:paraId="5A48A01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p>
              </w:tc>
              <w:tc>
                <w:tcPr>
                  <w:tcW w:w="341" w:type="pct"/>
                  <w:shd w:val="clear" w:color="auto" w:fill="auto"/>
                  <w:noWrap/>
                  <w:vAlign w:val="center"/>
                </w:tcPr>
                <w:p w14:paraId="6E80783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p>
              </w:tc>
            </w:tr>
          </w:tbl>
          <w:p w14:paraId="702C2339">
            <w:pPr>
              <w:autoSpaceDE w:val="0"/>
              <w:autoSpaceDN w:val="0"/>
              <w:adjustRightInd w:val="0"/>
              <w:snapToGrid w:val="0"/>
              <w:ind w:firstLine="361" w:firstLineChars="200"/>
              <w:rPr>
                <w:b/>
                <w:color w:val="auto"/>
                <w:kern w:val="0"/>
                <w:sz w:val="18"/>
                <w:szCs w:val="18"/>
              </w:rPr>
            </w:pPr>
            <w:r>
              <w:rPr>
                <w:rFonts w:hint="eastAsia"/>
                <w:b/>
                <w:color w:val="auto"/>
                <w:kern w:val="0"/>
                <w:sz w:val="18"/>
                <w:szCs w:val="18"/>
              </w:rPr>
              <w:t>注：本项目废水经连云港石化基地工业废水综合治理中心再生水处理区（一期）处理后70%回用，30%外排。</w:t>
            </w:r>
          </w:p>
          <w:p w14:paraId="01866341">
            <w:pPr>
              <w:adjustRightInd w:val="0"/>
              <w:snapToGrid w:val="0"/>
              <w:spacing w:line="500" w:lineRule="exact"/>
              <w:ind w:firstLine="422" w:firstLineChars="200"/>
              <w:rPr>
                <w:b/>
                <w:color w:val="auto"/>
                <w:szCs w:val="21"/>
              </w:rPr>
            </w:pPr>
            <w:r>
              <w:rPr>
                <w:rFonts w:hint="eastAsia"/>
                <w:b/>
                <w:color w:val="auto"/>
                <w:szCs w:val="21"/>
              </w:rPr>
              <w:t>（</w:t>
            </w:r>
            <w:r>
              <w:rPr>
                <w:b/>
                <w:color w:val="auto"/>
                <w:szCs w:val="21"/>
              </w:rPr>
              <w:t>2</w:t>
            </w:r>
            <w:r>
              <w:rPr>
                <w:rFonts w:hint="eastAsia"/>
                <w:b/>
                <w:color w:val="auto"/>
                <w:szCs w:val="21"/>
              </w:rPr>
              <w:t>）废水污染防治措施评述</w:t>
            </w:r>
          </w:p>
          <w:p w14:paraId="70CF8F83">
            <w:pPr>
              <w:autoSpaceDE w:val="0"/>
              <w:autoSpaceDN w:val="0"/>
              <w:adjustRightInd w:val="0"/>
              <w:snapToGrid w:val="0"/>
              <w:spacing w:line="500" w:lineRule="exact"/>
              <w:ind w:firstLine="420" w:firstLineChars="200"/>
              <w:jc w:val="left"/>
              <w:rPr>
                <w:bCs/>
                <w:color w:val="auto"/>
                <w:kern w:val="0"/>
                <w:szCs w:val="21"/>
              </w:rPr>
            </w:pPr>
            <w:r>
              <w:rPr>
                <w:rFonts w:hint="eastAsia"/>
                <w:bCs/>
                <w:color w:val="auto"/>
                <w:kern w:val="0"/>
                <w:szCs w:val="21"/>
              </w:rPr>
              <w:t>本项目实验废水W1依托厂区现有废水处理装置处理，依托可行性分析如下：</w:t>
            </w:r>
          </w:p>
          <w:p w14:paraId="45132DB8">
            <w:pPr>
              <w:autoSpaceDE w:val="0"/>
              <w:autoSpaceDN w:val="0"/>
              <w:adjustRightInd w:val="0"/>
              <w:snapToGrid w:val="0"/>
              <w:spacing w:line="500" w:lineRule="exact"/>
              <w:ind w:firstLine="420" w:firstLineChars="200"/>
              <w:jc w:val="left"/>
              <w:rPr>
                <w:rFonts w:hint="default"/>
                <w:bCs/>
                <w:color w:val="auto"/>
                <w:kern w:val="0"/>
                <w:szCs w:val="21"/>
                <w:lang w:val="en-US"/>
              </w:rPr>
            </w:pPr>
            <w:r>
              <w:rPr>
                <w:rFonts w:hint="eastAsia"/>
                <w:bCs/>
                <w:color w:val="auto"/>
                <w:kern w:val="0"/>
                <w:szCs w:val="21"/>
              </w:rPr>
              <w:t>本项目实验废水W1收集后送入现有厂区污水处理区调节pH值，本项目</w:t>
            </w:r>
            <w:r>
              <w:rPr>
                <w:rFonts w:hint="eastAsia"/>
                <w:bCs/>
                <w:color w:val="auto"/>
                <w:kern w:val="0"/>
                <w:szCs w:val="21"/>
                <w:lang w:val="en-US" w:eastAsia="zh-CN"/>
              </w:rPr>
              <w:t>实验室废水与现有实验室废水相同，水量小且水质简单，现有项目实验废水处理后可达标排放，因此本项目建成后实验废水也可达标排放</w:t>
            </w:r>
          </w:p>
          <w:p w14:paraId="2C9C364D">
            <w:pPr>
              <w:autoSpaceDE w:val="0"/>
              <w:autoSpaceDN w:val="0"/>
              <w:adjustRightInd w:val="0"/>
              <w:snapToGrid w:val="0"/>
              <w:spacing w:line="500" w:lineRule="exact"/>
              <w:ind w:firstLine="420" w:firstLineChars="200"/>
              <w:jc w:val="left"/>
              <w:rPr>
                <w:bCs/>
                <w:color w:val="auto"/>
                <w:kern w:val="0"/>
                <w:szCs w:val="21"/>
              </w:rPr>
            </w:pPr>
            <w:r>
              <w:rPr>
                <w:rFonts w:hint="eastAsia"/>
                <w:bCs/>
                <w:color w:val="auto"/>
                <w:kern w:val="0"/>
                <w:szCs w:val="21"/>
              </w:rPr>
              <w:t>本项目</w:t>
            </w:r>
            <w:r>
              <w:rPr>
                <w:rFonts w:hint="eastAsia"/>
                <w:bCs/>
                <w:color w:val="auto"/>
                <w:kern w:val="0"/>
                <w:szCs w:val="21"/>
                <w:lang w:val="en-US" w:eastAsia="zh-CN"/>
              </w:rPr>
              <w:t>建成后实验</w:t>
            </w:r>
            <w:r>
              <w:rPr>
                <w:rFonts w:hint="eastAsia"/>
                <w:bCs/>
                <w:color w:val="auto"/>
                <w:kern w:val="0"/>
                <w:szCs w:val="21"/>
              </w:rPr>
              <w:t>废水和现有</w:t>
            </w:r>
            <w:r>
              <w:rPr>
                <w:rFonts w:hint="eastAsia"/>
                <w:bCs/>
                <w:color w:val="auto"/>
                <w:kern w:val="0"/>
                <w:szCs w:val="21"/>
                <w:lang w:val="en-US" w:eastAsia="zh-CN"/>
              </w:rPr>
              <w:t>其他</w:t>
            </w:r>
            <w:r>
              <w:rPr>
                <w:rFonts w:hint="eastAsia"/>
                <w:bCs/>
                <w:color w:val="auto"/>
                <w:kern w:val="0"/>
                <w:szCs w:val="21"/>
              </w:rPr>
              <w:t>废水收集、调节</w:t>
            </w:r>
            <w:r>
              <w:rPr>
                <w:rFonts w:hint="eastAsia"/>
                <w:bCs/>
                <w:color w:val="auto"/>
                <w:kern w:val="0"/>
                <w:szCs w:val="21"/>
                <w:lang w:eastAsia="zh-CN"/>
              </w:rPr>
              <w:t>达到</w:t>
            </w:r>
            <w:r>
              <w:rPr>
                <w:rFonts w:hint="eastAsia"/>
                <w:bCs/>
                <w:color w:val="auto"/>
                <w:kern w:val="0"/>
                <w:szCs w:val="21"/>
              </w:rPr>
              <w:t>接管标准后，接管连云港石化基地工业废水综合治理中心常规线污水处理区，处理后送至连云港石化基地工业废水综合治理中心污水再生水处理区（一期）污水再生水处理线处理后70%回用，剩余30%浓水进入连云港石化基地工业废水综合治理中心RO浓水处理区（一期）污水RO浓水处理线处理满足要求后，通过徐圩新区达标尾水排海工程深海排放。</w:t>
            </w:r>
          </w:p>
          <w:p w14:paraId="2C53143A">
            <w:pPr>
              <w:autoSpaceDE w:val="0"/>
              <w:autoSpaceDN w:val="0"/>
              <w:adjustRightInd w:val="0"/>
              <w:snapToGrid w:val="0"/>
              <w:spacing w:line="360" w:lineRule="auto"/>
              <w:jc w:val="center"/>
              <w:rPr>
                <w:color w:val="auto"/>
              </w:rPr>
            </w:pPr>
          </w:p>
          <w:p w14:paraId="4A0B5612">
            <w:pPr>
              <w:snapToGrid w:val="0"/>
              <w:spacing w:line="500" w:lineRule="exact"/>
              <w:jc w:val="center"/>
              <w:rPr>
                <w:b/>
                <w:color w:val="auto"/>
                <w:szCs w:val="21"/>
              </w:rPr>
            </w:pPr>
            <w:r>
              <w:rPr>
                <w:rFonts w:hint="eastAsia"/>
                <w:b/>
                <w:color w:val="auto"/>
                <w:szCs w:val="21"/>
              </w:rPr>
              <w:t>图</w:t>
            </w:r>
            <w:r>
              <w:rPr>
                <w:b/>
                <w:color w:val="auto"/>
                <w:szCs w:val="21"/>
              </w:rPr>
              <w:t>4</w:t>
            </w:r>
            <w:r>
              <w:rPr>
                <w:rFonts w:hint="eastAsia"/>
                <w:b/>
                <w:color w:val="auto"/>
                <w:szCs w:val="21"/>
              </w:rPr>
              <w:t>-1全厂废水处理流程图</w:t>
            </w:r>
          </w:p>
          <w:p w14:paraId="23352E41">
            <w:pPr>
              <w:autoSpaceDE w:val="0"/>
              <w:autoSpaceDN w:val="0"/>
              <w:adjustRightInd w:val="0"/>
              <w:snapToGrid w:val="0"/>
              <w:spacing w:line="360" w:lineRule="auto"/>
              <w:jc w:val="center"/>
              <w:rPr>
                <w:color w:val="auto"/>
              </w:rPr>
            </w:pPr>
          </w:p>
          <w:p w14:paraId="3B2AEEE5">
            <w:pPr>
              <w:adjustRightInd w:val="0"/>
              <w:snapToGrid w:val="0"/>
              <w:spacing w:line="500" w:lineRule="exact"/>
              <w:ind w:firstLine="422" w:firstLineChars="200"/>
              <w:rPr>
                <w:b/>
                <w:color w:val="auto"/>
                <w:szCs w:val="21"/>
              </w:rPr>
            </w:pPr>
            <w:r>
              <w:rPr>
                <w:rFonts w:hint="eastAsia"/>
                <w:b/>
                <w:color w:val="auto"/>
                <w:szCs w:val="21"/>
              </w:rPr>
              <w:t>3</w:t>
            </w:r>
            <w:r>
              <w:rPr>
                <w:b/>
                <w:color w:val="auto"/>
                <w:szCs w:val="21"/>
              </w:rPr>
              <w:t>、噪声</w:t>
            </w:r>
          </w:p>
          <w:p w14:paraId="791BA453">
            <w:pPr>
              <w:adjustRightInd w:val="0"/>
              <w:snapToGrid w:val="0"/>
              <w:spacing w:line="500" w:lineRule="exact"/>
              <w:ind w:firstLine="422" w:firstLineChars="200"/>
              <w:rPr>
                <w:b/>
                <w:color w:val="auto"/>
                <w:szCs w:val="21"/>
              </w:rPr>
            </w:pPr>
            <w:r>
              <w:rPr>
                <w:b/>
                <w:color w:val="auto"/>
                <w:szCs w:val="21"/>
              </w:rPr>
              <w:t>（1）噪声源强</w:t>
            </w:r>
          </w:p>
          <w:p w14:paraId="31B79847">
            <w:pPr>
              <w:spacing w:line="500" w:lineRule="exact"/>
              <w:ind w:firstLine="420"/>
              <w:rPr>
                <w:color w:val="auto"/>
                <w:szCs w:val="21"/>
              </w:rPr>
            </w:pPr>
            <w:r>
              <w:rPr>
                <w:color w:val="auto"/>
                <w:szCs w:val="21"/>
              </w:rPr>
              <w:t>本项目主要噪声设备为</w:t>
            </w:r>
            <w:r>
              <w:rPr>
                <w:rFonts w:hint="eastAsia"/>
                <w:color w:val="auto"/>
                <w:szCs w:val="21"/>
              </w:rPr>
              <w:t>各类实验仪器、风机等。</w:t>
            </w:r>
            <w:r>
              <w:rPr>
                <w:color w:val="auto"/>
                <w:szCs w:val="21"/>
              </w:rPr>
              <w:t>本项目主要噪声产生及治理情况见表4-6。</w:t>
            </w:r>
          </w:p>
        </w:tc>
      </w:tr>
    </w:tbl>
    <w:p w14:paraId="38B5DC14">
      <w:pPr>
        <w:adjustRightInd w:val="0"/>
        <w:snapToGrid w:val="0"/>
        <w:spacing w:line="360" w:lineRule="auto"/>
        <w:ind w:firstLine="562"/>
        <w:rPr>
          <w:b/>
          <w:color w:val="auto"/>
          <w:kern w:val="0"/>
          <w:sz w:val="28"/>
          <w:szCs w:val="28"/>
        </w:rPr>
        <w:sectPr>
          <w:type w:val="nextColumn"/>
          <w:pgSz w:w="11907" w:h="16840"/>
          <w:pgMar w:top="1418" w:right="1418" w:bottom="1418" w:left="1418" w:header="851" w:footer="851" w:gutter="0"/>
          <w:cols w:space="720" w:num="1"/>
          <w:docGrid w:linePitch="312" w:charSpace="0"/>
        </w:sectPr>
      </w:pPr>
    </w:p>
    <w:tbl>
      <w:tblPr>
        <w:tblStyle w:val="21"/>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347"/>
        <w:gridCol w:w="13637"/>
      </w:tblGrid>
      <w:tr w14:paraId="1C18F73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10" w:hRule="atLeast"/>
          <w:jc w:val="center"/>
        </w:trPr>
        <w:tc>
          <w:tcPr>
            <w:tcW w:w="124" w:type="pct"/>
            <w:tcMar>
              <w:left w:w="28" w:type="dxa"/>
              <w:right w:w="28" w:type="dxa"/>
            </w:tcMar>
            <w:vAlign w:val="center"/>
          </w:tcPr>
          <w:p w14:paraId="0A5A443B">
            <w:pPr>
              <w:adjustRightInd w:val="0"/>
              <w:snapToGrid w:val="0"/>
              <w:jc w:val="center"/>
              <w:rPr>
                <w:bCs/>
                <w:color w:val="auto"/>
                <w:szCs w:val="21"/>
              </w:rPr>
            </w:pPr>
            <w:r>
              <w:rPr>
                <w:bCs/>
                <w:color w:val="auto"/>
                <w:szCs w:val="21"/>
              </w:rPr>
              <w:t>运营期环境影响和保护措施</w:t>
            </w:r>
          </w:p>
        </w:tc>
        <w:tc>
          <w:tcPr>
            <w:tcW w:w="4876" w:type="pct"/>
          </w:tcPr>
          <w:p w14:paraId="1A0E6E5C">
            <w:pPr>
              <w:snapToGrid w:val="0"/>
              <w:spacing w:line="500" w:lineRule="exact"/>
              <w:jc w:val="center"/>
              <w:rPr>
                <w:b/>
                <w:color w:val="auto"/>
                <w:szCs w:val="21"/>
              </w:rPr>
            </w:pPr>
            <w:r>
              <w:rPr>
                <w:b/>
                <w:color w:val="auto"/>
                <w:szCs w:val="21"/>
              </w:rPr>
              <w:t>表4-6  项目主要噪声污染源一览表</w:t>
            </w:r>
            <w:r>
              <w:rPr>
                <w:rFonts w:hint="eastAsia"/>
                <w:b/>
                <w:color w:val="auto"/>
                <w:szCs w:val="21"/>
              </w:rPr>
              <w:t>（室内）</w:t>
            </w:r>
          </w:p>
          <w:tbl>
            <w:tblPr>
              <w:tblStyle w:val="21"/>
              <w:tblW w:w="1342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294"/>
              <w:gridCol w:w="850"/>
              <w:gridCol w:w="1754"/>
              <w:gridCol w:w="1480"/>
              <w:gridCol w:w="988"/>
              <w:gridCol w:w="865"/>
              <w:gridCol w:w="645"/>
              <w:gridCol w:w="602"/>
              <w:gridCol w:w="1023"/>
              <w:gridCol w:w="790"/>
              <w:gridCol w:w="774"/>
              <w:gridCol w:w="790"/>
              <w:gridCol w:w="790"/>
              <w:gridCol w:w="776"/>
            </w:tblGrid>
            <w:tr w14:paraId="1448E1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82" w:type="pct"/>
                  <w:vMerge w:val="restart"/>
                  <w:shd w:val="clear" w:color="auto" w:fill="auto"/>
                  <w:vAlign w:val="center"/>
                </w:tcPr>
                <w:p w14:paraId="423A6CC0">
                  <w:pPr>
                    <w:widowControl/>
                    <w:jc w:val="center"/>
                    <w:textAlignment w:val="center"/>
                    <w:rPr>
                      <w:rFonts w:ascii="宋体" w:hAnsi="宋体" w:cs="宋体"/>
                      <w:b/>
                      <w:bCs/>
                      <w:color w:val="auto"/>
                      <w:sz w:val="18"/>
                      <w:szCs w:val="18"/>
                    </w:rPr>
                  </w:pPr>
                </w:p>
              </w:tc>
              <w:tc>
                <w:tcPr>
                  <w:tcW w:w="317" w:type="pct"/>
                  <w:vMerge w:val="restart"/>
                  <w:shd w:val="clear" w:color="auto" w:fill="auto"/>
                  <w:vAlign w:val="center"/>
                </w:tcPr>
                <w:p w14:paraId="6CEC72A2">
                  <w:pPr>
                    <w:widowControl/>
                    <w:jc w:val="center"/>
                    <w:textAlignment w:val="center"/>
                    <w:rPr>
                      <w:rFonts w:ascii="宋体" w:hAnsi="宋体" w:cs="宋体"/>
                      <w:b/>
                      <w:bCs/>
                      <w:color w:val="auto"/>
                      <w:sz w:val="18"/>
                      <w:szCs w:val="18"/>
                    </w:rPr>
                  </w:pPr>
                </w:p>
              </w:tc>
              <w:tc>
                <w:tcPr>
                  <w:tcW w:w="653" w:type="pct"/>
                  <w:vMerge w:val="restart"/>
                  <w:shd w:val="clear" w:color="auto" w:fill="auto"/>
                  <w:vAlign w:val="center"/>
                </w:tcPr>
                <w:p w14:paraId="43A5D26A">
                  <w:pPr>
                    <w:widowControl/>
                    <w:jc w:val="center"/>
                    <w:textAlignment w:val="center"/>
                    <w:rPr>
                      <w:rFonts w:ascii="宋体" w:hAnsi="宋体" w:cs="宋体"/>
                      <w:b/>
                      <w:bCs/>
                      <w:color w:val="auto"/>
                      <w:sz w:val="18"/>
                      <w:szCs w:val="18"/>
                    </w:rPr>
                  </w:pPr>
                </w:p>
              </w:tc>
              <w:tc>
                <w:tcPr>
                  <w:tcW w:w="551" w:type="pct"/>
                  <w:shd w:val="clear" w:color="auto" w:fill="auto"/>
                  <w:vAlign w:val="center"/>
                </w:tcPr>
                <w:p w14:paraId="6132C286">
                  <w:pPr>
                    <w:widowControl/>
                    <w:jc w:val="center"/>
                    <w:textAlignment w:val="center"/>
                    <w:rPr>
                      <w:rFonts w:ascii="宋体" w:hAnsi="宋体" w:cs="宋体"/>
                      <w:b/>
                      <w:bCs/>
                      <w:color w:val="auto"/>
                      <w:sz w:val="18"/>
                      <w:szCs w:val="18"/>
                    </w:rPr>
                  </w:pPr>
                </w:p>
              </w:tc>
              <w:tc>
                <w:tcPr>
                  <w:tcW w:w="368" w:type="pct"/>
                  <w:vMerge w:val="restart"/>
                  <w:shd w:val="clear" w:color="auto" w:fill="auto"/>
                  <w:vAlign w:val="center"/>
                </w:tcPr>
                <w:p w14:paraId="3B91FC6B">
                  <w:pPr>
                    <w:widowControl/>
                    <w:jc w:val="center"/>
                    <w:textAlignment w:val="center"/>
                    <w:rPr>
                      <w:rFonts w:ascii="宋体" w:hAnsi="宋体" w:cs="宋体"/>
                      <w:b/>
                      <w:bCs/>
                      <w:color w:val="auto"/>
                      <w:sz w:val="18"/>
                      <w:szCs w:val="18"/>
                    </w:rPr>
                  </w:pPr>
                </w:p>
              </w:tc>
              <w:tc>
                <w:tcPr>
                  <w:tcW w:w="786" w:type="pct"/>
                  <w:gridSpan w:val="3"/>
                  <w:shd w:val="clear" w:color="auto" w:fill="auto"/>
                  <w:vAlign w:val="center"/>
                </w:tcPr>
                <w:p w14:paraId="6FA32A7A">
                  <w:pPr>
                    <w:widowControl/>
                    <w:jc w:val="center"/>
                    <w:textAlignment w:val="center"/>
                    <w:rPr>
                      <w:rFonts w:ascii="宋体" w:hAnsi="宋体" w:cs="宋体"/>
                      <w:b/>
                      <w:bCs/>
                      <w:color w:val="auto"/>
                      <w:sz w:val="18"/>
                      <w:szCs w:val="18"/>
                    </w:rPr>
                  </w:pPr>
                </w:p>
              </w:tc>
              <w:tc>
                <w:tcPr>
                  <w:tcW w:w="381" w:type="pct"/>
                  <w:vMerge w:val="restart"/>
                  <w:shd w:val="clear" w:color="auto" w:fill="auto"/>
                  <w:vAlign w:val="center"/>
                </w:tcPr>
                <w:p w14:paraId="34FF8E3B">
                  <w:pPr>
                    <w:widowControl/>
                    <w:jc w:val="center"/>
                    <w:textAlignment w:val="center"/>
                    <w:rPr>
                      <w:rFonts w:ascii="宋体" w:hAnsi="宋体" w:cs="宋体"/>
                      <w:b/>
                      <w:bCs/>
                      <w:color w:val="auto"/>
                      <w:sz w:val="18"/>
                      <w:szCs w:val="18"/>
                    </w:rPr>
                  </w:pPr>
                </w:p>
              </w:tc>
              <w:tc>
                <w:tcPr>
                  <w:tcW w:w="294" w:type="pct"/>
                  <w:vMerge w:val="restart"/>
                  <w:shd w:val="clear" w:color="auto" w:fill="auto"/>
                  <w:vAlign w:val="center"/>
                </w:tcPr>
                <w:p w14:paraId="3D71D87F">
                  <w:pPr>
                    <w:widowControl/>
                    <w:jc w:val="center"/>
                    <w:textAlignment w:val="center"/>
                    <w:rPr>
                      <w:rFonts w:ascii="宋体" w:hAnsi="宋体" w:cs="宋体"/>
                      <w:b/>
                      <w:bCs/>
                      <w:color w:val="auto"/>
                      <w:sz w:val="18"/>
                      <w:szCs w:val="18"/>
                    </w:rPr>
                  </w:pPr>
                </w:p>
              </w:tc>
              <w:tc>
                <w:tcPr>
                  <w:tcW w:w="288" w:type="pct"/>
                  <w:vMerge w:val="restart"/>
                  <w:shd w:val="clear" w:color="auto" w:fill="auto"/>
                  <w:vAlign w:val="center"/>
                </w:tcPr>
                <w:p w14:paraId="42D2C2C0">
                  <w:pPr>
                    <w:widowControl/>
                    <w:jc w:val="center"/>
                    <w:textAlignment w:val="center"/>
                    <w:rPr>
                      <w:rFonts w:ascii="宋体" w:hAnsi="宋体" w:cs="宋体"/>
                      <w:b/>
                      <w:bCs/>
                      <w:color w:val="auto"/>
                      <w:sz w:val="18"/>
                      <w:szCs w:val="18"/>
                    </w:rPr>
                  </w:pPr>
                </w:p>
              </w:tc>
              <w:tc>
                <w:tcPr>
                  <w:tcW w:w="294" w:type="pct"/>
                  <w:vMerge w:val="restart"/>
                  <w:shd w:val="clear" w:color="auto" w:fill="auto"/>
                  <w:vAlign w:val="center"/>
                </w:tcPr>
                <w:p w14:paraId="39A922D2">
                  <w:pPr>
                    <w:widowControl/>
                    <w:jc w:val="center"/>
                    <w:textAlignment w:val="center"/>
                    <w:rPr>
                      <w:rFonts w:ascii="宋体" w:hAnsi="宋体" w:cs="宋体"/>
                      <w:b/>
                      <w:bCs/>
                      <w:color w:val="auto"/>
                      <w:sz w:val="18"/>
                      <w:szCs w:val="18"/>
                    </w:rPr>
                  </w:pPr>
                </w:p>
              </w:tc>
              <w:tc>
                <w:tcPr>
                  <w:tcW w:w="583" w:type="pct"/>
                  <w:gridSpan w:val="2"/>
                  <w:shd w:val="clear" w:color="auto" w:fill="auto"/>
                  <w:vAlign w:val="center"/>
                </w:tcPr>
                <w:p w14:paraId="638B7EF2">
                  <w:pPr>
                    <w:widowControl/>
                    <w:jc w:val="center"/>
                    <w:textAlignment w:val="center"/>
                    <w:rPr>
                      <w:rFonts w:ascii="宋体" w:hAnsi="宋体" w:cs="宋体"/>
                      <w:b/>
                      <w:bCs/>
                      <w:color w:val="auto"/>
                      <w:sz w:val="18"/>
                      <w:szCs w:val="18"/>
                    </w:rPr>
                  </w:pPr>
                </w:p>
              </w:tc>
            </w:tr>
            <w:tr w14:paraId="1A5ADB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482" w:type="pct"/>
                  <w:vMerge w:val="continue"/>
                  <w:shd w:val="clear" w:color="auto" w:fill="auto"/>
                  <w:vAlign w:val="center"/>
                </w:tcPr>
                <w:p w14:paraId="6E7E4A23">
                  <w:pPr>
                    <w:jc w:val="center"/>
                    <w:rPr>
                      <w:rFonts w:ascii="宋体" w:hAnsi="宋体" w:cs="宋体"/>
                      <w:b/>
                      <w:bCs/>
                      <w:color w:val="auto"/>
                      <w:sz w:val="18"/>
                      <w:szCs w:val="18"/>
                    </w:rPr>
                  </w:pPr>
                </w:p>
              </w:tc>
              <w:tc>
                <w:tcPr>
                  <w:tcW w:w="317" w:type="pct"/>
                  <w:vMerge w:val="continue"/>
                  <w:shd w:val="clear" w:color="auto" w:fill="auto"/>
                  <w:vAlign w:val="center"/>
                </w:tcPr>
                <w:p w14:paraId="3AD32BCD">
                  <w:pPr>
                    <w:jc w:val="center"/>
                    <w:rPr>
                      <w:rFonts w:ascii="宋体" w:hAnsi="宋体" w:cs="宋体"/>
                      <w:b/>
                      <w:bCs/>
                      <w:color w:val="auto"/>
                      <w:sz w:val="18"/>
                      <w:szCs w:val="18"/>
                    </w:rPr>
                  </w:pPr>
                </w:p>
              </w:tc>
              <w:tc>
                <w:tcPr>
                  <w:tcW w:w="653" w:type="pct"/>
                  <w:vMerge w:val="continue"/>
                  <w:shd w:val="clear" w:color="auto" w:fill="auto"/>
                  <w:vAlign w:val="center"/>
                </w:tcPr>
                <w:p w14:paraId="4FA05B00">
                  <w:pPr>
                    <w:jc w:val="center"/>
                    <w:rPr>
                      <w:rFonts w:ascii="宋体" w:hAnsi="宋体" w:cs="宋体"/>
                      <w:b/>
                      <w:bCs/>
                      <w:color w:val="auto"/>
                      <w:sz w:val="18"/>
                      <w:szCs w:val="18"/>
                    </w:rPr>
                  </w:pPr>
                </w:p>
              </w:tc>
              <w:tc>
                <w:tcPr>
                  <w:tcW w:w="551" w:type="pct"/>
                  <w:shd w:val="clear" w:color="auto" w:fill="auto"/>
                  <w:vAlign w:val="center"/>
                </w:tcPr>
                <w:p w14:paraId="0857DCC7">
                  <w:pPr>
                    <w:widowControl/>
                    <w:jc w:val="center"/>
                    <w:textAlignment w:val="center"/>
                    <w:rPr>
                      <w:rFonts w:ascii="宋体" w:hAnsi="宋体" w:cs="宋体"/>
                      <w:b/>
                      <w:bCs/>
                      <w:color w:val="auto"/>
                      <w:sz w:val="18"/>
                      <w:szCs w:val="18"/>
                    </w:rPr>
                  </w:pPr>
                </w:p>
              </w:tc>
              <w:tc>
                <w:tcPr>
                  <w:tcW w:w="368" w:type="pct"/>
                  <w:vMerge w:val="continue"/>
                  <w:shd w:val="clear" w:color="auto" w:fill="auto"/>
                  <w:vAlign w:val="center"/>
                </w:tcPr>
                <w:p w14:paraId="1E122014">
                  <w:pPr>
                    <w:jc w:val="center"/>
                    <w:rPr>
                      <w:rFonts w:ascii="宋体" w:hAnsi="宋体" w:cs="宋体"/>
                      <w:b/>
                      <w:bCs/>
                      <w:color w:val="auto"/>
                      <w:sz w:val="18"/>
                      <w:szCs w:val="18"/>
                    </w:rPr>
                  </w:pPr>
                </w:p>
              </w:tc>
              <w:tc>
                <w:tcPr>
                  <w:tcW w:w="322" w:type="pct"/>
                  <w:shd w:val="clear" w:color="auto" w:fill="auto"/>
                  <w:vAlign w:val="center"/>
                </w:tcPr>
                <w:p w14:paraId="1C1988EE">
                  <w:pPr>
                    <w:widowControl/>
                    <w:jc w:val="center"/>
                    <w:textAlignment w:val="center"/>
                    <w:rPr>
                      <w:b/>
                      <w:bCs/>
                      <w:color w:val="auto"/>
                      <w:sz w:val="18"/>
                      <w:szCs w:val="18"/>
                    </w:rPr>
                  </w:pPr>
                </w:p>
              </w:tc>
              <w:tc>
                <w:tcPr>
                  <w:tcW w:w="240" w:type="pct"/>
                  <w:shd w:val="clear" w:color="auto" w:fill="auto"/>
                  <w:vAlign w:val="center"/>
                </w:tcPr>
                <w:p w14:paraId="2EF41CEC">
                  <w:pPr>
                    <w:widowControl/>
                    <w:jc w:val="center"/>
                    <w:textAlignment w:val="center"/>
                    <w:rPr>
                      <w:b/>
                      <w:bCs/>
                      <w:color w:val="auto"/>
                      <w:sz w:val="18"/>
                      <w:szCs w:val="18"/>
                    </w:rPr>
                  </w:pPr>
                </w:p>
              </w:tc>
              <w:tc>
                <w:tcPr>
                  <w:tcW w:w="222" w:type="pct"/>
                  <w:shd w:val="clear" w:color="auto" w:fill="auto"/>
                  <w:vAlign w:val="center"/>
                </w:tcPr>
                <w:p w14:paraId="5795BE6D">
                  <w:pPr>
                    <w:widowControl/>
                    <w:jc w:val="center"/>
                    <w:textAlignment w:val="center"/>
                    <w:rPr>
                      <w:b/>
                      <w:bCs/>
                      <w:color w:val="auto"/>
                      <w:sz w:val="18"/>
                      <w:szCs w:val="18"/>
                    </w:rPr>
                  </w:pPr>
                </w:p>
              </w:tc>
              <w:tc>
                <w:tcPr>
                  <w:tcW w:w="381" w:type="pct"/>
                  <w:vMerge w:val="continue"/>
                  <w:shd w:val="clear" w:color="auto" w:fill="auto"/>
                  <w:vAlign w:val="center"/>
                </w:tcPr>
                <w:p w14:paraId="4B4236CE">
                  <w:pPr>
                    <w:jc w:val="center"/>
                    <w:rPr>
                      <w:rFonts w:ascii="宋体" w:hAnsi="宋体" w:cs="宋体"/>
                      <w:b/>
                      <w:bCs/>
                      <w:color w:val="auto"/>
                      <w:sz w:val="18"/>
                      <w:szCs w:val="18"/>
                    </w:rPr>
                  </w:pPr>
                </w:p>
              </w:tc>
              <w:tc>
                <w:tcPr>
                  <w:tcW w:w="294" w:type="pct"/>
                  <w:vMerge w:val="continue"/>
                  <w:shd w:val="clear" w:color="auto" w:fill="auto"/>
                  <w:vAlign w:val="center"/>
                </w:tcPr>
                <w:p w14:paraId="1275C11E">
                  <w:pPr>
                    <w:jc w:val="center"/>
                    <w:rPr>
                      <w:rFonts w:ascii="宋体" w:hAnsi="宋体" w:cs="宋体"/>
                      <w:b/>
                      <w:bCs/>
                      <w:color w:val="auto"/>
                      <w:sz w:val="18"/>
                      <w:szCs w:val="18"/>
                    </w:rPr>
                  </w:pPr>
                </w:p>
              </w:tc>
              <w:tc>
                <w:tcPr>
                  <w:tcW w:w="288" w:type="pct"/>
                  <w:vMerge w:val="continue"/>
                  <w:shd w:val="clear" w:color="auto" w:fill="auto"/>
                  <w:vAlign w:val="center"/>
                </w:tcPr>
                <w:p w14:paraId="6FA42F63">
                  <w:pPr>
                    <w:jc w:val="center"/>
                    <w:rPr>
                      <w:rFonts w:ascii="宋体" w:hAnsi="宋体" w:cs="宋体"/>
                      <w:b/>
                      <w:bCs/>
                      <w:color w:val="auto"/>
                      <w:sz w:val="18"/>
                      <w:szCs w:val="18"/>
                    </w:rPr>
                  </w:pPr>
                </w:p>
              </w:tc>
              <w:tc>
                <w:tcPr>
                  <w:tcW w:w="294" w:type="pct"/>
                  <w:vMerge w:val="continue"/>
                  <w:shd w:val="clear" w:color="auto" w:fill="auto"/>
                  <w:vAlign w:val="center"/>
                </w:tcPr>
                <w:p w14:paraId="127F8CB4">
                  <w:pPr>
                    <w:jc w:val="center"/>
                    <w:rPr>
                      <w:rFonts w:ascii="宋体" w:hAnsi="宋体" w:cs="宋体"/>
                      <w:b/>
                      <w:bCs/>
                      <w:color w:val="auto"/>
                      <w:sz w:val="18"/>
                      <w:szCs w:val="18"/>
                    </w:rPr>
                  </w:pPr>
                </w:p>
              </w:tc>
              <w:tc>
                <w:tcPr>
                  <w:tcW w:w="294" w:type="pct"/>
                  <w:shd w:val="clear" w:color="auto" w:fill="auto"/>
                  <w:vAlign w:val="center"/>
                </w:tcPr>
                <w:p w14:paraId="0A24E221">
                  <w:pPr>
                    <w:widowControl/>
                    <w:jc w:val="center"/>
                    <w:textAlignment w:val="center"/>
                    <w:rPr>
                      <w:rFonts w:ascii="宋体" w:hAnsi="宋体" w:cs="宋体"/>
                      <w:b/>
                      <w:bCs/>
                      <w:color w:val="auto"/>
                      <w:sz w:val="18"/>
                      <w:szCs w:val="18"/>
                    </w:rPr>
                  </w:pPr>
                </w:p>
              </w:tc>
              <w:tc>
                <w:tcPr>
                  <w:tcW w:w="289" w:type="pct"/>
                  <w:shd w:val="clear" w:color="auto" w:fill="auto"/>
                  <w:vAlign w:val="center"/>
                </w:tcPr>
                <w:p w14:paraId="5EBA4431">
                  <w:pPr>
                    <w:widowControl/>
                    <w:jc w:val="center"/>
                    <w:textAlignment w:val="center"/>
                    <w:rPr>
                      <w:rFonts w:ascii="宋体" w:hAnsi="宋体" w:cs="宋体"/>
                      <w:b/>
                      <w:bCs/>
                      <w:color w:val="auto"/>
                      <w:sz w:val="18"/>
                      <w:szCs w:val="18"/>
                    </w:rPr>
                  </w:pPr>
                </w:p>
              </w:tc>
            </w:tr>
            <w:tr w14:paraId="2B6F97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82" w:type="pct"/>
                  <w:shd w:val="clear" w:color="auto" w:fill="auto"/>
                  <w:noWrap/>
                  <w:vAlign w:val="center"/>
                </w:tcPr>
                <w:p w14:paraId="1003A909">
                  <w:pPr>
                    <w:widowControl/>
                    <w:jc w:val="center"/>
                    <w:textAlignment w:val="center"/>
                    <w:rPr>
                      <w:rFonts w:ascii="宋体" w:hAnsi="宋体" w:cs="宋体"/>
                      <w:color w:val="auto"/>
                      <w:sz w:val="18"/>
                      <w:szCs w:val="18"/>
                    </w:rPr>
                  </w:pPr>
                </w:p>
              </w:tc>
              <w:tc>
                <w:tcPr>
                  <w:tcW w:w="317" w:type="pct"/>
                  <w:shd w:val="clear" w:color="auto" w:fill="auto"/>
                  <w:vAlign w:val="bottom"/>
                </w:tcPr>
                <w:p w14:paraId="24E18796">
                  <w:pPr>
                    <w:widowControl/>
                    <w:jc w:val="center"/>
                    <w:textAlignment w:val="bottom"/>
                    <w:rPr>
                      <w:color w:val="auto"/>
                      <w:sz w:val="18"/>
                      <w:szCs w:val="18"/>
                    </w:rPr>
                  </w:pPr>
                </w:p>
              </w:tc>
              <w:tc>
                <w:tcPr>
                  <w:tcW w:w="653" w:type="pct"/>
                  <w:shd w:val="clear" w:color="auto" w:fill="auto"/>
                  <w:vAlign w:val="bottom"/>
                </w:tcPr>
                <w:p w14:paraId="3ADA2AA8">
                  <w:pPr>
                    <w:widowControl/>
                    <w:jc w:val="center"/>
                    <w:textAlignment w:val="bottom"/>
                    <w:rPr>
                      <w:color w:val="auto"/>
                      <w:sz w:val="18"/>
                      <w:szCs w:val="18"/>
                    </w:rPr>
                  </w:pPr>
                </w:p>
              </w:tc>
              <w:tc>
                <w:tcPr>
                  <w:tcW w:w="551" w:type="pct"/>
                  <w:shd w:val="clear" w:color="auto" w:fill="auto"/>
                  <w:vAlign w:val="bottom"/>
                </w:tcPr>
                <w:p w14:paraId="36A4F6C6">
                  <w:pPr>
                    <w:widowControl/>
                    <w:jc w:val="center"/>
                    <w:textAlignment w:val="bottom"/>
                    <w:rPr>
                      <w:color w:val="auto"/>
                      <w:sz w:val="18"/>
                      <w:szCs w:val="18"/>
                    </w:rPr>
                  </w:pPr>
                </w:p>
              </w:tc>
              <w:tc>
                <w:tcPr>
                  <w:tcW w:w="368" w:type="pct"/>
                  <w:vMerge w:val="restart"/>
                  <w:shd w:val="clear" w:color="auto" w:fill="auto"/>
                  <w:vAlign w:val="center"/>
                </w:tcPr>
                <w:p w14:paraId="4D76A1A5">
                  <w:pPr>
                    <w:widowControl/>
                    <w:jc w:val="center"/>
                    <w:textAlignment w:val="center"/>
                    <w:rPr>
                      <w:rFonts w:ascii="宋体" w:hAnsi="宋体" w:cs="宋体"/>
                      <w:color w:val="auto"/>
                      <w:sz w:val="18"/>
                      <w:szCs w:val="18"/>
                    </w:rPr>
                  </w:pPr>
                </w:p>
              </w:tc>
              <w:tc>
                <w:tcPr>
                  <w:tcW w:w="865" w:type="dxa"/>
                  <w:shd w:val="clear" w:color="auto" w:fill="auto"/>
                  <w:noWrap/>
                  <w:vAlign w:val="bottom"/>
                </w:tcPr>
                <w:p w14:paraId="45E73417">
                  <w:pPr>
                    <w:widowControl/>
                    <w:jc w:val="center"/>
                    <w:textAlignment w:val="bottom"/>
                    <w:rPr>
                      <w:color w:val="auto"/>
                      <w:sz w:val="18"/>
                      <w:szCs w:val="18"/>
                    </w:rPr>
                  </w:pPr>
                </w:p>
              </w:tc>
              <w:tc>
                <w:tcPr>
                  <w:tcW w:w="645" w:type="dxa"/>
                  <w:shd w:val="clear" w:color="auto" w:fill="auto"/>
                  <w:noWrap/>
                  <w:vAlign w:val="bottom"/>
                </w:tcPr>
                <w:p w14:paraId="60BBF5C4">
                  <w:pPr>
                    <w:widowControl/>
                    <w:jc w:val="center"/>
                    <w:textAlignment w:val="bottom"/>
                    <w:rPr>
                      <w:color w:val="auto"/>
                      <w:sz w:val="18"/>
                      <w:szCs w:val="18"/>
                    </w:rPr>
                  </w:pPr>
                </w:p>
              </w:tc>
              <w:tc>
                <w:tcPr>
                  <w:tcW w:w="222" w:type="pct"/>
                  <w:shd w:val="clear" w:color="auto" w:fill="auto"/>
                  <w:vAlign w:val="bottom"/>
                </w:tcPr>
                <w:p w14:paraId="20195DED">
                  <w:pPr>
                    <w:widowControl/>
                    <w:jc w:val="center"/>
                    <w:textAlignment w:val="bottom"/>
                    <w:rPr>
                      <w:color w:val="auto"/>
                      <w:sz w:val="18"/>
                      <w:szCs w:val="18"/>
                    </w:rPr>
                  </w:pPr>
                </w:p>
              </w:tc>
              <w:tc>
                <w:tcPr>
                  <w:tcW w:w="381" w:type="pct"/>
                  <w:shd w:val="clear" w:color="auto" w:fill="auto"/>
                  <w:vAlign w:val="bottom"/>
                </w:tcPr>
                <w:p w14:paraId="65453465">
                  <w:pPr>
                    <w:widowControl/>
                    <w:jc w:val="center"/>
                    <w:textAlignment w:val="bottom"/>
                    <w:rPr>
                      <w:color w:val="auto"/>
                      <w:sz w:val="18"/>
                      <w:szCs w:val="18"/>
                    </w:rPr>
                  </w:pPr>
                </w:p>
              </w:tc>
              <w:tc>
                <w:tcPr>
                  <w:tcW w:w="294" w:type="pct"/>
                  <w:shd w:val="clear" w:color="auto" w:fill="auto"/>
                  <w:vAlign w:val="center"/>
                </w:tcPr>
                <w:p w14:paraId="17598C28">
                  <w:pPr>
                    <w:widowControl/>
                    <w:jc w:val="center"/>
                    <w:textAlignment w:val="center"/>
                    <w:rPr>
                      <w:color w:val="auto"/>
                      <w:sz w:val="18"/>
                      <w:szCs w:val="18"/>
                    </w:rPr>
                  </w:pPr>
                </w:p>
              </w:tc>
              <w:tc>
                <w:tcPr>
                  <w:tcW w:w="288" w:type="pct"/>
                  <w:vMerge w:val="restart"/>
                  <w:shd w:val="clear" w:color="auto" w:fill="auto"/>
                  <w:noWrap/>
                  <w:vAlign w:val="center"/>
                </w:tcPr>
                <w:p w14:paraId="73C36C1F">
                  <w:pPr>
                    <w:widowControl/>
                    <w:jc w:val="center"/>
                    <w:textAlignment w:val="center"/>
                    <w:rPr>
                      <w:rFonts w:ascii="宋体" w:hAnsi="宋体" w:cs="宋体"/>
                      <w:color w:val="auto"/>
                      <w:sz w:val="18"/>
                      <w:szCs w:val="18"/>
                    </w:rPr>
                  </w:pPr>
                </w:p>
              </w:tc>
              <w:tc>
                <w:tcPr>
                  <w:tcW w:w="294" w:type="pct"/>
                  <w:shd w:val="clear" w:color="auto" w:fill="auto"/>
                  <w:vAlign w:val="center"/>
                </w:tcPr>
                <w:p w14:paraId="01D5F935">
                  <w:pPr>
                    <w:widowControl/>
                    <w:jc w:val="center"/>
                    <w:textAlignment w:val="center"/>
                    <w:rPr>
                      <w:color w:val="auto"/>
                      <w:sz w:val="18"/>
                      <w:szCs w:val="18"/>
                    </w:rPr>
                  </w:pPr>
                </w:p>
              </w:tc>
              <w:tc>
                <w:tcPr>
                  <w:tcW w:w="294" w:type="pct"/>
                  <w:shd w:val="clear" w:color="auto" w:fill="auto"/>
                  <w:noWrap/>
                  <w:vAlign w:val="center"/>
                </w:tcPr>
                <w:p w14:paraId="7E5E0EE1">
                  <w:pPr>
                    <w:widowControl/>
                    <w:jc w:val="center"/>
                    <w:textAlignment w:val="center"/>
                    <w:rPr>
                      <w:color w:val="auto"/>
                      <w:sz w:val="18"/>
                      <w:szCs w:val="18"/>
                    </w:rPr>
                  </w:pPr>
                </w:p>
              </w:tc>
              <w:tc>
                <w:tcPr>
                  <w:tcW w:w="289" w:type="pct"/>
                  <w:shd w:val="clear" w:color="auto" w:fill="auto"/>
                  <w:noWrap/>
                  <w:vAlign w:val="center"/>
                </w:tcPr>
                <w:p w14:paraId="0A3DA7D9">
                  <w:pPr>
                    <w:widowControl/>
                    <w:jc w:val="center"/>
                    <w:textAlignment w:val="center"/>
                    <w:rPr>
                      <w:color w:val="auto"/>
                      <w:sz w:val="18"/>
                      <w:szCs w:val="18"/>
                    </w:rPr>
                  </w:pPr>
                </w:p>
              </w:tc>
            </w:tr>
            <w:tr w14:paraId="5728C6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82" w:type="pct"/>
                  <w:shd w:val="clear" w:color="auto" w:fill="auto"/>
                  <w:noWrap/>
                  <w:vAlign w:val="center"/>
                </w:tcPr>
                <w:p w14:paraId="30D117A8">
                  <w:pPr>
                    <w:widowControl/>
                    <w:jc w:val="center"/>
                    <w:textAlignment w:val="center"/>
                    <w:rPr>
                      <w:rFonts w:ascii="宋体" w:hAnsi="宋体" w:cs="宋体"/>
                      <w:color w:val="auto"/>
                      <w:sz w:val="18"/>
                      <w:szCs w:val="18"/>
                    </w:rPr>
                  </w:pPr>
                </w:p>
              </w:tc>
              <w:tc>
                <w:tcPr>
                  <w:tcW w:w="317" w:type="pct"/>
                  <w:shd w:val="clear" w:color="auto" w:fill="auto"/>
                  <w:vAlign w:val="bottom"/>
                </w:tcPr>
                <w:p w14:paraId="1864ADF7">
                  <w:pPr>
                    <w:widowControl/>
                    <w:jc w:val="center"/>
                    <w:textAlignment w:val="bottom"/>
                    <w:rPr>
                      <w:color w:val="auto"/>
                      <w:sz w:val="18"/>
                      <w:szCs w:val="18"/>
                    </w:rPr>
                  </w:pPr>
                </w:p>
              </w:tc>
              <w:tc>
                <w:tcPr>
                  <w:tcW w:w="653" w:type="pct"/>
                  <w:shd w:val="clear" w:color="auto" w:fill="auto"/>
                  <w:noWrap/>
                  <w:vAlign w:val="center"/>
                </w:tcPr>
                <w:p w14:paraId="56D3EC3F">
                  <w:pPr>
                    <w:widowControl/>
                    <w:jc w:val="center"/>
                    <w:textAlignment w:val="center"/>
                    <w:rPr>
                      <w:color w:val="auto"/>
                      <w:sz w:val="18"/>
                      <w:szCs w:val="18"/>
                    </w:rPr>
                  </w:pPr>
                </w:p>
              </w:tc>
              <w:tc>
                <w:tcPr>
                  <w:tcW w:w="551" w:type="pct"/>
                  <w:shd w:val="clear" w:color="auto" w:fill="auto"/>
                  <w:vAlign w:val="bottom"/>
                </w:tcPr>
                <w:p w14:paraId="65965D0E">
                  <w:pPr>
                    <w:widowControl/>
                    <w:jc w:val="center"/>
                    <w:textAlignment w:val="bottom"/>
                    <w:rPr>
                      <w:color w:val="auto"/>
                      <w:sz w:val="18"/>
                      <w:szCs w:val="18"/>
                    </w:rPr>
                  </w:pPr>
                </w:p>
              </w:tc>
              <w:tc>
                <w:tcPr>
                  <w:tcW w:w="368" w:type="pct"/>
                  <w:vMerge w:val="continue"/>
                  <w:shd w:val="clear" w:color="auto" w:fill="auto"/>
                  <w:vAlign w:val="center"/>
                </w:tcPr>
                <w:p w14:paraId="689B2FB7">
                  <w:pPr>
                    <w:jc w:val="center"/>
                    <w:rPr>
                      <w:rFonts w:ascii="宋体" w:hAnsi="宋体" w:cs="宋体"/>
                      <w:color w:val="auto"/>
                      <w:sz w:val="18"/>
                      <w:szCs w:val="18"/>
                    </w:rPr>
                  </w:pPr>
                </w:p>
              </w:tc>
              <w:tc>
                <w:tcPr>
                  <w:tcW w:w="865" w:type="dxa"/>
                  <w:shd w:val="clear" w:color="auto" w:fill="auto"/>
                  <w:noWrap/>
                  <w:vAlign w:val="bottom"/>
                </w:tcPr>
                <w:p w14:paraId="14D35903">
                  <w:pPr>
                    <w:widowControl/>
                    <w:jc w:val="center"/>
                    <w:textAlignment w:val="bottom"/>
                    <w:rPr>
                      <w:color w:val="auto"/>
                      <w:sz w:val="18"/>
                      <w:szCs w:val="18"/>
                    </w:rPr>
                  </w:pPr>
                </w:p>
              </w:tc>
              <w:tc>
                <w:tcPr>
                  <w:tcW w:w="645" w:type="dxa"/>
                  <w:shd w:val="clear" w:color="auto" w:fill="auto"/>
                  <w:noWrap/>
                  <w:vAlign w:val="bottom"/>
                </w:tcPr>
                <w:p w14:paraId="212D9559">
                  <w:pPr>
                    <w:widowControl/>
                    <w:jc w:val="center"/>
                    <w:textAlignment w:val="bottom"/>
                    <w:rPr>
                      <w:color w:val="auto"/>
                      <w:sz w:val="18"/>
                      <w:szCs w:val="18"/>
                    </w:rPr>
                  </w:pPr>
                </w:p>
              </w:tc>
              <w:tc>
                <w:tcPr>
                  <w:tcW w:w="222" w:type="pct"/>
                  <w:shd w:val="clear" w:color="auto" w:fill="auto"/>
                  <w:vAlign w:val="bottom"/>
                </w:tcPr>
                <w:p w14:paraId="5280FA9F">
                  <w:pPr>
                    <w:widowControl/>
                    <w:jc w:val="center"/>
                    <w:textAlignment w:val="bottom"/>
                    <w:rPr>
                      <w:color w:val="auto"/>
                      <w:sz w:val="18"/>
                      <w:szCs w:val="18"/>
                    </w:rPr>
                  </w:pPr>
                </w:p>
              </w:tc>
              <w:tc>
                <w:tcPr>
                  <w:tcW w:w="381" w:type="pct"/>
                  <w:shd w:val="clear" w:color="auto" w:fill="auto"/>
                  <w:vAlign w:val="bottom"/>
                </w:tcPr>
                <w:p w14:paraId="5817BD80">
                  <w:pPr>
                    <w:widowControl/>
                    <w:jc w:val="center"/>
                    <w:textAlignment w:val="bottom"/>
                    <w:rPr>
                      <w:color w:val="auto"/>
                      <w:sz w:val="18"/>
                      <w:szCs w:val="18"/>
                    </w:rPr>
                  </w:pPr>
                </w:p>
              </w:tc>
              <w:tc>
                <w:tcPr>
                  <w:tcW w:w="294" w:type="pct"/>
                  <w:shd w:val="clear" w:color="auto" w:fill="auto"/>
                  <w:vAlign w:val="center"/>
                </w:tcPr>
                <w:p w14:paraId="09742E4F">
                  <w:pPr>
                    <w:widowControl/>
                    <w:jc w:val="center"/>
                    <w:textAlignment w:val="center"/>
                    <w:rPr>
                      <w:color w:val="auto"/>
                      <w:sz w:val="18"/>
                      <w:szCs w:val="18"/>
                    </w:rPr>
                  </w:pPr>
                </w:p>
              </w:tc>
              <w:tc>
                <w:tcPr>
                  <w:tcW w:w="288" w:type="pct"/>
                  <w:vMerge w:val="continue"/>
                  <w:shd w:val="clear" w:color="auto" w:fill="auto"/>
                  <w:noWrap/>
                  <w:vAlign w:val="center"/>
                </w:tcPr>
                <w:p w14:paraId="6BE69C6A">
                  <w:pPr>
                    <w:jc w:val="center"/>
                    <w:rPr>
                      <w:rFonts w:ascii="宋体" w:hAnsi="宋体" w:cs="宋体"/>
                      <w:color w:val="auto"/>
                      <w:sz w:val="18"/>
                      <w:szCs w:val="18"/>
                    </w:rPr>
                  </w:pPr>
                </w:p>
              </w:tc>
              <w:tc>
                <w:tcPr>
                  <w:tcW w:w="294" w:type="pct"/>
                  <w:shd w:val="clear" w:color="auto" w:fill="auto"/>
                  <w:vAlign w:val="center"/>
                </w:tcPr>
                <w:p w14:paraId="3EF06A0D">
                  <w:pPr>
                    <w:widowControl/>
                    <w:jc w:val="center"/>
                    <w:textAlignment w:val="center"/>
                    <w:rPr>
                      <w:color w:val="auto"/>
                      <w:sz w:val="18"/>
                      <w:szCs w:val="18"/>
                    </w:rPr>
                  </w:pPr>
                </w:p>
              </w:tc>
              <w:tc>
                <w:tcPr>
                  <w:tcW w:w="294" w:type="pct"/>
                  <w:shd w:val="clear" w:color="auto" w:fill="auto"/>
                  <w:noWrap/>
                  <w:vAlign w:val="center"/>
                </w:tcPr>
                <w:p w14:paraId="50AFE7F9">
                  <w:pPr>
                    <w:widowControl/>
                    <w:jc w:val="center"/>
                    <w:textAlignment w:val="center"/>
                    <w:rPr>
                      <w:color w:val="auto"/>
                      <w:sz w:val="18"/>
                      <w:szCs w:val="18"/>
                    </w:rPr>
                  </w:pPr>
                </w:p>
              </w:tc>
              <w:tc>
                <w:tcPr>
                  <w:tcW w:w="289" w:type="pct"/>
                  <w:shd w:val="clear" w:color="auto" w:fill="auto"/>
                  <w:noWrap/>
                  <w:vAlign w:val="center"/>
                </w:tcPr>
                <w:p w14:paraId="485DA8FD">
                  <w:pPr>
                    <w:widowControl/>
                    <w:jc w:val="center"/>
                    <w:textAlignment w:val="center"/>
                    <w:rPr>
                      <w:color w:val="auto"/>
                      <w:sz w:val="18"/>
                      <w:szCs w:val="18"/>
                    </w:rPr>
                  </w:pPr>
                </w:p>
              </w:tc>
            </w:tr>
            <w:tr w14:paraId="31F105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82" w:type="pct"/>
                  <w:shd w:val="clear" w:color="auto" w:fill="auto"/>
                  <w:noWrap/>
                  <w:vAlign w:val="center"/>
                </w:tcPr>
                <w:p w14:paraId="478C65AC">
                  <w:pPr>
                    <w:widowControl/>
                    <w:jc w:val="center"/>
                    <w:textAlignment w:val="center"/>
                    <w:rPr>
                      <w:rFonts w:ascii="宋体" w:hAnsi="宋体" w:cs="宋体"/>
                      <w:color w:val="auto"/>
                      <w:sz w:val="18"/>
                      <w:szCs w:val="18"/>
                    </w:rPr>
                  </w:pPr>
                </w:p>
              </w:tc>
              <w:tc>
                <w:tcPr>
                  <w:tcW w:w="317" w:type="pct"/>
                  <w:shd w:val="clear" w:color="auto" w:fill="auto"/>
                  <w:noWrap/>
                  <w:vAlign w:val="center"/>
                </w:tcPr>
                <w:p w14:paraId="7BD4D07C">
                  <w:pPr>
                    <w:widowControl/>
                    <w:jc w:val="center"/>
                    <w:textAlignment w:val="center"/>
                    <w:rPr>
                      <w:color w:val="auto"/>
                      <w:sz w:val="18"/>
                      <w:szCs w:val="18"/>
                    </w:rPr>
                  </w:pPr>
                </w:p>
              </w:tc>
              <w:tc>
                <w:tcPr>
                  <w:tcW w:w="653" w:type="pct"/>
                  <w:shd w:val="clear" w:color="auto" w:fill="auto"/>
                  <w:noWrap/>
                  <w:vAlign w:val="center"/>
                </w:tcPr>
                <w:p w14:paraId="446646B5">
                  <w:pPr>
                    <w:widowControl/>
                    <w:jc w:val="center"/>
                    <w:textAlignment w:val="center"/>
                    <w:rPr>
                      <w:color w:val="auto"/>
                      <w:sz w:val="18"/>
                      <w:szCs w:val="18"/>
                    </w:rPr>
                  </w:pPr>
                </w:p>
              </w:tc>
              <w:tc>
                <w:tcPr>
                  <w:tcW w:w="551" w:type="pct"/>
                  <w:shd w:val="clear" w:color="auto" w:fill="auto"/>
                  <w:vAlign w:val="bottom"/>
                </w:tcPr>
                <w:p w14:paraId="17995C09">
                  <w:pPr>
                    <w:widowControl/>
                    <w:jc w:val="center"/>
                    <w:textAlignment w:val="bottom"/>
                    <w:rPr>
                      <w:color w:val="auto"/>
                      <w:sz w:val="18"/>
                      <w:szCs w:val="18"/>
                    </w:rPr>
                  </w:pPr>
                </w:p>
              </w:tc>
              <w:tc>
                <w:tcPr>
                  <w:tcW w:w="368" w:type="pct"/>
                  <w:vMerge w:val="continue"/>
                  <w:shd w:val="clear" w:color="auto" w:fill="auto"/>
                  <w:vAlign w:val="center"/>
                </w:tcPr>
                <w:p w14:paraId="320B033D">
                  <w:pPr>
                    <w:jc w:val="center"/>
                    <w:rPr>
                      <w:rFonts w:ascii="宋体" w:hAnsi="宋体" w:cs="宋体"/>
                      <w:color w:val="auto"/>
                      <w:sz w:val="18"/>
                      <w:szCs w:val="18"/>
                    </w:rPr>
                  </w:pPr>
                </w:p>
              </w:tc>
              <w:tc>
                <w:tcPr>
                  <w:tcW w:w="865" w:type="dxa"/>
                  <w:shd w:val="clear" w:color="auto" w:fill="auto"/>
                  <w:noWrap/>
                  <w:vAlign w:val="bottom"/>
                </w:tcPr>
                <w:p w14:paraId="630B9907">
                  <w:pPr>
                    <w:widowControl/>
                    <w:jc w:val="center"/>
                    <w:textAlignment w:val="bottom"/>
                    <w:rPr>
                      <w:color w:val="auto"/>
                      <w:sz w:val="18"/>
                      <w:szCs w:val="18"/>
                    </w:rPr>
                  </w:pPr>
                </w:p>
              </w:tc>
              <w:tc>
                <w:tcPr>
                  <w:tcW w:w="645" w:type="dxa"/>
                  <w:shd w:val="clear" w:color="auto" w:fill="auto"/>
                  <w:noWrap/>
                  <w:vAlign w:val="bottom"/>
                </w:tcPr>
                <w:p w14:paraId="778501CA">
                  <w:pPr>
                    <w:widowControl/>
                    <w:jc w:val="center"/>
                    <w:textAlignment w:val="bottom"/>
                    <w:rPr>
                      <w:color w:val="auto"/>
                      <w:sz w:val="18"/>
                      <w:szCs w:val="18"/>
                    </w:rPr>
                  </w:pPr>
                </w:p>
              </w:tc>
              <w:tc>
                <w:tcPr>
                  <w:tcW w:w="222" w:type="pct"/>
                  <w:shd w:val="clear" w:color="auto" w:fill="auto"/>
                  <w:vAlign w:val="bottom"/>
                </w:tcPr>
                <w:p w14:paraId="3413CB6E">
                  <w:pPr>
                    <w:widowControl/>
                    <w:jc w:val="center"/>
                    <w:textAlignment w:val="bottom"/>
                    <w:rPr>
                      <w:color w:val="auto"/>
                      <w:sz w:val="18"/>
                      <w:szCs w:val="18"/>
                    </w:rPr>
                  </w:pPr>
                </w:p>
              </w:tc>
              <w:tc>
                <w:tcPr>
                  <w:tcW w:w="381" w:type="pct"/>
                  <w:shd w:val="clear" w:color="auto" w:fill="auto"/>
                  <w:vAlign w:val="bottom"/>
                </w:tcPr>
                <w:p w14:paraId="504343D3">
                  <w:pPr>
                    <w:widowControl/>
                    <w:jc w:val="center"/>
                    <w:textAlignment w:val="bottom"/>
                    <w:rPr>
                      <w:color w:val="auto"/>
                      <w:sz w:val="18"/>
                      <w:szCs w:val="18"/>
                    </w:rPr>
                  </w:pPr>
                </w:p>
              </w:tc>
              <w:tc>
                <w:tcPr>
                  <w:tcW w:w="294" w:type="pct"/>
                  <w:shd w:val="clear" w:color="auto" w:fill="auto"/>
                  <w:vAlign w:val="center"/>
                </w:tcPr>
                <w:p w14:paraId="782DE49A">
                  <w:pPr>
                    <w:widowControl/>
                    <w:jc w:val="center"/>
                    <w:textAlignment w:val="center"/>
                    <w:rPr>
                      <w:color w:val="auto"/>
                      <w:sz w:val="18"/>
                      <w:szCs w:val="18"/>
                    </w:rPr>
                  </w:pPr>
                </w:p>
              </w:tc>
              <w:tc>
                <w:tcPr>
                  <w:tcW w:w="288" w:type="pct"/>
                  <w:vMerge w:val="continue"/>
                  <w:shd w:val="clear" w:color="auto" w:fill="auto"/>
                  <w:noWrap/>
                  <w:vAlign w:val="center"/>
                </w:tcPr>
                <w:p w14:paraId="49EF136B">
                  <w:pPr>
                    <w:jc w:val="center"/>
                    <w:rPr>
                      <w:rFonts w:ascii="宋体" w:hAnsi="宋体" w:cs="宋体"/>
                      <w:color w:val="auto"/>
                      <w:sz w:val="18"/>
                      <w:szCs w:val="18"/>
                    </w:rPr>
                  </w:pPr>
                </w:p>
              </w:tc>
              <w:tc>
                <w:tcPr>
                  <w:tcW w:w="294" w:type="pct"/>
                  <w:shd w:val="clear" w:color="auto" w:fill="auto"/>
                  <w:vAlign w:val="center"/>
                </w:tcPr>
                <w:p w14:paraId="4ACC6E05">
                  <w:pPr>
                    <w:widowControl/>
                    <w:jc w:val="center"/>
                    <w:textAlignment w:val="center"/>
                    <w:rPr>
                      <w:color w:val="auto"/>
                      <w:sz w:val="18"/>
                      <w:szCs w:val="18"/>
                    </w:rPr>
                  </w:pPr>
                </w:p>
              </w:tc>
              <w:tc>
                <w:tcPr>
                  <w:tcW w:w="294" w:type="pct"/>
                  <w:shd w:val="clear" w:color="auto" w:fill="auto"/>
                  <w:noWrap/>
                  <w:vAlign w:val="center"/>
                </w:tcPr>
                <w:p w14:paraId="46C1C7EC">
                  <w:pPr>
                    <w:widowControl/>
                    <w:jc w:val="center"/>
                    <w:textAlignment w:val="center"/>
                    <w:rPr>
                      <w:color w:val="auto"/>
                      <w:sz w:val="18"/>
                      <w:szCs w:val="18"/>
                    </w:rPr>
                  </w:pPr>
                </w:p>
              </w:tc>
              <w:tc>
                <w:tcPr>
                  <w:tcW w:w="289" w:type="pct"/>
                  <w:shd w:val="clear" w:color="auto" w:fill="auto"/>
                  <w:noWrap/>
                  <w:vAlign w:val="center"/>
                </w:tcPr>
                <w:p w14:paraId="0BD55493">
                  <w:pPr>
                    <w:widowControl/>
                    <w:jc w:val="center"/>
                    <w:textAlignment w:val="center"/>
                    <w:rPr>
                      <w:color w:val="auto"/>
                      <w:sz w:val="18"/>
                      <w:szCs w:val="18"/>
                    </w:rPr>
                  </w:pPr>
                </w:p>
              </w:tc>
            </w:tr>
            <w:tr w14:paraId="134A18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82" w:type="pct"/>
                  <w:shd w:val="clear" w:color="auto" w:fill="auto"/>
                  <w:noWrap/>
                  <w:vAlign w:val="center"/>
                </w:tcPr>
                <w:p w14:paraId="166C0C29">
                  <w:pPr>
                    <w:widowControl/>
                    <w:jc w:val="center"/>
                    <w:textAlignment w:val="center"/>
                    <w:rPr>
                      <w:rFonts w:ascii="宋体" w:hAnsi="宋体" w:cs="宋体"/>
                      <w:color w:val="auto"/>
                      <w:sz w:val="18"/>
                      <w:szCs w:val="18"/>
                    </w:rPr>
                  </w:pPr>
                </w:p>
              </w:tc>
              <w:tc>
                <w:tcPr>
                  <w:tcW w:w="317" w:type="pct"/>
                  <w:shd w:val="clear" w:color="auto" w:fill="auto"/>
                  <w:vAlign w:val="bottom"/>
                </w:tcPr>
                <w:p w14:paraId="147C408B">
                  <w:pPr>
                    <w:widowControl/>
                    <w:jc w:val="center"/>
                    <w:textAlignment w:val="bottom"/>
                    <w:rPr>
                      <w:color w:val="auto"/>
                      <w:sz w:val="18"/>
                      <w:szCs w:val="18"/>
                    </w:rPr>
                  </w:pPr>
                </w:p>
              </w:tc>
              <w:tc>
                <w:tcPr>
                  <w:tcW w:w="653" w:type="pct"/>
                  <w:shd w:val="clear" w:color="auto" w:fill="auto"/>
                  <w:noWrap/>
                  <w:vAlign w:val="center"/>
                </w:tcPr>
                <w:p w14:paraId="2F31CE52">
                  <w:pPr>
                    <w:widowControl/>
                    <w:jc w:val="center"/>
                    <w:textAlignment w:val="center"/>
                    <w:rPr>
                      <w:color w:val="auto"/>
                      <w:sz w:val="18"/>
                      <w:szCs w:val="18"/>
                    </w:rPr>
                  </w:pPr>
                </w:p>
              </w:tc>
              <w:tc>
                <w:tcPr>
                  <w:tcW w:w="551" w:type="pct"/>
                  <w:shd w:val="clear" w:color="auto" w:fill="auto"/>
                  <w:vAlign w:val="bottom"/>
                </w:tcPr>
                <w:p w14:paraId="076D7829">
                  <w:pPr>
                    <w:widowControl/>
                    <w:jc w:val="center"/>
                    <w:textAlignment w:val="bottom"/>
                    <w:rPr>
                      <w:color w:val="auto"/>
                      <w:sz w:val="18"/>
                      <w:szCs w:val="18"/>
                    </w:rPr>
                  </w:pPr>
                </w:p>
              </w:tc>
              <w:tc>
                <w:tcPr>
                  <w:tcW w:w="368" w:type="pct"/>
                  <w:vMerge w:val="continue"/>
                  <w:shd w:val="clear" w:color="auto" w:fill="auto"/>
                  <w:vAlign w:val="center"/>
                </w:tcPr>
                <w:p w14:paraId="51380423">
                  <w:pPr>
                    <w:jc w:val="center"/>
                    <w:rPr>
                      <w:rFonts w:ascii="宋体" w:hAnsi="宋体" w:cs="宋体"/>
                      <w:color w:val="auto"/>
                      <w:sz w:val="18"/>
                      <w:szCs w:val="18"/>
                    </w:rPr>
                  </w:pPr>
                </w:p>
              </w:tc>
              <w:tc>
                <w:tcPr>
                  <w:tcW w:w="865" w:type="dxa"/>
                  <w:shd w:val="clear" w:color="auto" w:fill="auto"/>
                  <w:noWrap/>
                  <w:vAlign w:val="bottom"/>
                </w:tcPr>
                <w:p w14:paraId="653E04EE">
                  <w:pPr>
                    <w:widowControl/>
                    <w:jc w:val="center"/>
                    <w:textAlignment w:val="bottom"/>
                    <w:rPr>
                      <w:color w:val="auto"/>
                      <w:sz w:val="18"/>
                      <w:szCs w:val="18"/>
                    </w:rPr>
                  </w:pPr>
                </w:p>
              </w:tc>
              <w:tc>
                <w:tcPr>
                  <w:tcW w:w="645" w:type="dxa"/>
                  <w:shd w:val="clear" w:color="auto" w:fill="auto"/>
                  <w:noWrap/>
                  <w:vAlign w:val="bottom"/>
                </w:tcPr>
                <w:p w14:paraId="17AC0854">
                  <w:pPr>
                    <w:widowControl/>
                    <w:jc w:val="center"/>
                    <w:textAlignment w:val="bottom"/>
                    <w:rPr>
                      <w:color w:val="auto"/>
                      <w:sz w:val="18"/>
                      <w:szCs w:val="18"/>
                    </w:rPr>
                  </w:pPr>
                </w:p>
              </w:tc>
              <w:tc>
                <w:tcPr>
                  <w:tcW w:w="222" w:type="pct"/>
                  <w:shd w:val="clear" w:color="auto" w:fill="auto"/>
                  <w:vAlign w:val="bottom"/>
                </w:tcPr>
                <w:p w14:paraId="59038B15">
                  <w:pPr>
                    <w:widowControl/>
                    <w:jc w:val="center"/>
                    <w:textAlignment w:val="bottom"/>
                    <w:rPr>
                      <w:color w:val="auto"/>
                      <w:sz w:val="18"/>
                      <w:szCs w:val="18"/>
                    </w:rPr>
                  </w:pPr>
                </w:p>
              </w:tc>
              <w:tc>
                <w:tcPr>
                  <w:tcW w:w="381" w:type="pct"/>
                  <w:shd w:val="clear" w:color="auto" w:fill="auto"/>
                  <w:noWrap/>
                  <w:vAlign w:val="bottom"/>
                </w:tcPr>
                <w:p w14:paraId="0A4E3D0D">
                  <w:pPr>
                    <w:widowControl/>
                    <w:jc w:val="center"/>
                    <w:textAlignment w:val="bottom"/>
                    <w:rPr>
                      <w:color w:val="auto"/>
                      <w:sz w:val="18"/>
                      <w:szCs w:val="18"/>
                    </w:rPr>
                  </w:pPr>
                </w:p>
              </w:tc>
              <w:tc>
                <w:tcPr>
                  <w:tcW w:w="294" w:type="pct"/>
                  <w:shd w:val="clear" w:color="auto" w:fill="auto"/>
                  <w:vAlign w:val="center"/>
                </w:tcPr>
                <w:p w14:paraId="182BA676">
                  <w:pPr>
                    <w:widowControl/>
                    <w:jc w:val="center"/>
                    <w:textAlignment w:val="center"/>
                    <w:rPr>
                      <w:color w:val="auto"/>
                      <w:sz w:val="18"/>
                      <w:szCs w:val="18"/>
                    </w:rPr>
                  </w:pPr>
                </w:p>
              </w:tc>
              <w:tc>
                <w:tcPr>
                  <w:tcW w:w="288" w:type="pct"/>
                  <w:vMerge w:val="continue"/>
                  <w:shd w:val="clear" w:color="auto" w:fill="auto"/>
                  <w:noWrap/>
                  <w:vAlign w:val="center"/>
                </w:tcPr>
                <w:p w14:paraId="3E5534D7">
                  <w:pPr>
                    <w:jc w:val="center"/>
                    <w:rPr>
                      <w:rFonts w:ascii="宋体" w:hAnsi="宋体" w:cs="宋体"/>
                      <w:color w:val="auto"/>
                      <w:sz w:val="18"/>
                      <w:szCs w:val="18"/>
                    </w:rPr>
                  </w:pPr>
                </w:p>
              </w:tc>
              <w:tc>
                <w:tcPr>
                  <w:tcW w:w="294" w:type="pct"/>
                  <w:shd w:val="clear" w:color="auto" w:fill="auto"/>
                  <w:vAlign w:val="center"/>
                </w:tcPr>
                <w:p w14:paraId="7B4D6426">
                  <w:pPr>
                    <w:widowControl/>
                    <w:jc w:val="center"/>
                    <w:textAlignment w:val="center"/>
                    <w:rPr>
                      <w:color w:val="auto"/>
                      <w:sz w:val="18"/>
                      <w:szCs w:val="18"/>
                    </w:rPr>
                  </w:pPr>
                </w:p>
              </w:tc>
              <w:tc>
                <w:tcPr>
                  <w:tcW w:w="294" w:type="pct"/>
                  <w:shd w:val="clear" w:color="auto" w:fill="auto"/>
                  <w:noWrap/>
                  <w:vAlign w:val="center"/>
                </w:tcPr>
                <w:p w14:paraId="1DF03B9E">
                  <w:pPr>
                    <w:widowControl/>
                    <w:jc w:val="center"/>
                    <w:textAlignment w:val="center"/>
                    <w:rPr>
                      <w:color w:val="auto"/>
                      <w:sz w:val="18"/>
                      <w:szCs w:val="18"/>
                    </w:rPr>
                  </w:pPr>
                </w:p>
              </w:tc>
              <w:tc>
                <w:tcPr>
                  <w:tcW w:w="289" w:type="pct"/>
                  <w:shd w:val="clear" w:color="auto" w:fill="auto"/>
                  <w:noWrap/>
                  <w:vAlign w:val="center"/>
                </w:tcPr>
                <w:p w14:paraId="7D97573F">
                  <w:pPr>
                    <w:widowControl/>
                    <w:jc w:val="center"/>
                    <w:textAlignment w:val="center"/>
                    <w:rPr>
                      <w:color w:val="auto"/>
                      <w:sz w:val="18"/>
                      <w:szCs w:val="18"/>
                    </w:rPr>
                  </w:pPr>
                </w:p>
              </w:tc>
            </w:tr>
          </w:tbl>
          <w:p w14:paraId="3B4E3684">
            <w:pPr>
              <w:snapToGrid w:val="0"/>
              <w:spacing w:line="500" w:lineRule="exact"/>
              <w:jc w:val="center"/>
              <w:rPr>
                <w:b/>
                <w:color w:val="auto"/>
                <w:szCs w:val="21"/>
              </w:rPr>
            </w:pPr>
            <w:r>
              <w:rPr>
                <w:b/>
                <w:color w:val="auto"/>
                <w:szCs w:val="21"/>
              </w:rPr>
              <w:t>表4-6  项目主要噪声污染源一览表</w:t>
            </w:r>
            <w:r>
              <w:rPr>
                <w:rFonts w:hint="eastAsia"/>
                <w:b/>
                <w:color w:val="auto"/>
                <w:szCs w:val="21"/>
              </w:rPr>
              <w:t>（室外）</w:t>
            </w:r>
          </w:p>
          <w:tbl>
            <w:tblPr>
              <w:tblStyle w:val="21"/>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213"/>
              <w:gridCol w:w="808"/>
              <w:gridCol w:w="2196"/>
              <w:gridCol w:w="1452"/>
              <w:gridCol w:w="1315"/>
              <w:gridCol w:w="1305"/>
              <w:gridCol w:w="1275"/>
              <w:gridCol w:w="1449"/>
              <w:gridCol w:w="1280"/>
              <w:gridCol w:w="1123"/>
            </w:tblGrid>
            <w:tr w14:paraId="27065B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52" w:type="pct"/>
                  <w:vMerge w:val="restart"/>
                  <w:shd w:val="clear" w:color="auto" w:fill="auto"/>
                  <w:vAlign w:val="center"/>
                </w:tcPr>
                <w:p w14:paraId="281147BF">
                  <w:pPr>
                    <w:widowControl/>
                    <w:jc w:val="center"/>
                    <w:textAlignment w:val="center"/>
                    <w:rPr>
                      <w:rFonts w:ascii="宋体" w:hAnsi="宋体" w:cs="宋体"/>
                      <w:color w:val="auto"/>
                      <w:sz w:val="18"/>
                      <w:szCs w:val="18"/>
                    </w:rPr>
                  </w:pPr>
                </w:p>
              </w:tc>
              <w:tc>
                <w:tcPr>
                  <w:tcW w:w="301" w:type="pct"/>
                  <w:vMerge w:val="restart"/>
                  <w:shd w:val="clear" w:color="auto" w:fill="auto"/>
                  <w:vAlign w:val="center"/>
                </w:tcPr>
                <w:p w14:paraId="0EA9733F">
                  <w:pPr>
                    <w:widowControl/>
                    <w:jc w:val="center"/>
                    <w:textAlignment w:val="center"/>
                    <w:rPr>
                      <w:rFonts w:ascii="宋体" w:hAnsi="宋体" w:cs="宋体"/>
                      <w:color w:val="auto"/>
                      <w:sz w:val="18"/>
                      <w:szCs w:val="18"/>
                    </w:rPr>
                  </w:pPr>
                </w:p>
              </w:tc>
              <w:tc>
                <w:tcPr>
                  <w:tcW w:w="818" w:type="pct"/>
                  <w:vMerge w:val="restart"/>
                  <w:shd w:val="clear" w:color="auto" w:fill="auto"/>
                  <w:vAlign w:val="center"/>
                </w:tcPr>
                <w:p w14:paraId="31BCF8FE">
                  <w:pPr>
                    <w:widowControl/>
                    <w:jc w:val="center"/>
                    <w:textAlignment w:val="center"/>
                    <w:rPr>
                      <w:rFonts w:ascii="宋体" w:hAnsi="宋体" w:cs="宋体"/>
                      <w:color w:val="auto"/>
                      <w:sz w:val="18"/>
                      <w:szCs w:val="18"/>
                    </w:rPr>
                  </w:pPr>
                </w:p>
              </w:tc>
              <w:tc>
                <w:tcPr>
                  <w:tcW w:w="541" w:type="pct"/>
                  <w:vMerge w:val="restart"/>
                  <w:shd w:val="clear" w:color="auto" w:fill="auto"/>
                  <w:vAlign w:val="center"/>
                </w:tcPr>
                <w:p w14:paraId="4A067D34">
                  <w:pPr>
                    <w:widowControl/>
                    <w:jc w:val="center"/>
                    <w:textAlignment w:val="center"/>
                    <w:rPr>
                      <w:rFonts w:ascii="宋体" w:hAnsi="宋体" w:cs="宋体"/>
                      <w:color w:val="auto"/>
                      <w:sz w:val="18"/>
                      <w:szCs w:val="18"/>
                    </w:rPr>
                  </w:pPr>
                </w:p>
              </w:tc>
              <w:tc>
                <w:tcPr>
                  <w:tcW w:w="1451" w:type="pct"/>
                  <w:gridSpan w:val="3"/>
                  <w:shd w:val="clear" w:color="auto" w:fill="auto"/>
                  <w:vAlign w:val="center"/>
                </w:tcPr>
                <w:p w14:paraId="251471BE">
                  <w:pPr>
                    <w:widowControl/>
                    <w:jc w:val="center"/>
                    <w:textAlignment w:val="center"/>
                    <w:rPr>
                      <w:rFonts w:ascii="宋体" w:hAnsi="宋体" w:cs="宋体"/>
                      <w:color w:val="auto"/>
                      <w:sz w:val="18"/>
                      <w:szCs w:val="18"/>
                    </w:rPr>
                  </w:pPr>
                </w:p>
              </w:tc>
              <w:tc>
                <w:tcPr>
                  <w:tcW w:w="540" w:type="pct"/>
                  <w:vMerge w:val="restart"/>
                  <w:shd w:val="clear" w:color="auto" w:fill="auto"/>
                  <w:vAlign w:val="center"/>
                </w:tcPr>
                <w:p w14:paraId="0797262D">
                  <w:pPr>
                    <w:widowControl/>
                    <w:jc w:val="center"/>
                    <w:textAlignment w:val="center"/>
                    <w:rPr>
                      <w:rFonts w:ascii="宋体" w:hAnsi="宋体" w:cs="宋体"/>
                      <w:color w:val="auto"/>
                      <w:sz w:val="18"/>
                      <w:szCs w:val="18"/>
                    </w:rPr>
                  </w:pPr>
                </w:p>
              </w:tc>
              <w:tc>
                <w:tcPr>
                  <w:tcW w:w="477" w:type="pct"/>
                  <w:vMerge w:val="restart"/>
                  <w:shd w:val="clear" w:color="auto" w:fill="auto"/>
                  <w:vAlign w:val="center"/>
                </w:tcPr>
                <w:p w14:paraId="07C839CB">
                  <w:pPr>
                    <w:widowControl/>
                    <w:jc w:val="center"/>
                    <w:textAlignment w:val="center"/>
                    <w:rPr>
                      <w:rFonts w:ascii="宋体" w:hAnsi="宋体" w:cs="宋体"/>
                      <w:color w:val="auto"/>
                      <w:sz w:val="18"/>
                      <w:szCs w:val="18"/>
                    </w:rPr>
                  </w:pPr>
                </w:p>
              </w:tc>
              <w:tc>
                <w:tcPr>
                  <w:tcW w:w="418" w:type="pct"/>
                  <w:vMerge w:val="restart"/>
                  <w:shd w:val="clear" w:color="auto" w:fill="auto"/>
                  <w:vAlign w:val="center"/>
                </w:tcPr>
                <w:p w14:paraId="54B8D965">
                  <w:pPr>
                    <w:widowControl/>
                    <w:jc w:val="center"/>
                    <w:textAlignment w:val="center"/>
                    <w:rPr>
                      <w:rFonts w:ascii="宋体" w:hAnsi="宋体" w:cs="宋体"/>
                      <w:color w:val="auto"/>
                      <w:sz w:val="18"/>
                      <w:szCs w:val="18"/>
                    </w:rPr>
                  </w:pPr>
                </w:p>
              </w:tc>
            </w:tr>
            <w:tr w14:paraId="3BA412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52" w:type="pct"/>
                  <w:vMerge w:val="continue"/>
                  <w:shd w:val="clear" w:color="auto" w:fill="auto"/>
                  <w:vAlign w:val="center"/>
                </w:tcPr>
                <w:p w14:paraId="141C9704">
                  <w:pPr>
                    <w:jc w:val="center"/>
                    <w:rPr>
                      <w:rFonts w:ascii="宋体" w:hAnsi="宋体" w:cs="宋体"/>
                      <w:color w:val="auto"/>
                      <w:sz w:val="18"/>
                      <w:szCs w:val="18"/>
                    </w:rPr>
                  </w:pPr>
                </w:p>
              </w:tc>
              <w:tc>
                <w:tcPr>
                  <w:tcW w:w="301" w:type="pct"/>
                  <w:vMerge w:val="continue"/>
                  <w:shd w:val="clear" w:color="auto" w:fill="auto"/>
                  <w:vAlign w:val="center"/>
                </w:tcPr>
                <w:p w14:paraId="260C39E9">
                  <w:pPr>
                    <w:jc w:val="center"/>
                    <w:rPr>
                      <w:rFonts w:ascii="宋体" w:hAnsi="宋体" w:cs="宋体"/>
                      <w:color w:val="auto"/>
                      <w:sz w:val="18"/>
                      <w:szCs w:val="18"/>
                    </w:rPr>
                  </w:pPr>
                </w:p>
              </w:tc>
              <w:tc>
                <w:tcPr>
                  <w:tcW w:w="818" w:type="pct"/>
                  <w:vMerge w:val="continue"/>
                  <w:shd w:val="clear" w:color="auto" w:fill="auto"/>
                  <w:vAlign w:val="center"/>
                </w:tcPr>
                <w:p w14:paraId="13577EA1">
                  <w:pPr>
                    <w:jc w:val="center"/>
                    <w:rPr>
                      <w:rFonts w:ascii="宋体" w:hAnsi="宋体" w:cs="宋体"/>
                      <w:color w:val="auto"/>
                      <w:sz w:val="18"/>
                      <w:szCs w:val="18"/>
                    </w:rPr>
                  </w:pPr>
                </w:p>
              </w:tc>
              <w:tc>
                <w:tcPr>
                  <w:tcW w:w="541" w:type="pct"/>
                  <w:vMerge w:val="continue"/>
                  <w:shd w:val="clear" w:color="auto" w:fill="auto"/>
                  <w:vAlign w:val="center"/>
                </w:tcPr>
                <w:p w14:paraId="578397DD">
                  <w:pPr>
                    <w:jc w:val="center"/>
                    <w:rPr>
                      <w:rFonts w:ascii="宋体" w:hAnsi="宋体" w:cs="宋体"/>
                      <w:color w:val="auto"/>
                      <w:sz w:val="18"/>
                      <w:szCs w:val="18"/>
                    </w:rPr>
                  </w:pPr>
                </w:p>
              </w:tc>
              <w:tc>
                <w:tcPr>
                  <w:tcW w:w="490" w:type="pct"/>
                  <w:shd w:val="clear" w:color="auto" w:fill="auto"/>
                  <w:vAlign w:val="center"/>
                </w:tcPr>
                <w:p w14:paraId="7D782F56">
                  <w:pPr>
                    <w:widowControl/>
                    <w:jc w:val="center"/>
                    <w:textAlignment w:val="center"/>
                    <w:rPr>
                      <w:color w:val="auto"/>
                      <w:sz w:val="18"/>
                      <w:szCs w:val="18"/>
                    </w:rPr>
                  </w:pPr>
                </w:p>
              </w:tc>
              <w:tc>
                <w:tcPr>
                  <w:tcW w:w="486" w:type="pct"/>
                  <w:shd w:val="clear" w:color="auto" w:fill="auto"/>
                  <w:vAlign w:val="center"/>
                </w:tcPr>
                <w:p w14:paraId="7C73C225">
                  <w:pPr>
                    <w:widowControl/>
                    <w:jc w:val="center"/>
                    <w:textAlignment w:val="center"/>
                    <w:rPr>
                      <w:color w:val="auto"/>
                      <w:sz w:val="18"/>
                      <w:szCs w:val="18"/>
                    </w:rPr>
                  </w:pPr>
                </w:p>
              </w:tc>
              <w:tc>
                <w:tcPr>
                  <w:tcW w:w="475" w:type="pct"/>
                  <w:shd w:val="clear" w:color="auto" w:fill="auto"/>
                  <w:vAlign w:val="center"/>
                </w:tcPr>
                <w:p w14:paraId="3587D513">
                  <w:pPr>
                    <w:widowControl/>
                    <w:jc w:val="center"/>
                    <w:textAlignment w:val="center"/>
                    <w:rPr>
                      <w:color w:val="auto"/>
                      <w:sz w:val="18"/>
                      <w:szCs w:val="18"/>
                    </w:rPr>
                  </w:pPr>
                </w:p>
              </w:tc>
              <w:tc>
                <w:tcPr>
                  <w:tcW w:w="540" w:type="pct"/>
                  <w:vMerge w:val="continue"/>
                  <w:shd w:val="clear" w:color="auto" w:fill="auto"/>
                  <w:vAlign w:val="center"/>
                </w:tcPr>
                <w:p w14:paraId="3DC47D1E">
                  <w:pPr>
                    <w:jc w:val="center"/>
                    <w:rPr>
                      <w:rFonts w:ascii="宋体" w:hAnsi="宋体" w:cs="宋体"/>
                      <w:color w:val="auto"/>
                      <w:sz w:val="18"/>
                      <w:szCs w:val="18"/>
                    </w:rPr>
                  </w:pPr>
                </w:p>
              </w:tc>
              <w:tc>
                <w:tcPr>
                  <w:tcW w:w="477" w:type="pct"/>
                  <w:vMerge w:val="continue"/>
                  <w:shd w:val="clear" w:color="auto" w:fill="auto"/>
                  <w:vAlign w:val="center"/>
                </w:tcPr>
                <w:p w14:paraId="10CEA323">
                  <w:pPr>
                    <w:jc w:val="center"/>
                    <w:rPr>
                      <w:rFonts w:ascii="宋体" w:hAnsi="宋体" w:cs="宋体"/>
                      <w:color w:val="auto"/>
                      <w:sz w:val="18"/>
                      <w:szCs w:val="18"/>
                    </w:rPr>
                  </w:pPr>
                </w:p>
              </w:tc>
              <w:tc>
                <w:tcPr>
                  <w:tcW w:w="418" w:type="pct"/>
                  <w:vMerge w:val="continue"/>
                  <w:shd w:val="clear" w:color="auto" w:fill="auto"/>
                  <w:vAlign w:val="center"/>
                </w:tcPr>
                <w:p w14:paraId="6DBFB141">
                  <w:pPr>
                    <w:jc w:val="center"/>
                    <w:rPr>
                      <w:rFonts w:ascii="宋体" w:hAnsi="宋体" w:cs="宋体"/>
                      <w:color w:val="auto"/>
                      <w:sz w:val="18"/>
                      <w:szCs w:val="18"/>
                    </w:rPr>
                  </w:pPr>
                </w:p>
              </w:tc>
            </w:tr>
            <w:tr w14:paraId="5E9243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52" w:type="pct"/>
                  <w:shd w:val="clear" w:color="auto" w:fill="auto"/>
                  <w:noWrap/>
                  <w:vAlign w:val="center"/>
                </w:tcPr>
                <w:p w14:paraId="5C7ED24B">
                  <w:pPr>
                    <w:widowControl/>
                    <w:jc w:val="center"/>
                    <w:textAlignment w:val="center"/>
                    <w:rPr>
                      <w:color w:val="auto"/>
                      <w:sz w:val="18"/>
                      <w:szCs w:val="18"/>
                    </w:rPr>
                  </w:pPr>
                </w:p>
              </w:tc>
              <w:tc>
                <w:tcPr>
                  <w:tcW w:w="301" w:type="pct"/>
                  <w:vMerge w:val="restart"/>
                  <w:shd w:val="clear" w:color="auto" w:fill="auto"/>
                  <w:vAlign w:val="center"/>
                </w:tcPr>
                <w:p w14:paraId="794138C4">
                  <w:pPr>
                    <w:widowControl/>
                    <w:jc w:val="center"/>
                    <w:textAlignment w:val="center"/>
                    <w:rPr>
                      <w:color w:val="auto"/>
                      <w:sz w:val="18"/>
                      <w:szCs w:val="18"/>
                    </w:rPr>
                  </w:pPr>
                </w:p>
              </w:tc>
              <w:tc>
                <w:tcPr>
                  <w:tcW w:w="818" w:type="pct"/>
                  <w:shd w:val="clear" w:color="auto" w:fill="auto"/>
                  <w:noWrap/>
                  <w:vAlign w:val="center"/>
                </w:tcPr>
                <w:p w14:paraId="50A718DF">
                  <w:pPr>
                    <w:widowControl/>
                    <w:jc w:val="center"/>
                    <w:textAlignment w:val="center"/>
                    <w:rPr>
                      <w:color w:val="auto"/>
                      <w:sz w:val="18"/>
                      <w:szCs w:val="18"/>
                    </w:rPr>
                  </w:pPr>
                </w:p>
              </w:tc>
              <w:tc>
                <w:tcPr>
                  <w:tcW w:w="541" w:type="pct"/>
                  <w:shd w:val="clear" w:color="auto" w:fill="auto"/>
                  <w:noWrap/>
                  <w:vAlign w:val="center"/>
                </w:tcPr>
                <w:p w14:paraId="29403E46">
                  <w:pPr>
                    <w:widowControl/>
                    <w:jc w:val="center"/>
                    <w:textAlignment w:val="center"/>
                    <w:rPr>
                      <w:color w:val="auto"/>
                      <w:sz w:val="18"/>
                      <w:szCs w:val="18"/>
                    </w:rPr>
                  </w:pPr>
                </w:p>
              </w:tc>
              <w:tc>
                <w:tcPr>
                  <w:tcW w:w="490" w:type="pct"/>
                  <w:shd w:val="clear" w:color="auto" w:fill="auto"/>
                  <w:noWrap/>
                  <w:vAlign w:val="center"/>
                </w:tcPr>
                <w:p w14:paraId="41FFEF2B">
                  <w:pPr>
                    <w:widowControl/>
                    <w:jc w:val="center"/>
                    <w:textAlignment w:val="center"/>
                    <w:rPr>
                      <w:color w:val="auto"/>
                      <w:sz w:val="18"/>
                      <w:szCs w:val="18"/>
                    </w:rPr>
                  </w:pPr>
                </w:p>
              </w:tc>
              <w:tc>
                <w:tcPr>
                  <w:tcW w:w="486" w:type="pct"/>
                  <w:shd w:val="clear" w:color="auto" w:fill="auto"/>
                  <w:noWrap/>
                  <w:vAlign w:val="center"/>
                </w:tcPr>
                <w:p w14:paraId="105A48E8">
                  <w:pPr>
                    <w:widowControl/>
                    <w:jc w:val="center"/>
                    <w:textAlignment w:val="center"/>
                    <w:rPr>
                      <w:color w:val="auto"/>
                      <w:sz w:val="18"/>
                      <w:szCs w:val="18"/>
                    </w:rPr>
                  </w:pPr>
                </w:p>
              </w:tc>
              <w:tc>
                <w:tcPr>
                  <w:tcW w:w="475" w:type="pct"/>
                  <w:shd w:val="clear" w:color="auto" w:fill="auto"/>
                  <w:noWrap/>
                  <w:vAlign w:val="center"/>
                </w:tcPr>
                <w:p w14:paraId="169B39B5">
                  <w:pPr>
                    <w:widowControl/>
                    <w:jc w:val="center"/>
                    <w:textAlignment w:val="center"/>
                    <w:rPr>
                      <w:color w:val="auto"/>
                      <w:sz w:val="18"/>
                      <w:szCs w:val="18"/>
                    </w:rPr>
                  </w:pPr>
                </w:p>
              </w:tc>
              <w:tc>
                <w:tcPr>
                  <w:tcW w:w="540" w:type="pct"/>
                  <w:shd w:val="clear" w:color="auto" w:fill="auto"/>
                  <w:vAlign w:val="center"/>
                </w:tcPr>
                <w:p w14:paraId="30793701">
                  <w:pPr>
                    <w:widowControl/>
                    <w:jc w:val="center"/>
                    <w:textAlignment w:val="center"/>
                    <w:rPr>
                      <w:color w:val="auto"/>
                      <w:sz w:val="18"/>
                      <w:szCs w:val="18"/>
                    </w:rPr>
                  </w:pPr>
                </w:p>
              </w:tc>
              <w:tc>
                <w:tcPr>
                  <w:tcW w:w="477" w:type="pct"/>
                  <w:vMerge w:val="restart"/>
                  <w:shd w:val="clear" w:color="auto" w:fill="auto"/>
                  <w:vAlign w:val="center"/>
                </w:tcPr>
                <w:p w14:paraId="19B5157C">
                  <w:pPr>
                    <w:widowControl/>
                    <w:jc w:val="center"/>
                    <w:textAlignment w:val="center"/>
                    <w:rPr>
                      <w:rFonts w:ascii="宋体" w:hAnsi="宋体" w:cs="宋体"/>
                      <w:color w:val="auto"/>
                      <w:sz w:val="18"/>
                      <w:szCs w:val="18"/>
                    </w:rPr>
                  </w:pPr>
                </w:p>
              </w:tc>
              <w:tc>
                <w:tcPr>
                  <w:tcW w:w="418" w:type="pct"/>
                  <w:vMerge w:val="restart"/>
                  <w:shd w:val="clear" w:color="auto" w:fill="auto"/>
                  <w:vAlign w:val="center"/>
                </w:tcPr>
                <w:p w14:paraId="49319368">
                  <w:pPr>
                    <w:widowControl/>
                    <w:jc w:val="center"/>
                    <w:textAlignment w:val="center"/>
                    <w:rPr>
                      <w:rFonts w:ascii="宋体" w:hAnsi="宋体" w:cs="宋体"/>
                      <w:color w:val="auto"/>
                      <w:sz w:val="18"/>
                      <w:szCs w:val="18"/>
                    </w:rPr>
                  </w:pPr>
                </w:p>
              </w:tc>
            </w:tr>
            <w:tr w14:paraId="107E96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52" w:type="pct"/>
                  <w:shd w:val="clear" w:color="auto" w:fill="auto"/>
                  <w:noWrap/>
                  <w:vAlign w:val="center"/>
                </w:tcPr>
                <w:p w14:paraId="2D374118">
                  <w:pPr>
                    <w:widowControl/>
                    <w:jc w:val="center"/>
                    <w:textAlignment w:val="center"/>
                    <w:rPr>
                      <w:color w:val="auto"/>
                      <w:sz w:val="18"/>
                      <w:szCs w:val="18"/>
                    </w:rPr>
                  </w:pPr>
                </w:p>
              </w:tc>
              <w:tc>
                <w:tcPr>
                  <w:tcW w:w="301" w:type="pct"/>
                  <w:vMerge w:val="continue"/>
                  <w:shd w:val="clear" w:color="auto" w:fill="auto"/>
                  <w:vAlign w:val="center"/>
                </w:tcPr>
                <w:p w14:paraId="58C3AFCD">
                  <w:pPr>
                    <w:jc w:val="center"/>
                    <w:rPr>
                      <w:color w:val="auto"/>
                      <w:sz w:val="18"/>
                      <w:szCs w:val="18"/>
                    </w:rPr>
                  </w:pPr>
                </w:p>
              </w:tc>
              <w:tc>
                <w:tcPr>
                  <w:tcW w:w="818" w:type="pct"/>
                  <w:shd w:val="clear" w:color="auto" w:fill="auto"/>
                  <w:noWrap/>
                  <w:vAlign w:val="center"/>
                </w:tcPr>
                <w:p w14:paraId="5494F239">
                  <w:pPr>
                    <w:widowControl/>
                    <w:jc w:val="center"/>
                    <w:textAlignment w:val="center"/>
                    <w:rPr>
                      <w:color w:val="auto"/>
                      <w:sz w:val="18"/>
                      <w:szCs w:val="18"/>
                    </w:rPr>
                  </w:pPr>
                </w:p>
              </w:tc>
              <w:tc>
                <w:tcPr>
                  <w:tcW w:w="541" w:type="pct"/>
                  <w:shd w:val="clear" w:color="auto" w:fill="auto"/>
                  <w:noWrap/>
                  <w:vAlign w:val="center"/>
                </w:tcPr>
                <w:p w14:paraId="64B08DE2">
                  <w:pPr>
                    <w:widowControl/>
                    <w:jc w:val="center"/>
                    <w:textAlignment w:val="center"/>
                    <w:rPr>
                      <w:color w:val="auto"/>
                      <w:sz w:val="18"/>
                      <w:szCs w:val="18"/>
                    </w:rPr>
                  </w:pPr>
                </w:p>
              </w:tc>
              <w:tc>
                <w:tcPr>
                  <w:tcW w:w="490" w:type="pct"/>
                  <w:shd w:val="clear" w:color="auto" w:fill="auto"/>
                  <w:noWrap/>
                  <w:vAlign w:val="center"/>
                </w:tcPr>
                <w:p w14:paraId="58576675">
                  <w:pPr>
                    <w:widowControl/>
                    <w:jc w:val="center"/>
                    <w:textAlignment w:val="center"/>
                    <w:rPr>
                      <w:color w:val="auto"/>
                      <w:sz w:val="18"/>
                      <w:szCs w:val="18"/>
                    </w:rPr>
                  </w:pPr>
                </w:p>
              </w:tc>
              <w:tc>
                <w:tcPr>
                  <w:tcW w:w="486" w:type="pct"/>
                  <w:shd w:val="clear" w:color="auto" w:fill="auto"/>
                  <w:noWrap/>
                  <w:vAlign w:val="center"/>
                </w:tcPr>
                <w:p w14:paraId="6FBE73CB">
                  <w:pPr>
                    <w:widowControl/>
                    <w:jc w:val="center"/>
                    <w:textAlignment w:val="center"/>
                    <w:rPr>
                      <w:color w:val="auto"/>
                      <w:sz w:val="18"/>
                      <w:szCs w:val="18"/>
                    </w:rPr>
                  </w:pPr>
                </w:p>
              </w:tc>
              <w:tc>
                <w:tcPr>
                  <w:tcW w:w="475" w:type="pct"/>
                  <w:shd w:val="clear" w:color="auto" w:fill="auto"/>
                  <w:noWrap/>
                  <w:vAlign w:val="center"/>
                </w:tcPr>
                <w:p w14:paraId="4AC1844E">
                  <w:pPr>
                    <w:widowControl/>
                    <w:jc w:val="center"/>
                    <w:textAlignment w:val="center"/>
                    <w:rPr>
                      <w:color w:val="auto"/>
                      <w:sz w:val="18"/>
                      <w:szCs w:val="18"/>
                    </w:rPr>
                  </w:pPr>
                </w:p>
              </w:tc>
              <w:tc>
                <w:tcPr>
                  <w:tcW w:w="540" w:type="pct"/>
                  <w:shd w:val="clear" w:color="auto" w:fill="auto"/>
                  <w:vAlign w:val="center"/>
                </w:tcPr>
                <w:p w14:paraId="5C937242">
                  <w:pPr>
                    <w:widowControl/>
                    <w:jc w:val="center"/>
                    <w:textAlignment w:val="center"/>
                    <w:rPr>
                      <w:color w:val="auto"/>
                      <w:sz w:val="18"/>
                      <w:szCs w:val="18"/>
                    </w:rPr>
                  </w:pPr>
                </w:p>
              </w:tc>
              <w:tc>
                <w:tcPr>
                  <w:tcW w:w="477" w:type="pct"/>
                  <w:vMerge w:val="continue"/>
                  <w:shd w:val="clear" w:color="auto" w:fill="auto"/>
                  <w:vAlign w:val="center"/>
                </w:tcPr>
                <w:p w14:paraId="69E234D9">
                  <w:pPr>
                    <w:jc w:val="center"/>
                    <w:rPr>
                      <w:rFonts w:ascii="宋体" w:hAnsi="宋体" w:cs="宋体"/>
                      <w:color w:val="auto"/>
                      <w:sz w:val="18"/>
                      <w:szCs w:val="18"/>
                    </w:rPr>
                  </w:pPr>
                </w:p>
              </w:tc>
              <w:tc>
                <w:tcPr>
                  <w:tcW w:w="418" w:type="pct"/>
                  <w:vMerge w:val="continue"/>
                  <w:shd w:val="clear" w:color="auto" w:fill="auto"/>
                  <w:vAlign w:val="center"/>
                </w:tcPr>
                <w:p w14:paraId="57E40FFF">
                  <w:pPr>
                    <w:jc w:val="center"/>
                    <w:rPr>
                      <w:rFonts w:ascii="宋体" w:hAnsi="宋体" w:cs="宋体"/>
                      <w:color w:val="auto"/>
                      <w:sz w:val="18"/>
                      <w:szCs w:val="18"/>
                    </w:rPr>
                  </w:pPr>
                </w:p>
              </w:tc>
            </w:tr>
            <w:tr w14:paraId="43E039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452" w:type="pct"/>
                  <w:shd w:val="clear" w:color="auto" w:fill="auto"/>
                  <w:noWrap/>
                  <w:vAlign w:val="center"/>
                </w:tcPr>
                <w:p w14:paraId="43D9DE29">
                  <w:pPr>
                    <w:widowControl/>
                    <w:jc w:val="center"/>
                    <w:textAlignment w:val="center"/>
                    <w:rPr>
                      <w:color w:val="auto"/>
                      <w:sz w:val="18"/>
                      <w:szCs w:val="18"/>
                    </w:rPr>
                  </w:pPr>
                </w:p>
              </w:tc>
              <w:tc>
                <w:tcPr>
                  <w:tcW w:w="301" w:type="pct"/>
                  <w:vMerge w:val="continue"/>
                  <w:shd w:val="clear" w:color="auto" w:fill="auto"/>
                  <w:vAlign w:val="center"/>
                </w:tcPr>
                <w:p w14:paraId="2B5BE3DF">
                  <w:pPr>
                    <w:jc w:val="center"/>
                    <w:rPr>
                      <w:color w:val="auto"/>
                      <w:sz w:val="18"/>
                      <w:szCs w:val="18"/>
                    </w:rPr>
                  </w:pPr>
                </w:p>
              </w:tc>
              <w:tc>
                <w:tcPr>
                  <w:tcW w:w="818" w:type="pct"/>
                  <w:shd w:val="clear" w:color="auto" w:fill="auto"/>
                  <w:noWrap/>
                  <w:vAlign w:val="center"/>
                </w:tcPr>
                <w:p w14:paraId="20B92359">
                  <w:pPr>
                    <w:widowControl/>
                    <w:jc w:val="center"/>
                    <w:textAlignment w:val="center"/>
                    <w:rPr>
                      <w:color w:val="auto"/>
                      <w:sz w:val="18"/>
                      <w:szCs w:val="18"/>
                    </w:rPr>
                  </w:pPr>
                </w:p>
              </w:tc>
              <w:tc>
                <w:tcPr>
                  <w:tcW w:w="541" w:type="pct"/>
                  <w:shd w:val="clear" w:color="auto" w:fill="auto"/>
                  <w:noWrap/>
                  <w:vAlign w:val="center"/>
                </w:tcPr>
                <w:p w14:paraId="3F260E79">
                  <w:pPr>
                    <w:widowControl/>
                    <w:jc w:val="center"/>
                    <w:textAlignment w:val="center"/>
                    <w:rPr>
                      <w:color w:val="auto"/>
                      <w:sz w:val="18"/>
                      <w:szCs w:val="18"/>
                    </w:rPr>
                  </w:pPr>
                </w:p>
              </w:tc>
              <w:tc>
                <w:tcPr>
                  <w:tcW w:w="490" w:type="pct"/>
                  <w:shd w:val="clear" w:color="auto" w:fill="auto"/>
                  <w:noWrap/>
                  <w:vAlign w:val="center"/>
                </w:tcPr>
                <w:p w14:paraId="69D2319E">
                  <w:pPr>
                    <w:widowControl/>
                    <w:jc w:val="center"/>
                    <w:textAlignment w:val="center"/>
                    <w:rPr>
                      <w:color w:val="auto"/>
                      <w:sz w:val="18"/>
                      <w:szCs w:val="18"/>
                    </w:rPr>
                  </w:pPr>
                </w:p>
              </w:tc>
              <w:tc>
                <w:tcPr>
                  <w:tcW w:w="486" w:type="pct"/>
                  <w:shd w:val="clear" w:color="auto" w:fill="auto"/>
                  <w:noWrap/>
                  <w:vAlign w:val="center"/>
                </w:tcPr>
                <w:p w14:paraId="274FE5C6">
                  <w:pPr>
                    <w:widowControl/>
                    <w:jc w:val="center"/>
                    <w:textAlignment w:val="center"/>
                    <w:rPr>
                      <w:color w:val="auto"/>
                      <w:sz w:val="18"/>
                      <w:szCs w:val="18"/>
                    </w:rPr>
                  </w:pPr>
                </w:p>
              </w:tc>
              <w:tc>
                <w:tcPr>
                  <w:tcW w:w="475" w:type="pct"/>
                  <w:shd w:val="clear" w:color="auto" w:fill="auto"/>
                  <w:noWrap/>
                  <w:vAlign w:val="center"/>
                </w:tcPr>
                <w:p w14:paraId="0183ED54">
                  <w:pPr>
                    <w:widowControl/>
                    <w:jc w:val="center"/>
                    <w:textAlignment w:val="center"/>
                    <w:rPr>
                      <w:color w:val="auto"/>
                      <w:sz w:val="18"/>
                      <w:szCs w:val="18"/>
                    </w:rPr>
                  </w:pPr>
                </w:p>
              </w:tc>
              <w:tc>
                <w:tcPr>
                  <w:tcW w:w="540" w:type="pct"/>
                  <w:shd w:val="clear" w:color="auto" w:fill="auto"/>
                  <w:vAlign w:val="center"/>
                </w:tcPr>
                <w:p w14:paraId="5D3C05D8">
                  <w:pPr>
                    <w:widowControl/>
                    <w:jc w:val="center"/>
                    <w:textAlignment w:val="center"/>
                    <w:rPr>
                      <w:color w:val="auto"/>
                      <w:sz w:val="18"/>
                      <w:szCs w:val="18"/>
                    </w:rPr>
                  </w:pPr>
                </w:p>
              </w:tc>
              <w:tc>
                <w:tcPr>
                  <w:tcW w:w="477" w:type="pct"/>
                  <w:vMerge w:val="continue"/>
                  <w:shd w:val="clear" w:color="auto" w:fill="auto"/>
                  <w:vAlign w:val="center"/>
                </w:tcPr>
                <w:p w14:paraId="321CE347">
                  <w:pPr>
                    <w:jc w:val="center"/>
                    <w:rPr>
                      <w:rFonts w:ascii="宋体" w:hAnsi="宋体" w:cs="宋体"/>
                      <w:color w:val="auto"/>
                      <w:sz w:val="18"/>
                      <w:szCs w:val="18"/>
                    </w:rPr>
                  </w:pPr>
                </w:p>
              </w:tc>
              <w:tc>
                <w:tcPr>
                  <w:tcW w:w="418" w:type="pct"/>
                  <w:vMerge w:val="continue"/>
                  <w:shd w:val="clear" w:color="auto" w:fill="auto"/>
                  <w:vAlign w:val="center"/>
                </w:tcPr>
                <w:p w14:paraId="37FA10A3">
                  <w:pPr>
                    <w:jc w:val="center"/>
                    <w:rPr>
                      <w:rFonts w:ascii="宋体" w:hAnsi="宋体" w:cs="宋体"/>
                      <w:color w:val="auto"/>
                      <w:sz w:val="18"/>
                      <w:szCs w:val="18"/>
                    </w:rPr>
                  </w:pPr>
                </w:p>
              </w:tc>
            </w:tr>
            <w:tr w14:paraId="796174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452" w:type="pct"/>
                  <w:shd w:val="clear" w:color="auto" w:fill="auto"/>
                  <w:noWrap/>
                  <w:vAlign w:val="center"/>
                </w:tcPr>
                <w:p w14:paraId="5B7D7BF4">
                  <w:pPr>
                    <w:widowControl/>
                    <w:jc w:val="center"/>
                    <w:textAlignment w:val="center"/>
                    <w:rPr>
                      <w:color w:val="auto"/>
                      <w:sz w:val="18"/>
                      <w:szCs w:val="18"/>
                    </w:rPr>
                  </w:pPr>
                </w:p>
              </w:tc>
              <w:tc>
                <w:tcPr>
                  <w:tcW w:w="301" w:type="pct"/>
                  <w:vMerge w:val="continue"/>
                  <w:shd w:val="clear" w:color="auto" w:fill="auto"/>
                  <w:vAlign w:val="center"/>
                </w:tcPr>
                <w:p w14:paraId="291609C8">
                  <w:pPr>
                    <w:jc w:val="center"/>
                    <w:rPr>
                      <w:color w:val="auto"/>
                      <w:sz w:val="18"/>
                      <w:szCs w:val="18"/>
                    </w:rPr>
                  </w:pPr>
                </w:p>
              </w:tc>
              <w:tc>
                <w:tcPr>
                  <w:tcW w:w="818" w:type="pct"/>
                  <w:shd w:val="clear" w:color="auto" w:fill="auto"/>
                  <w:noWrap/>
                  <w:vAlign w:val="center"/>
                </w:tcPr>
                <w:p w14:paraId="2DF3A291">
                  <w:pPr>
                    <w:widowControl/>
                    <w:jc w:val="center"/>
                    <w:textAlignment w:val="center"/>
                    <w:rPr>
                      <w:rFonts w:hint="default" w:eastAsia="宋体"/>
                      <w:color w:val="auto"/>
                      <w:sz w:val="18"/>
                      <w:szCs w:val="18"/>
                      <w:lang w:val="en-US" w:eastAsia="zh-CN"/>
                    </w:rPr>
                  </w:pPr>
                </w:p>
              </w:tc>
              <w:tc>
                <w:tcPr>
                  <w:tcW w:w="541" w:type="pct"/>
                  <w:shd w:val="clear" w:color="auto" w:fill="auto"/>
                  <w:noWrap/>
                  <w:vAlign w:val="center"/>
                </w:tcPr>
                <w:p w14:paraId="045CBD8B">
                  <w:pPr>
                    <w:widowControl/>
                    <w:jc w:val="center"/>
                    <w:textAlignment w:val="center"/>
                    <w:rPr>
                      <w:color w:val="auto"/>
                      <w:sz w:val="18"/>
                      <w:szCs w:val="18"/>
                    </w:rPr>
                  </w:pPr>
                </w:p>
              </w:tc>
              <w:tc>
                <w:tcPr>
                  <w:tcW w:w="490" w:type="pct"/>
                  <w:shd w:val="clear" w:color="auto" w:fill="auto"/>
                  <w:noWrap/>
                  <w:vAlign w:val="center"/>
                </w:tcPr>
                <w:p w14:paraId="615E8742">
                  <w:pPr>
                    <w:widowControl/>
                    <w:jc w:val="center"/>
                    <w:textAlignment w:val="center"/>
                    <w:rPr>
                      <w:color w:val="auto"/>
                      <w:sz w:val="18"/>
                      <w:szCs w:val="18"/>
                    </w:rPr>
                  </w:pPr>
                </w:p>
              </w:tc>
              <w:tc>
                <w:tcPr>
                  <w:tcW w:w="486" w:type="pct"/>
                  <w:shd w:val="clear" w:color="auto" w:fill="auto"/>
                  <w:noWrap/>
                  <w:vAlign w:val="center"/>
                </w:tcPr>
                <w:p w14:paraId="54853AA5">
                  <w:pPr>
                    <w:widowControl/>
                    <w:jc w:val="center"/>
                    <w:textAlignment w:val="center"/>
                    <w:rPr>
                      <w:color w:val="auto"/>
                      <w:sz w:val="18"/>
                      <w:szCs w:val="18"/>
                    </w:rPr>
                  </w:pPr>
                </w:p>
              </w:tc>
              <w:tc>
                <w:tcPr>
                  <w:tcW w:w="475" w:type="pct"/>
                  <w:shd w:val="clear" w:color="auto" w:fill="auto"/>
                  <w:noWrap/>
                  <w:vAlign w:val="center"/>
                </w:tcPr>
                <w:p w14:paraId="0D87AE2B">
                  <w:pPr>
                    <w:widowControl/>
                    <w:jc w:val="center"/>
                    <w:textAlignment w:val="center"/>
                    <w:rPr>
                      <w:color w:val="auto"/>
                      <w:sz w:val="18"/>
                      <w:szCs w:val="18"/>
                    </w:rPr>
                  </w:pPr>
                </w:p>
              </w:tc>
              <w:tc>
                <w:tcPr>
                  <w:tcW w:w="540" w:type="pct"/>
                  <w:shd w:val="clear" w:color="auto" w:fill="auto"/>
                  <w:vAlign w:val="center"/>
                </w:tcPr>
                <w:p w14:paraId="00CBE7A7">
                  <w:pPr>
                    <w:widowControl/>
                    <w:jc w:val="center"/>
                    <w:textAlignment w:val="center"/>
                    <w:rPr>
                      <w:color w:val="auto"/>
                      <w:sz w:val="18"/>
                      <w:szCs w:val="18"/>
                    </w:rPr>
                  </w:pPr>
                </w:p>
              </w:tc>
              <w:tc>
                <w:tcPr>
                  <w:tcW w:w="477" w:type="pct"/>
                  <w:vMerge w:val="continue"/>
                  <w:shd w:val="clear" w:color="auto" w:fill="auto"/>
                  <w:vAlign w:val="center"/>
                </w:tcPr>
                <w:p w14:paraId="41BF0FC9">
                  <w:pPr>
                    <w:jc w:val="center"/>
                    <w:rPr>
                      <w:rFonts w:ascii="宋体" w:hAnsi="宋体" w:cs="宋体"/>
                      <w:color w:val="auto"/>
                      <w:sz w:val="18"/>
                      <w:szCs w:val="18"/>
                    </w:rPr>
                  </w:pPr>
                </w:p>
              </w:tc>
              <w:tc>
                <w:tcPr>
                  <w:tcW w:w="418" w:type="pct"/>
                  <w:vMerge w:val="continue"/>
                  <w:shd w:val="clear" w:color="auto" w:fill="auto"/>
                  <w:vAlign w:val="center"/>
                </w:tcPr>
                <w:p w14:paraId="01197F0F">
                  <w:pPr>
                    <w:jc w:val="center"/>
                    <w:rPr>
                      <w:rFonts w:ascii="宋体" w:hAnsi="宋体" w:cs="宋体"/>
                      <w:color w:val="auto"/>
                      <w:sz w:val="18"/>
                      <w:szCs w:val="18"/>
                    </w:rPr>
                  </w:pPr>
                </w:p>
              </w:tc>
            </w:tr>
            <w:tr w14:paraId="4E4BB0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452" w:type="pct"/>
                  <w:shd w:val="clear" w:color="auto" w:fill="auto"/>
                  <w:noWrap/>
                  <w:vAlign w:val="center"/>
                </w:tcPr>
                <w:p w14:paraId="07D28A1F">
                  <w:pPr>
                    <w:widowControl/>
                    <w:jc w:val="center"/>
                    <w:textAlignment w:val="center"/>
                    <w:rPr>
                      <w:rFonts w:hint="eastAsia" w:eastAsia="宋体"/>
                      <w:color w:val="auto"/>
                      <w:kern w:val="0"/>
                      <w:sz w:val="18"/>
                      <w:szCs w:val="18"/>
                      <w:lang w:val="en-US" w:eastAsia="zh-CN" w:bidi="ar"/>
                    </w:rPr>
                  </w:pPr>
                </w:p>
              </w:tc>
              <w:tc>
                <w:tcPr>
                  <w:tcW w:w="301" w:type="pct"/>
                  <w:vMerge w:val="continue"/>
                  <w:shd w:val="clear" w:color="auto" w:fill="auto"/>
                  <w:vAlign w:val="center"/>
                </w:tcPr>
                <w:p w14:paraId="709FC0F8">
                  <w:pPr>
                    <w:jc w:val="center"/>
                    <w:rPr>
                      <w:color w:val="auto"/>
                      <w:sz w:val="18"/>
                      <w:szCs w:val="18"/>
                    </w:rPr>
                  </w:pPr>
                </w:p>
              </w:tc>
              <w:tc>
                <w:tcPr>
                  <w:tcW w:w="818" w:type="pct"/>
                  <w:shd w:val="clear" w:color="auto" w:fill="auto"/>
                  <w:noWrap/>
                  <w:vAlign w:val="center"/>
                </w:tcPr>
                <w:p w14:paraId="6B8E8EE7">
                  <w:pPr>
                    <w:widowControl/>
                    <w:jc w:val="center"/>
                    <w:textAlignment w:val="center"/>
                    <w:rPr>
                      <w:color w:val="auto"/>
                      <w:kern w:val="0"/>
                      <w:sz w:val="18"/>
                      <w:szCs w:val="18"/>
                      <w:lang w:bidi="ar"/>
                    </w:rPr>
                  </w:pPr>
                </w:p>
              </w:tc>
              <w:tc>
                <w:tcPr>
                  <w:tcW w:w="541" w:type="pct"/>
                  <w:shd w:val="clear" w:color="auto" w:fill="auto"/>
                  <w:noWrap/>
                  <w:vAlign w:val="center"/>
                </w:tcPr>
                <w:p w14:paraId="388351AD">
                  <w:pPr>
                    <w:widowControl/>
                    <w:jc w:val="center"/>
                    <w:textAlignment w:val="center"/>
                    <w:rPr>
                      <w:rFonts w:hint="eastAsia" w:eastAsia="宋体"/>
                      <w:color w:val="auto"/>
                      <w:kern w:val="0"/>
                      <w:sz w:val="18"/>
                      <w:szCs w:val="18"/>
                      <w:lang w:val="en-US" w:eastAsia="zh-CN" w:bidi="ar"/>
                    </w:rPr>
                  </w:pPr>
                </w:p>
              </w:tc>
              <w:tc>
                <w:tcPr>
                  <w:tcW w:w="490" w:type="pct"/>
                  <w:shd w:val="clear" w:color="auto" w:fill="auto"/>
                  <w:noWrap/>
                  <w:vAlign w:val="center"/>
                </w:tcPr>
                <w:p w14:paraId="3B362139">
                  <w:pPr>
                    <w:widowControl/>
                    <w:jc w:val="center"/>
                    <w:textAlignment w:val="center"/>
                    <w:rPr>
                      <w:rFonts w:hint="default" w:eastAsia="宋体"/>
                      <w:color w:val="auto"/>
                      <w:kern w:val="0"/>
                      <w:sz w:val="18"/>
                      <w:szCs w:val="18"/>
                      <w:lang w:val="en-US" w:eastAsia="zh-CN" w:bidi="ar"/>
                    </w:rPr>
                  </w:pPr>
                </w:p>
              </w:tc>
              <w:tc>
                <w:tcPr>
                  <w:tcW w:w="486" w:type="pct"/>
                  <w:shd w:val="clear" w:color="auto" w:fill="auto"/>
                  <w:noWrap/>
                  <w:vAlign w:val="center"/>
                </w:tcPr>
                <w:p w14:paraId="417CDB64">
                  <w:pPr>
                    <w:widowControl/>
                    <w:jc w:val="center"/>
                    <w:textAlignment w:val="center"/>
                    <w:rPr>
                      <w:rFonts w:hint="default" w:eastAsia="宋体"/>
                      <w:color w:val="auto"/>
                      <w:kern w:val="0"/>
                      <w:sz w:val="18"/>
                      <w:szCs w:val="18"/>
                      <w:lang w:val="en-US" w:eastAsia="zh-CN" w:bidi="ar"/>
                    </w:rPr>
                  </w:pPr>
                </w:p>
              </w:tc>
              <w:tc>
                <w:tcPr>
                  <w:tcW w:w="475" w:type="pct"/>
                  <w:shd w:val="clear" w:color="auto" w:fill="auto"/>
                  <w:noWrap/>
                  <w:vAlign w:val="center"/>
                </w:tcPr>
                <w:p w14:paraId="68F8103B">
                  <w:pPr>
                    <w:widowControl/>
                    <w:jc w:val="center"/>
                    <w:textAlignment w:val="center"/>
                    <w:rPr>
                      <w:color w:val="auto"/>
                      <w:kern w:val="0"/>
                      <w:sz w:val="18"/>
                      <w:szCs w:val="18"/>
                      <w:lang w:bidi="ar"/>
                    </w:rPr>
                  </w:pPr>
                </w:p>
              </w:tc>
              <w:tc>
                <w:tcPr>
                  <w:tcW w:w="540" w:type="pct"/>
                  <w:shd w:val="clear" w:color="auto" w:fill="auto"/>
                  <w:vAlign w:val="center"/>
                </w:tcPr>
                <w:p w14:paraId="2E492D87">
                  <w:pPr>
                    <w:widowControl/>
                    <w:jc w:val="center"/>
                    <w:textAlignment w:val="center"/>
                    <w:rPr>
                      <w:rFonts w:hint="default" w:eastAsia="宋体"/>
                      <w:color w:val="auto"/>
                      <w:kern w:val="0"/>
                      <w:sz w:val="18"/>
                      <w:szCs w:val="18"/>
                      <w:lang w:val="en-US" w:eastAsia="zh-CN" w:bidi="ar"/>
                    </w:rPr>
                  </w:pPr>
                </w:p>
              </w:tc>
              <w:tc>
                <w:tcPr>
                  <w:tcW w:w="477" w:type="pct"/>
                  <w:vMerge w:val="continue"/>
                  <w:shd w:val="clear" w:color="auto" w:fill="auto"/>
                  <w:vAlign w:val="center"/>
                </w:tcPr>
                <w:p w14:paraId="3EA925D5">
                  <w:pPr>
                    <w:jc w:val="center"/>
                    <w:rPr>
                      <w:rFonts w:ascii="宋体" w:hAnsi="宋体" w:cs="宋体"/>
                      <w:color w:val="auto"/>
                      <w:sz w:val="18"/>
                      <w:szCs w:val="18"/>
                    </w:rPr>
                  </w:pPr>
                </w:p>
              </w:tc>
              <w:tc>
                <w:tcPr>
                  <w:tcW w:w="418" w:type="pct"/>
                  <w:vMerge w:val="continue"/>
                  <w:shd w:val="clear" w:color="auto" w:fill="auto"/>
                  <w:vAlign w:val="center"/>
                </w:tcPr>
                <w:p w14:paraId="42F8880A">
                  <w:pPr>
                    <w:jc w:val="center"/>
                    <w:rPr>
                      <w:rFonts w:ascii="宋体" w:hAnsi="宋体" w:cs="宋体"/>
                      <w:color w:val="auto"/>
                      <w:sz w:val="18"/>
                      <w:szCs w:val="18"/>
                    </w:rPr>
                  </w:pPr>
                </w:p>
              </w:tc>
            </w:tr>
          </w:tbl>
          <w:p w14:paraId="1B5AB5F0">
            <w:pPr>
              <w:spacing w:line="500" w:lineRule="exact"/>
              <w:ind w:firstLine="420"/>
              <w:rPr>
                <w:color w:val="auto"/>
              </w:rPr>
            </w:pPr>
          </w:p>
        </w:tc>
      </w:tr>
    </w:tbl>
    <w:p w14:paraId="3458FB5C">
      <w:pPr>
        <w:adjustRightInd w:val="0"/>
        <w:snapToGrid w:val="0"/>
        <w:spacing w:line="360" w:lineRule="auto"/>
        <w:ind w:firstLine="562"/>
        <w:rPr>
          <w:b/>
          <w:color w:val="auto"/>
          <w:kern w:val="0"/>
          <w:sz w:val="28"/>
          <w:szCs w:val="28"/>
        </w:rPr>
        <w:sectPr>
          <w:type w:val="nextColumn"/>
          <w:pgSz w:w="16840" w:h="11907" w:orient="landscape"/>
          <w:pgMar w:top="1418" w:right="1418" w:bottom="1418" w:left="1418" w:header="851" w:footer="851" w:gutter="0"/>
          <w:cols w:space="720" w:num="1"/>
          <w:docGrid w:linePitch="312" w:charSpace="0"/>
        </w:sectPr>
      </w:pPr>
    </w:p>
    <w:tbl>
      <w:tblPr>
        <w:tblStyle w:val="21"/>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266"/>
        <w:gridCol w:w="8785"/>
      </w:tblGrid>
      <w:tr w14:paraId="238CCA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10" w:hRule="atLeast"/>
          <w:jc w:val="center"/>
        </w:trPr>
        <w:tc>
          <w:tcPr>
            <w:tcW w:w="124" w:type="pct"/>
            <w:tcMar>
              <w:left w:w="28" w:type="dxa"/>
              <w:right w:w="28" w:type="dxa"/>
            </w:tcMar>
            <w:vAlign w:val="center"/>
          </w:tcPr>
          <w:p w14:paraId="1335F50E">
            <w:pPr>
              <w:adjustRightInd w:val="0"/>
              <w:snapToGrid w:val="0"/>
              <w:jc w:val="center"/>
              <w:rPr>
                <w:bCs/>
                <w:color w:val="auto"/>
                <w:szCs w:val="21"/>
              </w:rPr>
            </w:pPr>
            <w:r>
              <w:rPr>
                <w:bCs/>
                <w:color w:val="auto"/>
                <w:szCs w:val="21"/>
              </w:rPr>
              <w:t>运营期环境影响和保护措施</w:t>
            </w:r>
          </w:p>
        </w:tc>
        <w:tc>
          <w:tcPr>
            <w:tcW w:w="4876" w:type="pct"/>
          </w:tcPr>
          <w:p w14:paraId="474D68D6">
            <w:pPr>
              <w:adjustRightInd w:val="0"/>
              <w:snapToGrid w:val="0"/>
              <w:spacing w:line="500" w:lineRule="exact"/>
              <w:ind w:firstLine="422" w:firstLineChars="200"/>
              <w:rPr>
                <w:b/>
                <w:color w:val="auto"/>
                <w:szCs w:val="21"/>
              </w:rPr>
            </w:pPr>
            <w:r>
              <w:rPr>
                <w:b/>
                <w:color w:val="auto"/>
                <w:szCs w:val="21"/>
              </w:rPr>
              <w:t>（2）声环境影响分析</w:t>
            </w:r>
          </w:p>
          <w:p w14:paraId="7FBBA92A">
            <w:pPr>
              <w:spacing w:line="500" w:lineRule="exact"/>
              <w:ind w:firstLine="420"/>
              <w:rPr>
                <w:color w:val="auto"/>
                <w:szCs w:val="21"/>
              </w:rPr>
            </w:pPr>
            <w:r>
              <w:rPr>
                <w:color w:val="auto"/>
                <w:szCs w:val="21"/>
              </w:rPr>
              <w:t>本次环评通过预测各噪声设备经选用低噪声型号、</w:t>
            </w:r>
            <w:r>
              <w:rPr>
                <w:rFonts w:hint="eastAsia"/>
                <w:color w:val="auto"/>
                <w:szCs w:val="21"/>
              </w:rPr>
              <w:t>基础减振、加减振垫</w:t>
            </w:r>
            <w:r>
              <w:rPr>
                <w:color w:val="auto"/>
                <w:szCs w:val="21"/>
              </w:rPr>
              <w:t>等措施后，对厂界噪声的</w:t>
            </w:r>
            <w:r>
              <w:rPr>
                <w:rFonts w:hint="eastAsia"/>
                <w:color w:val="auto"/>
                <w:szCs w:val="21"/>
              </w:rPr>
              <w:t>贡献</w:t>
            </w:r>
            <w:r>
              <w:rPr>
                <w:color w:val="auto"/>
                <w:szCs w:val="21"/>
              </w:rPr>
              <w:t>值来评述本项目噪声设备对周围环境的影响。</w:t>
            </w:r>
          </w:p>
          <w:p w14:paraId="5D559EC7">
            <w:pPr>
              <w:spacing w:line="500" w:lineRule="exact"/>
              <w:ind w:firstLine="420"/>
              <w:rPr>
                <w:color w:val="auto"/>
                <w:szCs w:val="21"/>
              </w:rPr>
            </w:pPr>
            <w:r>
              <w:rPr>
                <w:color w:val="auto"/>
                <w:szCs w:val="21"/>
              </w:rPr>
              <w:t>根据声源的特性和环境特征，应用相应的计算模式计算各声源对预测点产生的声级值，预测项目建成后对周围声环境的影响程度。企业</w:t>
            </w:r>
            <w:r>
              <w:rPr>
                <w:rFonts w:hint="eastAsia"/>
                <w:color w:val="auto"/>
                <w:szCs w:val="21"/>
              </w:rPr>
              <w:t>厂界处</w:t>
            </w:r>
            <w:r>
              <w:rPr>
                <w:color w:val="auto"/>
                <w:szCs w:val="21"/>
              </w:rPr>
              <w:t>噪声</w:t>
            </w:r>
            <w:r>
              <w:rPr>
                <w:rFonts w:hint="eastAsia"/>
                <w:color w:val="auto"/>
                <w:szCs w:val="21"/>
              </w:rPr>
              <w:t>贡献值</w:t>
            </w:r>
            <w:r>
              <w:rPr>
                <w:color w:val="auto"/>
                <w:szCs w:val="21"/>
              </w:rPr>
              <w:t>结果见表4-7。</w:t>
            </w:r>
          </w:p>
          <w:p w14:paraId="0E0E9E28">
            <w:pPr>
              <w:snapToGrid w:val="0"/>
              <w:spacing w:line="500" w:lineRule="exact"/>
              <w:jc w:val="center"/>
              <w:rPr>
                <w:b/>
                <w:color w:val="auto"/>
                <w:szCs w:val="21"/>
              </w:rPr>
            </w:pPr>
            <w:r>
              <w:rPr>
                <w:b/>
                <w:color w:val="auto"/>
                <w:szCs w:val="21"/>
              </w:rPr>
              <w:t xml:space="preserve">表4-7  </w:t>
            </w:r>
            <w:r>
              <w:rPr>
                <w:rFonts w:hint="eastAsia"/>
                <w:b/>
                <w:color w:val="auto"/>
                <w:szCs w:val="21"/>
              </w:rPr>
              <w:t>厂界处噪声贡献值计算</w:t>
            </w:r>
            <w:r>
              <w:rPr>
                <w:b/>
                <w:color w:val="auto"/>
                <w:szCs w:val="21"/>
              </w:rPr>
              <w:t>结果</w:t>
            </w:r>
          </w:p>
          <w:tbl>
            <w:tblPr>
              <w:tblStyle w:val="21"/>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924"/>
              <w:gridCol w:w="1919"/>
              <w:gridCol w:w="1503"/>
              <w:gridCol w:w="1505"/>
              <w:gridCol w:w="1359"/>
              <w:gridCol w:w="1359"/>
            </w:tblGrid>
            <w:tr w14:paraId="5F0CD3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285" w:hRule="atLeast"/>
              </w:trPr>
              <w:tc>
                <w:tcPr>
                  <w:tcW w:w="539" w:type="pct"/>
                  <w:vMerge w:val="restart"/>
                  <w:noWrap/>
                  <w:vAlign w:val="center"/>
                </w:tcPr>
                <w:p w14:paraId="61D623B2">
                  <w:pPr>
                    <w:jc w:val="center"/>
                    <w:rPr>
                      <w:b/>
                      <w:color w:val="auto"/>
                      <w:sz w:val="18"/>
                      <w:szCs w:val="18"/>
                    </w:rPr>
                  </w:pPr>
                </w:p>
              </w:tc>
              <w:tc>
                <w:tcPr>
                  <w:tcW w:w="1120" w:type="pct"/>
                  <w:vMerge w:val="restart"/>
                  <w:noWrap/>
                  <w:vAlign w:val="center"/>
                </w:tcPr>
                <w:p w14:paraId="6F244239">
                  <w:pPr>
                    <w:jc w:val="center"/>
                    <w:rPr>
                      <w:b/>
                      <w:color w:val="auto"/>
                      <w:sz w:val="18"/>
                      <w:szCs w:val="18"/>
                    </w:rPr>
                  </w:pPr>
                </w:p>
              </w:tc>
              <w:tc>
                <w:tcPr>
                  <w:tcW w:w="1755" w:type="pct"/>
                  <w:gridSpan w:val="2"/>
                  <w:noWrap/>
                  <w:vAlign w:val="center"/>
                </w:tcPr>
                <w:p w14:paraId="5D0D6763">
                  <w:pPr>
                    <w:jc w:val="center"/>
                    <w:rPr>
                      <w:b/>
                      <w:color w:val="auto"/>
                      <w:sz w:val="18"/>
                      <w:szCs w:val="18"/>
                    </w:rPr>
                  </w:pPr>
                </w:p>
              </w:tc>
              <w:tc>
                <w:tcPr>
                  <w:tcW w:w="1586" w:type="pct"/>
                  <w:gridSpan w:val="2"/>
                  <w:noWrap/>
                  <w:vAlign w:val="center"/>
                </w:tcPr>
                <w:p w14:paraId="66442358">
                  <w:pPr>
                    <w:jc w:val="center"/>
                    <w:rPr>
                      <w:b/>
                      <w:color w:val="auto"/>
                      <w:sz w:val="18"/>
                      <w:szCs w:val="18"/>
                    </w:rPr>
                  </w:pPr>
                </w:p>
              </w:tc>
            </w:tr>
            <w:tr w14:paraId="5279C4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539" w:type="pct"/>
                  <w:vMerge w:val="continue"/>
                  <w:vAlign w:val="center"/>
                </w:tcPr>
                <w:p w14:paraId="0A24D628">
                  <w:pPr>
                    <w:jc w:val="center"/>
                    <w:rPr>
                      <w:b/>
                      <w:color w:val="auto"/>
                      <w:sz w:val="18"/>
                      <w:szCs w:val="18"/>
                    </w:rPr>
                  </w:pPr>
                </w:p>
              </w:tc>
              <w:tc>
                <w:tcPr>
                  <w:tcW w:w="1120" w:type="pct"/>
                  <w:vMerge w:val="continue"/>
                  <w:vAlign w:val="center"/>
                </w:tcPr>
                <w:p w14:paraId="423868BD">
                  <w:pPr>
                    <w:jc w:val="center"/>
                    <w:rPr>
                      <w:b/>
                      <w:color w:val="auto"/>
                      <w:sz w:val="18"/>
                      <w:szCs w:val="18"/>
                    </w:rPr>
                  </w:pPr>
                </w:p>
              </w:tc>
              <w:tc>
                <w:tcPr>
                  <w:tcW w:w="877" w:type="pct"/>
                  <w:noWrap/>
                  <w:vAlign w:val="center"/>
                </w:tcPr>
                <w:p w14:paraId="0916FAF2">
                  <w:pPr>
                    <w:jc w:val="center"/>
                    <w:rPr>
                      <w:b/>
                      <w:color w:val="auto"/>
                      <w:sz w:val="18"/>
                      <w:szCs w:val="18"/>
                    </w:rPr>
                  </w:pPr>
                </w:p>
              </w:tc>
              <w:tc>
                <w:tcPr>
                  <w:tcW w:w="878" w:type="pct"/>
                  <w:noWrap/>
                  <w:vAlign w:val="center"/>
                </w:tcPr>
                <w:p w14:paraId="51A5D90D">
                  <w:pPr>
                    <w:jc w:val="center"/>
                    <w:rPr>
                      <w:b/>
                      <w:color w:val="auto"/>
                      <w:sz w:val="18"/>
                      <w:szCs w:val="18"/>
                    </w:rPr>
                  </w:pPr>
                </w:p>
              </w:tc>
              <w:tc>
                <w:tcPr>
                  <w:tcW w:w="793" w:type="pct"/>
                  <w:noWrap/>
                  <w:vAlign w:val="center"/>
                </w:tcPr>
                <w:p w14:paraId="628497F8">
                  <w:pPr>
                    <w:jc w:val="center"/>
                    <w:rPr>
                      <w:b/>
                      <w:color w:val="auto"/>
                      <w:sz w:val="18"/>
                      <w:szCs w:val="18"/>
                    </w:rPr>
                  </w:pPr>
                </w:p>
              </w:tc>
              <w:tc>
                <w:tcPr>
                  <w:tcW w:w="793" w:type="pct"/>
                  <w:noWrap/>
                  <w:vAlign w:val="center"/>
                </w:tcPr>
                <w:p w14:paraId="13C6F38B">
                  <w:pPr>
                    <w:jc w:val="center"/>
                    <w:rPr>
                      <w:b/>
                      <w:color w:val="auto"/>
                      <w:sz w:val="18"/>
                      <w:szCs w:val="18"/>
                    </w:rPr>
                  </w:pPr>
                </w:p>
              </w:tc>
            </w:tr>
            <w:tr w14:paraId="48187B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39" w:type="pct"/>
                  <w:noWrap/>
                  <w:vAlign w:val="center"/>
                </w:tcPr>
                <w:p w14:paraId="2484C976">
                  <w:pPr>
                    <w:jc w:val="center"/>
                    <w:rPr>
                      <w:color w:val="auto"/>
                      <w:sz w:val="18"/>
                      <w:szCs w:val="18"/>
                    </w:rPr>
                  </w:pPr>
                </w:p>
              </w:tc>
              <w:tc>
                <w:tcPr>
                  <w:tcW w:w="1120" w:type="pct"/>
                  <w:noWrap/>
                  <w:vAlign w:val="center"/>
                </w:tcPr>
                <w:p w14:paraId="15317608">
                  <w:pPr>
                    <w:adjustRightInd w:val="0"/>
                    <w:snapToGrid w:val="0"/>
                    <w:jc w:val="center"/>
                    <w:rPr>
                      <w:color w:val="auto"/>
                      <w:sz w:val="18"/>
                      <w:szCs w:val="18"/>
                    </w:rPr>
                  </w:pPr>
                </w:p>
              </w:tc>
              <w:tc>
                <w:tcPr>
                  <w:tcW w:w="1503" w:type="dxa"/>
                  <w:vAlign w:val="center"/>
                </w:tcPr>
                <w:p w14:paraId="2589D34B">
                  <w:pPr>
                    <w:adjustRightInd w:val="0"/>
                    <w:snapToGrid w:val="0"/>
                    <w:jc w:val="center"/>
                    <w:rPr>
                      <w:color w:val="auto"/>
                      <w:sz w:val="18"/>
                      <w:szCs w:val="18"/>
                    </w:rPr>
                  </w:pPr>
                </w:p>
              </w:tc>
              <w:tc>
                <w:tcPr>
                  <w:tcW w:w="1505" w:type="dxa"/>
                  <w:vAlign w:val="center"/>
                </w:tcPr>
                <w:p w14:paraId="337BBB8A">
                  <w:pPr>
                    <w:adjustRightInd w:val="0"/>
                    <w:snapToGrid w:val="0"/>
                    <w:jc w:val="center"/>
                    <w:rPr>
                      <w:color w:val="auto"/>
                      <w:sz w:val="18"/>
                      <w:szCs w:val="18"/>
                    </w:rPr>
                  </w:pPr>
                </w:p>
              </w:tc>
              <w:tc>
                <w:tcPr>
                  <w:tcW w:w="793" w:type="pct"/>
                  <w:noWrap/>
                  <w:vAlign w:val="center"/>
                </w:tcPr>
                <w:p w14:paraId="2CD66810">
                  <w:pPr>
                    <w:adjustRightInd w:val="0"/>
                    <w:snapToGrid w:val="0"/>
                    <w:jc w:val="center"/>
                    <w:rPr>
                      <w:color w:val="auto"/>
                      <w:sz w:val="18"/>
                      <w:szCs w:val="18"/>
                    </w:rPr>
                  </w:pPr>
                </w:p>
              </w:tc>
              <w:tc>
                <w:tcPr>
                  <w:tcW w:w="793" w:type="pct"/>
                  <w:noWrap/>
                  <w:vAlign w:val="center"/>
                </w:tcPr>
                <w:p w14:paraId="3862F9DE">
                  <w:pPr>
                    <w:adjustRightInd w:val="0"/>
                    <w:snapToGrid w:val="0"/>
                    <w:jc w:val="center"/>
                    <w:rPr>
                      <w:color w:val="auto"/>
                      <w:sz w:val="18"/>
                      <w:szCs w:val="18"/>
                    </w:rPr>
                  </w:pPr>
                </w:p>
              </w:tc>
            </w:tr>
            <w:tr w14:paraId="521151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39" w:type="pct"/>
                  <w:noWrap/>
                  <w:vAlign w:val="center"/>
                </w:tcPr>
                <w:p w14:paraId="6E38BE1C">
                  <w:pPr>
                    <w:jc w:val="center"/>
                    <w:rPr>
                      <w:color w:val="auto"/>
                      <w:sz w:val="18"/>
                      <w:szCs w:val="18"/>
                    </w:rPr>
                  </w:pPr>
                </w:p>
              </w:tc>
              <w:tc>
                <w:tcPr>
                  <w:tcW w:w="1120" w:type="pct"/>
                  <w:noWrap/>
                  <w:vAlign w:val="center"/>
                </w:tcPr>
                <w:p w14:paraId="11E2348E">
                  <w:pPr>
                    <w:adjustRightInd w:val="0"/>
                    <w:snapToGrid w:val="0"/>
                    <w:jc w:val="center"/>
                    <w:rPr>
                      <w:color w:val="auto"/>
                      <w:sz w:val="18"/>
                      <w:szCs w:val="18"/>
                    </w:rPr>
                  </w:pPr>
                </w:p>
              </w:tc>
              <w:tc>
                <w:tcPr>
                  <w:tcW w:w="1503" w:type="dxa"/>
                  <w:vAlign w:val="center"/>
                </w:tcPr>
                <w:p w14:paraId="2E06F325">
                  <w:pPr>
                    <w:adjustRightInd w:val="0"/>
                    <w:snapToGrid w:val="0"/>
                    <w:jc w:val="center"/>
                    <w:rPr>
                      <w:color w:val="auto"/>
                      <w:sz w:val="18"/>
                      <w:szCs w:val="18"/>
                    </w:rPr>
                  </w:pPr>
                </w:p>
              </w:tc>
              <w:tc>
                <w:tcPr>
                  <w:tcW w:w="1505" w:type="dxa"/>
                  <w:vAlign w:val="center"/>
                </w:tcPr>
                <w:p w14:paraId="5BAA97D3">
                  <w:pPr>
                    <w:adjustRightInd w:val="0"/>
                    <w:snapToGrid w:val="0"/>
                    <w:jc w:val="center"/>
                    <w:rPr>
                      <w:color w:val="auto"/>
                      <w:sz w:val="18"/>
                      <w:szCs w:val="18"/>
                    </w:rPr>
                  </w:pPr>
                </w:p>
              </w:tc>
              <w:tc>
                <w:tcPr>
                  <w:tcW w:w="793" w:type="pct"/>
                  <w:noWrap/>
                  <w:vAlign w:val="center"/>
                </w:tcPr>
                <w:p w14:paraId="3A8F5B22">
                  <w:pPr>
                    <w:adjustRightInd w:val="0"/>
                    <w:snapToGrid w:val="0"/>
                    <w:jc w:val="center"/>
                    <w:rPr>
                      <w:color w:val="auto"/>
                      <w:sz w:val="18"/>
                      <w:szCs w:val="18"/>
                    </w:rPr>
                  </w:pPr>
                </w:p>
              </w:tc>
              <w:tc>
                <w:tcPr>
                  <w:tcW w:w="793" w:type="pct"/>
                  <w:noWrap/>
                  <w:vAlign w:val="center"/>
                </w:tcPr>
                <w:p w14:paraId="28A80D41">
                  <w:pPr>
                    <w:adjustRightInd w:val="0"/>
                    <w:snapToGrid w:val="0"/>
                    <w:jc w:val="center"/>
                    <w:rPr>
                      <w:color w:val="auto"/>
                      <w:sz w:val="18"/>
                      <w:szCs w:val="18"/>
                    </w:rPr>
                  </w:pPr>
                </w:p>
              </w:tc>
            </w:tr>
            <w:tr w14:paraId="72CB39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15" w:hRule="atLeast"/>
              </w:trPr>
              <w:tc>
                <w:tcPr>
                  <w:tcW w:w="539" w:type="pct"/>
                  <w:noWrap/>
                  <w:vAlign w:val="center"/>
                </w:tcPr>
                <w:p w14:paraId="7D7641BD">
                  <w:pPr>
                    <w:jc w:val="center"/>
                    <w:rPr>
                      <w:color w:val="auto"/>
                      <w:sz w:val="18"/>
                      <w:szCs w:val="18"/>
                    </w:rPr>
                  </w:pPr>
                </w:p>
              </w:tc>
              <w:tc>
                <w:tcPr>
                  <w:tcW w:w="1120" w:type="pct"/>
                  <w:noWrap/>
                  <w:vAlign w:val="center"/>
                </w:tcPr>
                <w:p w14:paraId="3CC4FA34">
                  <w:pPr>
                    <w:adjustRightInd w:val="0"/>
                    <w:snapToGrid w:val="0"/>
                    <w:jc w:val="center"/>
                    <w:rPr>
                      <w:color w:val="auto"/>
                      <w:sz w:val="18"/>
                      <w:szCs w:val="18"/>
                    </w:rPr>
                  </w:pPr>
                </w:p>
              </w:tc>
              <w:tc>
                <w:tcPr>
                  <w:tcW w:w="1503" w:type="dxa"/>
                  <w:vAlign w:val="center"/>
                </w:tcPr>
                <w:p w14:paraId="6BBF712F">
                  <w:pPr>
                    <w:adjustRightInd w:val="0"/>
                    <w:snapToGrid w:val="0"/>
                    <w:jc w:val="center"/>
                    <w:rPr>
                      <w:color w:val="auto"/>
                      <w:sz w:val="18"/>
                      <w:szCs w:val="18"/>
                    </w:rPr>
                  </w:pPr>
                </w:p>
              </w:tc>
              <w:tc>
                <w:tcPr>
                  <w:tcW w:w="1505" w:type="dxa"/>
                  <w:vAlign w:val="center"/>
                </w:tcPr>
                <w:p w14:paraId="2A65FF2D">
                  <w:pPr>
                    <w:adjustRightInd w:val="0"/>
                    <w:snapToGrid w:val="0"/>
                    <w:jc w:val="center"/>
                    <w:rPr>
                      <w:color w:val="auto"/>
                      <w:sz w:val="18"/>
                      <w:szCs w:val="18"/>
                    </w:rPr>
                  </w:pPr>
                </w:p>
              </w:tc>
              <w:tc>
                <w:tcPr>
                  <w:tcW w:w="793" w:type="pct"/>
                  <w:noWrap/>
                  <w:vAlign w:val="center"/>
                </w:tcPr>
                <w:p w14:paraId="25FB38CA">
                  <w:pPr>
                    <w:adjustRightInd w:val="0"/>
                    <w:snapToGrid w:val="0"/>
                    <w:jc w:val="center"/>
                    <w:rPr>
                      <w:color w:val="auto"/>
                      <w:sz w:val="18"/>
                      <w:szCs w:val="18"/>
                    </w:rPr>
                  </w:pPr>
                </w:p>
              </w:tc>
              <w:tc>
                <w:tcPr>
                  <w:tcW w:w="793" w:type="pct"/>
                  <w:noWrap/>
                  <w:vAlign w:val="center"/>
                </w:tcPr>
                <w:p w14:paraId="31BE7640">
                  <w:pPr>
                    <w:adjustRightInd w:val="0"/>
                    <w:snapToGrid w:val="0"/>
                    <w:jc w:val="center"/>
                    <w:rPr>
                      <w:color w:val="auto"/>
                      <w:sz w:val="18"/>
                      <w:szCs w:val="18"/>
                    </w:rPr>
                  </w:pPr>
                </w:p>
              </w:tc>
            </w:tr>
            <w:tr w14:paraId="0F2603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39" w:type="pct"/>
                  <w:noWrap/>
                  <w:vAlign w:val="center"/>
                </w:tcPr>
                <w:p w14:paraId="7958DD0C">
                  <w:pPr>
                    <w:jc w:val="center"/>
                    <w:rPr>
                      <w:color w:val="auto"/>
                      <w:sz w:val="18"/>
                      <w:szCs w:val="18"/>
                    </w:rPr>
                  </w:pPr>
                </w:p>
              </w:tc>
              <w:tc>
                <w:tcPr>
                  <w:tcW w:w="1120" w:type="pct"/>
                  <w:noWrap/>
                  <w:vAlign w:val="center"/>
                </w:tcPr>
                <w:p w14:paraId="61250513">
                  <w:pPr>
                    <w:adjustRightInd w:val="0"/>
                    <w:snapToGrid w:val="0"/>
                    <w:jc w:val="center"/>
                    <w:rPr>
                      <w:color w:val="auto"/>
                      <w:sz w:val="18"/>
                      <w:szCs w:val="18"/>
                    </w:rPr>
                  </w:pPr>
                </w:p>
              </w:tc>
              <w:tc>
                <w:tcPr>
                  <w:tcW w:w="1503" w:type="dxa"/>
                  <w:vAlign w:val="center"/>
                </w:tcPr>
                <w:p w14:paraId="6440A382">
                  <w:pPr>
                    <w:adjustRightInd w:val="0"/>
                    <w:snapToGrid w:val="0"/>
                    <w:jc w:val="center"/>
                    <w:rPr>
                      <w:color w:val="auto"/>
                      <w:sz w:val="18"/>
                      <w:szCs w:val="18"/>
                    </w:rPr>
                  </w:pPr>
                </w:p>
              </w:tc>
              <w:tc>
                <w:tcPr>
                  <w:tcW w:w="1505" w:type="dxa"/>
                  <w:vAlign w:val="center"/>
                </w:tcPr>
                <w:p w14:paraId="1ECDAADD">
                  <w:pPr>
                    <w:adjustRightInd w:val="0"/>
                    <w:snapToGrid w:val="0"/>
                    <w:jc w:val="center"/>
                    <w:rPr>
                      <w:color w:val="auto"/>
                      <w:sz w:val="18"/>
                      <w:szCs w:val="18"/>
                    </w:rPr>
                  </w:pPr>
                </w:p>
              </w:tc>
              <w:tc>
                <w:tcPr>
                  <w:tcW w:w="793" w:type="pct"/>
                  <w:noWrap/>
                  <w:vAlign w:val="center"/>
                </w:tcPr>
                <w:p w14:paraId="5320A4B2">
                  <w:pPr>
                    <w:adjustRightInd w:val="0"/>
                    <w:snapToGrid w:val="0"/>
                    <w:jc w:val="center"/>
                    <w:rPr>
                      <w:color w:val="auto"/>
                      <w:sz w:val="18"/>
                      <w:szCs w:val="18"/>
                    </w:rPr>
                  </w:pPr>
                </w:p>
              </w:tc>
              <w:tc>
                <w:tcPr>
                  <w:tcW w:w="793" w:type="pct"/>
                  <w:noWrap/>
                  <w:vAlign w:val="center"/>
                </w:tcPr>
                <w:p w14:paraId="265B1449">
                  <w:pPr>
                    <w:adjustRightInd w:val="0"/>
                    <w:snapToGrid w:val="0"/>
                    <w:jc w:val="center"/>
                    <w:rPr>
                      <w:color w:val="auto"/>
                      <w:sz w:val="18"/>
                      <w:szCs w:val="18"/>
                    </w:rPr>
                  </w:pPr>
                </w:p>
              </w:tc>
            </w:tr>
          </w:tbl>
          <w:p w14:paraId="4058443C">
            <w:pPr>
              <w:autoSpaceDE w:val="0"/>
              <w:autoSpaceDN w:val="0"/>
              <w:adjustRightInd w:val="0"/>
              <w:snapToGrid w:val="0"/>
              <w:spacing w:line="500" w:lineRule="exact"/>
              <w:ind w:firstLine="420" w:firstLineChars="200"/>
              <w:jc w:val="left"/>
              <w:rPr>
                <w:color w:val="auto"/>
                <w:szCs w:val="21"/>
              </w:rPr>
            </w:pPr>
            <w:r>
              <w:rPr>
                <w:rFonts w:hint="eastAsia"/>
                <w:color w:val="auto"/>
                <w:szCs w:val="21"/>
              </w:rPr>
              <w:t>预测结果表明，通过相应的降噪措施和距离衰减后，对周边环境噪声影响贡献值较小，</w:t>
            </w:r>
            <w:r>
              <w:rPr>
                <w:color w:val="auto"/>
                <w:szCs w:val="21"/>
              </w:rPr>
              <w:t>不会降低当地的</w:t>
            </w:r>
            <w:r>
              <w:rPr>
                <w:rFonts w:hint="eastAsia"/>
                <w:color w:val="auto"/>
                <w:szCs w:val="21"/>
                <w:lang w:eastAsia="zh-CN"/>
              </w:rPr>
              <w:t>声环境功能</w:t>
            </w:r>
            <w:r>
              <w:rPr>
                <w:color w:val="auto"/>
                <w:szCs w:val="21"/>
              </w:rPr>
              <w:t>级别</w:t>
            </w:r>
            <w:r>
              <w:rPr>
                <w:rFonts w:hint="eastAsia"/>
                <w:color w:val="auto"/>
                <w:szCs w:val="21"/>
              </w:rPr>
              <w:t>，且</w:t>
            </w:r>
            <w:r>
              <w:rPr>
                <w:color w:val="auto"/>
                <w:szCs w:val="21"/>
              </w:rPr>
              <w:t>厂界周边没有居民点等敏感目标，不会造成噪声扰民。</w:t>
            </w:r>
          </w:p>
          <w:p w14:paraId="153E874B">
            <w:pPr>
              <w:adjustRightInd w:val="0"/>
              <w:snapToGrid w:val="0"/>
              <w:spacing w:line="500" w:lineRule="exact"/>
              <w:ind w:firstLine="422" w:firstLineChars="200"/>
              <w:rPr>
                <w:b/>
                <w:color w:val="auto"/>
                <w:szCs w:val="21"/>
              </w:rPr>
            </w:pPr>
            <w:r>
              <w:rPr>
                <w:b/>
                <w:color w:val="auto"/>
                <w:szCs w:val="21"/>
              </w:rPr>
              <w:t>4</w:t>
            </w:r>
            <w:r>
              <w:rPr>
                <w:rFonts w:hint="eastAsia"/>
                <w:b/>
                <w:color w:val="auto"/>
                <w:szCs w:val="21"/>
              </w:rPr>
              <w:t>、固废</w:t>
            </w:r>
          </w:p>
          <w:p w14:paraId="12B08933">
            <w:pPr>
              <w:adjustRightInd w:val="0"/>
              <w:snapToGrid w:val="0"/>
              <w:spacing w:line="500" w:lineRule="exact"/>
              <w:ind w:firstLine="422" w:firstLineChars="200"/>
              <w:rPr>
                <w:color w:val="auto"/>
                <w:szCs w:val="21"/>
              </w:rPr>
            </w:pPr>
            <w:r>
              <w:rPr>
                <w:rFonts w:hint="eastAsia"/>
                <w:b/>
                <w:color w:val="auto"/>
                <w:szCs w:val="21"/>
              </w:rPr>
              <w:t>（1）固废源强</w:t>
            </w:r>
            <w:r>
              <w:rPr>
                <w:rFonts w:hint="eastAsia"/>
                <w:color w:val="auto"/>
                <w:szCs w:val="21"/>
              </w:rPr>
              <w:t>。</w:t>
            </w:r>
          </w:p>
          <w:p w14:paraId="198C2207">
            <w:pPr>
              <w:spacing w:line="500" w:lineRule="exact"/>
              <w:ind w:firstLine="420"/>
              <w:rPr>
                <w:color w:val="auto"/>
                <w:szCs w:val="21"/>
              </w:rPr>
            </w:pPr>
            <w:r>
              <w:rPr>
                <w:rFonts w:hint="eastAsia"/>
                <w:color w:val="auto"/>
                <w:szCs w:val="21"/>
              </w:rPr>
              <w:t>本项目固体废物包括实验室废液（S</w:t>
            </w:r>
            <w:r>
              <w:rPr>
                <w:color w:val="auto"/>
                <w:szCs w:val="21"/>
              </w:rPr>
              <w:t>1</w:t>
            </w:r>
            <w:r>
              <w:rPr>
                <w:rFonts w:hint="eastAsia"/>
                <w:color w:val="auto"/>
                <w:szCs w:val="21"/>
              </w:rPr>
              <w:t>）、废弃PPE（S</w:t>
            </w:r>
            <w:r>
              <w:rPr>
                <w:color w:val="auto"/>
                <w:szCs w:val="21"/>
              </w:rPr>
              <w:t>2</w:t>
            </w:r>
            <w:r>
              <w:rPr>
                <w:rFonts w:hint="eastAsia"/>
                <w:color w:val="auto"/>
                <w:szCs w:val="21"/>
              </w:rPr>
              <w:t>）、废试剂瓶（S</w:t>
            </w:r>
            <w:r>
              <w:rPr>
                <w:color w:val="auto"/>
                <w:szCs w:val="21"/>
              </w:rPr>
              <w:t>3</w:t>
            </w:r>
            <w:r>
              <w:rPr>
                <w:rFonts w:hint="eastAsia"/>
                <w:color w:val="auto"/>
                <w:szCs w:val="21"/>
              </w:rPr>
              <w:t>）、废活性炭（S</w:t>
            </w:r>
            <w:r>
              <w:rPr>
                <w:color w:val="auto"/>
                <w:szCs w:val="21"/>
              </w:rPr>
              <w:t>4</w:t>
            </w:r>
            <w:r>
              <w:rPr>
                <w:rFonts w:hint="eastAsia"/>
                <w:color w:val="auto"/>
                <w:szCs w:val="21"/>
              </w:rPr>
              <w:t>）、</w:t>
            </w:r>
            <w:r>
              <w:rPr>
                <w:rFonts w:hint="eastAsia"/>
                <w:color w:val="auto"/>
                <w:szCs w:val="21"/>
                <w:lang w:val="en-US" w:eastAsia="zh-CN"/>
              </w:rPr>
              <w:t>废SDG（S5）、</w:t>
            </w:r>
            <w:r>
              <w:rPr>
                <w:rFonts w:hint="eastAsia"/>
                <w:color w:val="auto"/>
                <w:szCs w:val="21"/>
              </w:rPr>
              <w:t>废铅酸蓄电池（S</w:t>
            </w:r>
            <w:r>
              <w:rPr>
                <w:rFonts w:hint="eastAsia"/>
                <w:color w:val="auto"/>
                <w:szCs w:val="21"/>
                <w:lang w:val="en-US" w:eastAsia="zh-CN"/>
              </w:rPr>
              <w:t>6</w:t>
            </w:r>
            <w:r>
              <w:rPr>
                <w:rFonts w:hint="eastAsia"/>
                <w:color w:val="auto"/>
                <w:szCs w:val="21"/>
              </w:rPr>
              <w:t>）、未沾染化学品的废包装材料（S</w:t>
            </w:r>
            <w:r>
              <w:rPr>
                <w:rFonts w:hint="eastAsia"/>
                <w:color w:val="auto"/>
                <w:szCs w:val="21"/>
                <w:lang w:val="en-US" w:eastAsia="zh-CN"/>
              </w:rPr>
              <w:t>7</w:t>
            </w:r>
            <w:r>
              <w:rPr>
                <w:rFonts w:hint="eastAsia"/>
                <w:color w:val="auto"/>
                <w:szCs w:val="21"/>
              </w:rPr>
              <w:t>）。</w:t>
            </w:r>
          </w:p>
          <w:p w14:paraId="5CEB55BD">
            <w:pPr>
              <w:spacing w:line="500" w:lineRule="exact"/>
              <w:ind w:firstLine="420"/>
              <w:rPr>
                <w:color w:val="auto"/>
                <w:szCs w:val="21"/>
              </w:rPr>
            </w:pPr>
            <w:r>
              <w:rPr>
                <w:rFonts w:hint="eastAsia"/>
                <w:color w:val="auto"/>
                <w:szCs w:val="21"/>
              </w:rPr>
              <w:t>根据企业设计资料及参考企业现有实验室情况核算实验室废液（S</w:t>
            </w:r>
            <w:r>
              <w:rPr>
                <w:color w:val="auto"/>
                <w:szCs w:val="21"/>
              </w:rPr>
              <w:t>1</w:t>
            </w:r>
            <w:r>
              <w:rPr>
                <w:rFonts w:hint="eastAsia"/>
                <w:color w:val="auto"/>
                <w:szCs w:val="21"/>
              </w:rPr>
              <w:t>）、废弃PPE（S</w:t>
            </w:r>
            <w:r>
              <w:rPr>
                <w:color w:val="auto"/>
                <w:szCs w:val="21"/>
              </w:rPr>
              <w:t>2</w:t>
            </w:r>
            <w:r>
              <w:rPr>
                <w:rFonts w:hint="eastAsia"/>
                <w:color w:val="auto"/>
                <w:szCs w:val="21"/>
              </w:rPr>
              <w:t>）、废试剂瓶（S</w:t>
            </w:r>
            <w:r>
              <w:rPr>
                <w:color w:val="auto"/>
                <w:szCs w:val="21"/>
              </w:rPr>
              <w:t>3</w:t>
            </w:r>
            <w:r>
              <w:rPr>
                <w:rFonts w:hint="eastAsia"/>
                <w:color w:val="auto"/>
                <w:szCs w:val="21"/>
              </w:rPr>
              <w:t>）、废铅酸蓄电池（S</w:t>
            </w:r>
            <w:r>
              <w:rPr>
                <w:rFonts w:hint="eastAsia"/>
                <w:color w:val="auto"/>
                <w:szCs w:val="21"/>
                <w:lang w:val="en-US" w:eastAsia="zh-CN"/>
              </w:rPr>
              <w:t>6</w:t>
            </w:r>
            <w:r>
              <w:rPr>
                <w:rFonts w:hint="eastAsia"/>
                <w:color w:val="auto"/>
                <w:szCs w:val="21"/>
              </w:rPr>
              <w:t>）、未沾染化学品的废包装材料（S</w:t>
            </w:r>
            <w:r>
              <w:rPr>
                <w:rFonts w:hint="eastAsia"/>
                <w:color w:val="auto"/>
                <w:szCs w:val="21"/>
                <w:lang w:val="en-US" w:eastAsia="zh-CN"/>
              </w:rPr>
              <w:t>7</w:t>
            </w:r>
            <w:r>
              <w:rPr>
                <w:rFonts w:hint="eastAsia"/>
                <w:color w:val="auto"/>
                <w:szCs w:val="21"/>
              </w:rPr>
              <w:t>）的产生量；本</w:t>
            </w:r>
            <w:r>
              <w:rPr>
                <w:rFonts w:hint="eastAsia"/>
                <w:color w:val="auto"/>
                <w:szCs w:val="21"/>
                <w:lang w:eastAsia="zh-CN"/>
              </w:rPr>
              <w:t>项目</w:t>
            </w:r>
            <w:r>
              <w:rPr>
                <w:rFonts w:hint="eastAsia"/>
                <w:color w:val="auto"/>
                <w:szCs w:val="21"/>
              </w:rPr>
              <w:t>采用活性炭吸附装置，单次活性炭装填量为</w:t>
            </w:r>
            <w:r>
              <w:rPr>
                <w:rFonts w:hint="eastAsia"/>
                <w:color w:val="auto"/>
                <w:szCs w:val="21"/>
                <w:lang w:val="en-US" w:eastAsia="zh-CN"/>
              </w:rPr>
              <w:t>6</w:t>
            </w:r>
            <w:r>
              <w:rPr>
                <w:rFonts w:hint="eastAsia"/>
                <w:color w:val="auto"/>
                <w:szCs w:val="21"/>
              </w:rPr>
              <w:t>0</w:t>
            </w:r>
            <w:r>
              <w:rPr>
                <w:color w:val="auto"/>
                <w:szCs w:val="21"/>
              </w:rPr>
              <w:t>0</w:t>
            </w:r>
            <w:r>
              <w:rPr>
                <w:rFonts w:hint="eastAsia"/>
                <w:color w:val="auto"/>
                <w:szCs w:val="21"/>
              </w:rPr>
              <w:t>kg，更换周期为120天，按每年更换3次计，同时考虑吸收的废气量约0.0</w:t>
            </w:r>
            <w:r>
              <w:rPr>
                <w:rFonts w:hint="eastAsia"/>
                <w:color w:val="auto"/>
                <w:szCs w:val="21"/>
                <w:lang w:val="en-US" w:eastAsia="zh-CN"/>
              </w:rPr>
              <w:t>28</w:t>
            </w:r>
            <w:r>
              <w:rPr>
                <w:rFonts w:hint="eastAsia"/>
                <w:color w:val="auto"/>
                <w:szCs w:val="21"/>
              </w:rPr>
              <w:t>t/a，则废活性炭（S</w:t>
            </w:r>
            <w:r>
              <w:rPr>
                <w:color w:val="auto"/>
                <w:szCs w:val="21"/>
              </w:rPr>
              <w:t>4</w:t>
            </w:r>
            <w:r>
              <w:rPr>
                <w:rFonts w:hint="eastAsia"/>
                <w:color w:val="auto"/>
                <w:szCs w:val="21"/>
              </w:rPr>
              <w:t>）产生量</w:t>
            </w:r>
            <w:r>
              <w:rPr>
                <w:rFonts w:hint="eastAsia"/>
                <w:color w:val="auto"/>
                <w:szCs w:val="21"/>
                <w:lang w:val="en-US" w:eastAsia="zh-CN"/>
              </w:rPr>
              <w:t>1.828</w:t>
            </w:r>
            <w:r>
              <w:rPr>
                <w:rFonts w:hint="eastAsia"/>
                <w:color w:val="auto"/>
                <w:szCs w:val="21"/>
              </w:rPr>
              <w:t>t/a，委托有资质的单位处置。单次</w:t>
            </w:r>
            <w:r>
              <w:rPr>
                <w:rFonts w:hint="eastAsia"/>
                <w:color w:val="auto"/>
                <w:szCs w:val="21"/>
                <w:lang w:val="en-US" w:eastAsia="zh-CN"/>
              </w:rPr>
              <w:t>SDG</w:t>
            </w:r>
            <w:r>
              <w:rPr>
                <w:rFonts w:hint="eastAsia"/>
                <w:color w:val="auto"/>
                <w:szCs w:val="21"/>
              </w:rPr>
              <w:t>装填量为</w:t>
            </w:r>
            <w:r>
              <w:rPr>
                <w:rFonts w:hint="eastAsia"/>
                <w:color w:val="auto"/>
                <w:szCs w:val="21"/>
                <w:lang w:val="en-US" w:eastAsia="zh-CN"/>
              </w:rPr>
              <w:t>600</w:t>
            </w:r>
            <w:r>
              <w:rPr>
                <w:rFonts w:hint="eastAsia"/>
                <w:color w:val="auto"/>
                <w:szCs w:val="21"/>
              </w:rPr>
              <w:t>kg，更换周期为120天，按每年更换3次计，同时考虑吸收的废气量约0.0</w:t>
            </w:r>
            <w:r>
              <w:rPr>
                <w:rFonts w:hint="eastAsia"/>
                <w:color w:val="auto"/>
                <w:szCs w:val="21"/>
                <w:lang w:val="en-US" w:eastAsia="zh-CN"/>
              </w:rPr>
              <w:t>53</w:t>
            </w:r>
            <w:r>
              <w:rPr>
                <w:rFonts w:hint="eastAsia"/>
                <w:color w:val="auto"/>
                <w:szCs w:val="21"/>
              </w:rPr>
              <w:t>t/a，则废</w:t>
            </w:r>
            <w:r>
              <w:rPr>
                <w:rFonts w:hint="eastAsia"/>
                <w:color w:val="auto"/>
                <w:szCs w:val="21"/>
                <w:lang w:val="en-US" w:eastAsia="zh-CN"/>
              </w:rPr>
              <w:t>SDG</w:t>
            </w:r>
            <w:r>
              <w:rPr>
                <w:rFonts w:hint="eastAsia"/>
                <w:color w:val="auto"/>
                <w:szCs w:val="21"/>
              </w:rPr>
              <w:t>（S</w:t>
            </w:r>
            <w:r>
              <w:rPr>
                <w:rFonts w:hint="eastAsia"/>
                <w:color w:val="auto"/>
                <w:szCs w:val="21"/>
                <w:lang w:val="en-US" w:eastAsia="zh-CN"/>
              </w:rPr>
              <w:t>5</w:t>
            </w:r>
            <w:r>
              <w:rPr>
                <w:rFonts w:hint="eastAsia"/>
                <w:color w:val="auto"/>
                <w:szCs w:val="21"/>
              </w:rPr>
              <w:t>）产生量</w:t>
            </w:r>
            <w:r>
              <w:rPr>
                <w:rFonts w:hint="eastAsia"/>
                <w:color w:val="auto"/>
                <w:szCs w:val="21"/>
                <w:lang w:val="en-US" w:eastAsia="zh-CN"/>
              </w:rPr>
              <w:t>1.853</w:t>
            </w:r>
            <w:r>
              <w:rPr>
                <w:rFonts w:hint="eastAsia"/>
                <w:color w:val="auto"/>
                <w:szCs w:val="21"/>
              </w:rPr>
              <w:t>t/a，委托有资质的单位处置。</w:t>
            </w:r>
          </w:p>
          <w:p w14:paraId="1605F7B2">
            <w:pPr>
              <w:spacing w:line="500" w:lineRule="exact"/>
              <w:ind w:firstLine="420"/>
              <w:rPr>
                <w:color w:val="auto"/>
                <w:szCs w:val="21"/>
              </w:rPr>
            </w:pPr>
            <w:r>
              <w:rPr>
                <w:rFonts w:hint="eastAsia"/>
                <w:color w:val="auto"/>
                <w:szCs w:val="21"/>
              </w:rPr>
              <w:t>按《固体废物鉴别标准 通则》（GB34330-2025）和《国家危险废物名录》（2025年版）的有关要求，对项目固废进行分类。本项目营运期固废属性判定分析结果见表</w:t>
            </w:r>
            <w:r>
              <w:rPr>
                <w:color w:val="auto"/>
                <w:szCs w:val="21"/>
              </w:rPr>
              <w:t>4-8</w:t>
            </w:r>
            <w:r>
              <w:rPr>
                <w:rFonts w:hint="eastAsia"/>
                <w:color w:val="auto"/>
                <w:szCs w:val="21"/>
              </w:rPr>
              <w:t>，固废产生与处置情况汇总见表</w:t>
            </w:r>
            <w:r>
              <w:rPr>
                <w:color w:val="auto"/>
                <w:szCs w:val="21"/>
              </w:rPr>
              <w:t>4-9</w:t>
            </w:r>
            <w:r>
              <w:rPr>
                <w:rFonts w:hint="eastAsia"/>
                <w:color w:val="auto"/>
                <w:szCs w:val="21"/>
              </w:rPr>
              <w:t>。</w:t>
            </w:r>
          </w:p>
          <w:p w14:paraId="7DFC1F55">
            <w:pPr>
              <w:snapToGrid w:val="0"/>
              <w:spacing w:line="500" w:lineRule="exact"/>
              <w:jc w:val="center"/>
              <w:rPr>
                <w:b/>
                <w:color w:val="auto"/>
                <w:szCs w:val="21"/>
              </w:rPr>
            </w:pPr>
            <w:r>
              <w:rPr>
                <w:rFonts w:hint="eastAsia"/>
                <w:b/>
                <w:color w:val="auto"/>
                <w:szCs w:val="21"/>
              </w:rPr>
              <w:t>表</w:t>
            </w:r>
            <w:r>
              <w:rPr>
                <w:b/>
                <w:color w:val="auto"/>
                <w:szCs w:val="21"/>
              </w:rPr>
              <w:t>4-8</w:t>
            </w:r>
            <w:r>
              <w:rPr>
                <w:rFonts w:hint="eastAsia"/>
                <w:b/>
                <w:color w:val="auto"/>
                <w:szCs w:val="21"/>
              </w:rPr>
              <w:t>本项目固废产生情况汇总表</w:t>
            </w:r>
          </w:p>
          <w:tbl>
            <w:tblPr>
              <w:tblStyle w:val="21"/>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28" w:type="dxa"/>
                <w:left w:w="108" w:type="dxa"/>
                <w:bottom w:w="28" w:type="dxa"/>
                <w:right w:w="108" w:type="dxa"/>
              </w:tblCellMar>
            </w:tblPr>
            <w:tblGrid>
              <w:gridCol w:w="493"/>
              <w:gridCol w:w="1728"/>
              <w:gridCol w:w="824"/>
              <w:gridCol w:w="710"/>
              <w:gridCol w:w="1606"/>
              <w:gridCol w:w="1121"/>
              <w:gridCol w:w="716"/>
              <w:gridCol w:w="571"/>
              <w:gridCol w:w="800"/>
            </w:tblGrid>
            <w:tr w14:paraId="03BFA9C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28" w:type="dxa"/>
                  <w:left w:w="108" w:type="dxa"/>
                  <w:bottom w:w="28" w:type="dxa"/>
                  <w:right w:w="108" w:type="dxa"/>
                </w:tblCellMar>
              </w:tblPrEx>
              <w:trPr>
                <w:trHeight w:val="227" w:hRule="atLeast"/>
                <w:jc w:val="center"/>
              </w:trPr>
              <w:tc>
                <w:tcPr>
                  <w:tcW w:w="288" w:type="pct"/>
                  <w:vMerge w:val="restart"/>
                  <w:tcBorders>
                    <w:top w:val="single" w:color="auto" w:sz="12" w:space="0"/>
                    <w:left w:val="nil"/>
                    <w:bottom w:val="single" w:color="auto" w:sz="6" w:space="0"/>
                    <w:right w:val="single" w:color="auto" w:sz="6" w:space="0"/>
                  </w:tcBorders>
                  <w:vAlign w:val="center"/>
                </w:tcPr>
                <w:p w14:paraId="4C4AFE82">
                  <w:pPr>
                    <w:jc w:val="center"/>
                    <w:rPr>
                      <w:b/>
                      <w:color w:val="auto"/>
                      <w:sz w:val="18"/>
                      <w:szCs w:val="18"/>
                    </w:rPr>
                  </w:pPr>
                </w:p>
              </w:tc>
              <w:tc>
                <w:tcPr>
                  <w:tcW w:w="1008" w:type="pct"/>
                  <w:vMerge w:val="restart"/>
                  <w:tcBorders>
                    <w:top w:val="single" w:color="auto" w:sz="12" w:space="0"/>
                    <w:left w:val="single" w:color="auto" w:sz="6" w:space="0"/>
                    <w:bottom w:val="single" w:color="auto" w:sz="6" w:space="0"/>
                    <w:right w:val="single" w:color="auto" w:sz="6" w:space="0"/>
                  </w:tcBorders>
                  <w:vAlign w:val="center"/>
                </w:tcPr>
                <w:p w14:paraId="74129A2A">
                  <w:pPr>
                    <w:jc w:val="center"/>
                    <w:rPr>
                      <w:b/>
                      <w:color w:val="auto"/>
                      <w:sz w:val="18"/>
                      <w:szCs w:val="18"/>
                    </w:rPr>
                  </w:pPr>
                </w:p>
              </w:tc>
              <w:tc>
                <w:tcPr>
                  <w:tcW w:w="481" w:type="pct"/>
                  <w:vMerge w:val="restart"/>
                  <w:tcBorders>
                    <w:top w:val="single" w:color="auto" w:sz="12" w:space="0"/>
                    <w:left w:val="single" w:color="auto" w:sz="6" w:space="0"/>
                    <w:bottom w:val="single" w:color="auto" w:sz="6" w:space="0"/>
                    <w:right w:val="single" w:color="auto" w:sz="6" w:space="0"/>
                  </w:tcBorders>
                  <w:vAlign w:val="center"/>
                </w:tcPr>
                <w:p w14:paraId="08B12E67">
                  <w:pPr>
                    <w:jc w:val="center"/>
                    <w:rPr>
                      <w:b/>
                      <w:color w:val="auto"/>
                      <w:sz w:val="18"/>
                      <w:szCs w:val="18"/>
                    </w:rPr>
                  </w:pPr>
                </w:p>
              </w:tc>
              <w:tc>
                <w:tcPr>
                  <w:tcW w:w="414" w:type="pct"/>
                  <w:vMerge w:val="restart"/>
                  <w:tcBorders>
                    <w:top w:val="single" w:color="auto" w:sz="12" w:space="0"/>
                    <w:left w:val="single" w:color="auto" w:sz="6" w:space="0"/>
                    <w:bottom w:val="single" w:color="auto" w:sz="6" w:space="0"/>
                    <w:right w:val="single" w:color="auto" w:sz="6" w:space="0"/>
                  </w:tcBorders>
                  <w:vAlign w:val="center"/>
                </w:tcPr>
                <w:p w14:paraId="104DE3B0">
                  <w:pPr>
                    <w:jc w:val="center"/>
                    <w:rPr>
                      <w:b/>
                      <w:color w:val="auto"/>
                      <w:sz w:val="18"/>
                      <w:szCs w:val="18"/>
                    </w:rPr>
                  </w:pPr>
                </w:p>
              </w:tc>
              <w:tc>
                <w:tcPr>
                  <w:tcW w:w="937" w:type="pct"/>
                  <w:vMerge w:val="restart"/>
                  <w:tcBorders>
                    <w:top w:val="single" w:color="auto" w:sz="12" w:space="0"/>
                    <w:left w:val="single" w:color="auto" w:sz="6" w:space="0"/>
                    <w:bottom w:val="single" w:color="auto" w:sz="6" w:space="0"/>
                    <w:right w:val="single" w:color="auto" w:sz="6" w:space="0"/>
                  </w:tcBorders>
                  <w:vAlign w:val="center"/>
                </w:tcPr>
                <w:p w14:paraId="1724883E">
                  <w:pPr>
                    <w:jc w:val="center"/>
                    <w:rPr>
                      <w:b/>
                      <w:color w:val="auto"/>
                      <w:sz w:val="18"/>
                      <w:szCs w:val="18"/>
                    </w:rPr>
                  </w:pPr>
                </w:p>
              </w:tc>
              <w:tc>
                <w:tcPr>
                  <w:tcW w:w="654" w:type="pct"/>
                  <w:vMerge w:val="restart"/>
                  <w:tcBorders>
                    <w:top w:val="single" w:color="auto" w:sz="12" w:space="0"/>
                    <w:left w:val="single" w:color="auto" w:sz="6" w:space="0"/>
                    <w:bottom w:val="single" w:color="auto" w:sz="6" w:space="0"/>
                    <w:right w:val="single" w:color="auto" w:sz="6" w:space="0"/>
                  </w:tcBorders>
                  <w:vAlign w:val="center"/>
                </w:tcPr>
                <w:p w14:paraId="6F8B79ED">
                  <w:pPr>
                    <w:jc w:val="center"/>
                    <w:rPr>
                      <w:b/>
                      <w:color w:val="auto"/>
                      <w:sz w:val="18"/>
                      <w:szCs w:val="18"/>
                    </w:rPr>
                  </w:pPr>
                </w:p>
              </w:tc>
              <w:tc>
                <w:tcPr>
                  <w:tcW w:w="1218" w:type="pct"/>
                  <w:gridSpan w:val="3"/>
                  <w:tcBorders>
                    <w:top w:val="single" w:color="auto" w:sz="12" w:space="0"/>
                    <w:left w:val="single" w:color="auto" w:sz="6" w:space="0"/>
                    <w:bottom w:val="single" w:color="auto" w:sz="6" w:space="0"/>
                    <w:right w:val="nil"/>
                  </w:tcBorders>
                  <w:vAlign w:val="center"/>
                </w:tcPr>
                <w:p w14:paraId="54D17D45">
                  <w:pPr>
                    <w:jc w:val="center"/>
                    <w:rPr>
                      <w:b/>
                      <w:color w:val="auto"/>
                      <w:sz w:val="18"/>
                      <w:szCs w:val="18"/>
                    </w:rPr>
                  </w:pPr>
                </w:p>
              </w:tc>
            </w:tr>
            <w:tr w14:paraId="41ADC57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28" w:type="dxa"/>
                  <w:left w:w="108" w:type="dxa"/>
                  <w:bottom w:w="28" w:type="dxa"/>
                  <w:right w:w="108" w:type="dxa"/>
                </w:tblCellMar>
              </w:tblPrEx>
              <w:trPr>
                <w:trHeight w:val="227" w:hRule="atLeast"/>
                <w:jc w:val="center"/>
              </w:trPr>
              <w:tc>
                <w:tcPr>
                  <w:tcW w:w="288" w:type="pct"/>
                  <w:vMerge w:val="continue"/>
                  <w:tcBorders>
                    <w:top w:val="single" w:color="auto" w:sz="12" w:space="0"/>
                    <w:left w:val="nil"/>
                    <w:bottom w:val="single" w:color="auto" w:sz="6" w:space="0"/>
                    <w:right w:val="single" w:color="auto" w:sz="6" w:space="0"/>
                  </w:tcBorders>
                  <w:vAlign w:val="center"/>
                </w:tcPr>
                <w:p w14:paraId="6AE18F89">
                  <w:pPr>
                    <w:widowControl/>
                    <w:jc w:val="left"/>
                    <w:rPr>
                      <w:b/>
                      <w:color w:val="auto"/>
                      <w:sz w:val="18"/>
                      <w:szCs w:val="18"/>
                    </w:rPr>
                  </w:pPr>
                </w:p>
              </w:tc>
              <w:tc>
                <w:tcPr>
                  <w:tcW w:w="1008" w:type="pct"/>
                  <w:vMerge w:val="continue"/>
                  <w:tcBorders>
                    <w:top w:val="single" w:color="auto" w:sz="12" w:space="0"/>
                    <w:left w:val="single" w:color="auto" w:sz="6" w:space="0"/>
                    <w:bottom w:val="single" w:color="auto" w:sz="6" w:space="0"/>
                    <w:right w:val="single" w:color="auto" w:sz="6" w:space="0"/>
                  </w:tcBorders>
                  <w:vAlign w:val="center"/>
                </w:tcPr>
                <w:p w14:paraId="6A4C5CD9">
                  <w:pPr>
                    <w:widowControl/>
                    <w:jc w:val="left"/>
                    <w:rPr>
                      <w:b/>
                      <w:color w:val="auto"/>
                      <w:sz w:val="18"/>
                      <w:szCs w:val="18"/>
                    </w:rPr>
                  </w:pPr>
                </w:p>
              </w:tc>
              <w:tc>
                <w:tcPr>
                  <w:tcW w:w="481" w:type="pct"/>
                  <w:vMerge w:val="continue"/>
                  <w:tcBorders>
                    <w:top w:val="single" w:color="auto" w:sz="12" w:space="0"/>
                    <w:left w:val="single" w:color="auto" w:sz="6" w:space="0"/>
                    <w:bottom w:val="single" w:color="auto" w:sz="6" w:space="0"/>
                    <w:right w:val="single" w:color="auto" w:sz="6" w:space="0"/>
                  </w:tcBorders>
                  <w:vAlign w:val="center"/>
                </w:tcPr>
                <w:p w14:paraId="0E92E832">
                  <w:pPr>
                    <w:widowControl/>
                    <w:jc w:val="left"/>
                    <w:rPr>
                      <w:b/>
                      <w:color w:val="auto"/>
                      <w:sz w:val="18"/>
                      <w:szCs w:val="18"/>
                    </w:rPr>
                  </w:pPr>
                </w:p>
              </w:tc>
              <w:tc>
                <w:tcPr>
                  <w:tcW w:w="414" w:type="pct"/>
                  <w:vMerge w:val="continue"/>
                  <w:tcBorders>
                    <w:top w:val="single" w:color="auto" w:sz="12" w:space="0"/>
                    <w:left w:val="single" w:color="auto" w:sz="6" w:space="0"/>
                    <w:bottom w:val="single" w:color="auto" w:sz="6" w:space="0"/>
                    <w:right w:val="single" w:color="auto" w:sz="6" w:space="0"/>
                  </w:tcBorders>
                  <w:vAlign w:val="center"/>
                </w:tcPr>
                <w:p w14:paraId="34E28734">
                  <w:pPr>
                    <w:widowControl/>
                    <w:jc w:val="left"/>
                    <w:rPr>
                      <w:b/>
                      <w:color w:val="auto"/>
                      <w:sz w:val="18"/>
                      <w:szCs w:val="18"/>
                    </w:rPr>
                  </w:pPr>
                </w:p>
              </w:tc>
              <w:tc>
                <w:tcPr>
                  <w:tcW w:w="937" w:type="pct"/>
                  <w:vMerge w:val="continue"/>
                  <w:tcBorders>
                    <w:top w:val="single" w:color="auto" w:sz="12" w:space="0"/>
                    <w:left w:val="single" w:color="auto" w:sz="6" w:space="0"/>
                    <w:bottom w:val="single" w:color="auto" w:sz="6" w:space="0"/>
                    <w:right w:val="single" w:color="auto" w:sz="6" w:space="0"/>
                  </w:tcBorders>
                  <w:vAlign w:val="center"/>
                </w:tcPr>
                <w:p w14:paraId="7169A2D7">
                  <w:pPr>
                    <w:widowControl/>
                    <w:jc w:val="left"/>
                    <w:rPr>
                      <w:b/>
                      <w:color w:val="auto"/>
                      <w:sz w:val="18"/>
                      <w:szCs w:val="18"/>
                    </w:rPr>
                  </w:pPr>
                </w:p>
              </w:tc>
              <w:tc>
                <w:tcPr>
                  <w:tcW w:w="654" w:type="pct"/>
                  <w:vMerge w:val="continue"/>
                  <w:tcBorders>
                    <w:top w:val="single" w:color="auto" w:sz="12" w:space="0"/>
                    <w:left w:val="single" w:color="auto" w:sz="6" w:space="0"/>
                    <w:bottom w:val="single" w:color="auto" w:sz="6" w:space="0"/>
                    <w:right w:val="single" w:color="auto" w:sz="6" w:space="0"/>
                  </w:tcBorders>
                  <w:vAlign w:val="center"/>
                </w:tcPr>
                <w:p w14:paraId="7C9900D9">
                  <w:pPr>
                    <w:widowControl/>
                    <w:jc w:val="left"/>
                    <w:rPr>
                      <w:b/>
                      <w:color w:val="auto"/>
                      <w:sz w:val="18"/>
                      <w:szCs w:val="18"/>
                    </w:rPr>
                  </w:pPr>
                </w:p>
              </w:tc>
              <w:tc>
                <w:tcPr>
                  <w:tcW w:w="418" w:type="pct"/>
                  <w:tcBorders>
                    <w:top w:val="single" w:color="auto" w:sz="6" w:space="0"/>
                    <w:left w:val="single" w:color="auto" w:sz="6" w:space="0"/>
                    <w:bottom w:val="single" w:color="auto" w:sz="6" w:space="0"/>
                    <w:right w:val="single" w:color="auto" w:sz="6" w:space="0"/>
                  </w:tcBorders>
                  <w:vAlign w:val="center"/>
                </w:tcPr>
                <w:p w14:paraId="02689F32">
                  <w:pPr>
                    <w:jc w:val="center"/>
                    <w:rPr>
                      <w:b/>
                      <w:color w:val="auto"/>
                      <w:sz w:val="18"/>
                      <w:szCs w:val="18"/>
                    </w:rPr>
                  </w:pPr>
                </w:p>
              </w:tc>
              <w:tc>
                <w:tcPr>
                  <w:tcW w:w="333" w:type="pct"/>
                  <w:tcBorders>
                    <w:top w:val="single" w:color="auto" w:sz="6" w:space="0"/>
                    <w:left w:val="single" w:color="auto" w:sz="6" w:space="0"/>
                    <w:bottom w:val="single" w:color="auto" w:sz="6" w:space="0"/>
                    <w:right w:val="single" w:color="auto" w:sz="6" w:space="0"/>
                  </w:tcBorders>
                  <w:vAlign w:val="center"/>
                </w:tcPr>
                <w:p w14:paraId="02B0038E">
                  <w:pPr>
                    <w:jc w:val="center"/>
                    <w:rPr>
                      <w:b/>
                      <w:color w:val="auto"/>
                      <w:sz w:val="18"/>
                      <w:szCs w:val="18"/>
                    </w:rPr>
                  </w:pPr>
                </w:p>
              </w:tc>
              <w:tc>
                <w:tcPr>
                  <w:tcW w:w="467" w:type="pct"/>
                  <w:tcBorders>
                    <w:top w:val="single" w:color="auto" w:sz="6" w:space="0"/>
                    <w:left w:val="single" w:color="auto" w:sz="6" w:space="0"/>
                    <w:bottom w:val="single" w:color="auto" w:sz="6" w:space="0"/>
                    <w:right w:val="nil"/>
                  </w:tcBorders>
                  <w:vAlign w:val="center"/>
                </w:tcPr>
                <w:p w14:paraId="4CB11CE1">
                  <w:pPr>
                    <w:jc w:val="center"/>
                    <w:rPr>
                      <w:b/>
                      <w:color w:val="auto"/>
                      <w:sz w:val="18"/>
                      <w:szCs w:val="18"/>
                    </w:rPr>
                  </w:pPr>
                </w:p>
              </w:tc>
            </w:tr>
            <w:tr w14:paraId="27C90A3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28" w:type="dxa"/>
                  <w:left w:w="108" w:type="dxa"/>
                  <w:bottom w:w="28" w:type="dxa"/>
                  <w:right w:w="108" w:type="dxa"/>
                </w:tblCellMar>
              </w:tblPrEx>
              <w:trPr>
                <w:trHeight w:val="227" w:hRule="atLeast"/>
                <w:jc w:val="center"/>
              </w:trPr>
              <w:tc>
                <w:tcPr>
                  <w:tcW w:w="288" w:type="pct"/>
                  <w:tcBorders>
                    <w:top w:val="single" w:color="auto" w:sz="6" w:space="0"/>
                    <w:left w:val="nil"/>
                    <w:bottom w:val="single" w:color="auto" w:sz="6" w:space="0"/>
                    <w:right w:val="single" w:color="auto" w:sz="6" w:space="0"/>
                  </w:tcBorders>
                  <w:vAlign w:val="center"/>
                </w:tcPr>
                <w:p w14:paraId="427C7ADC">
                  <w:pPr>
                    <w:jc w:val="center"/>
                    <w:rPr>
                      <w:color w:val="auto"/>
                      <w:sz w:val="18"/>
                      <w:szCs w:val="18"/>
                    </w:rPr>
                  </w:pPr>
                </w:p>
              </w:tc>
              <w:tc>
                <w:tcPr>
                  <w:tcW w:w="1008" w:type="pct"/>
                  <w:tcBorders>
                    <w:top w:val="single" w:color="auto" w:sz="6" w:space="0"/>
                    <w:left w:val="single" w:color="auto" w:sz="6" w:space="0"/>
                    <w:bottom w:val="single" w:color="auto" w:sz="6" w:space="0"/>
                    <w:right w:val="single" w:color="auto" w:sz="6" w:space="0"/>
                  </w:tcBorders>
                  <w:vAlign w:val="center"/>
                </w:tcPr>
                <w:p w14:paraId="3C821899">
                  <w:pPr>
                    <w:jc w:val="center"/>
                    <w:rPr>
                      <w:color w:val="auto"/>
                      <w:sz w:val="18"/>
                      <w:szCs w:val="18"/>
                    </w:rPr>
                  </w:pPr>
                </w:p>
              </w:tc>
              <w:tc>
                <w:tcPr>
                  <w:tcW w:w="481" w:type="pct"/>
                  <w:tcBorders>
                    <w:top w:val="single" w:color="auto" w:sz="6" w:space="0"/>
                    <w:left w:val="single" w:color="auto" w:sz="6" w:space="0"/>
                    <w:bottom w:val="single" w:color="auto" w:sz="6" w:space="0"/>
                    <w:right w:val="single" w:color="auto" w:sz="6" w:space="0"/>
                  </w:tcBorders>
                  <w:vAlign w:val="center"/>
                </w:tcPr>
                <w:p w14:paraId="65F674C7">
                  <w:pPr>
                    <w:jc w:val="center"/>
                    <w:rPr>
                      <w:color w:val="auto"/>
                      <w:sz w:val="18"/>
                      <w:szCs w:val="18"/>
                    </w:rPr>
                  </w:pPr>
                </w:p>
              </w:tc>
              <w:tc>
                <w:tcPr>
                  <w:tcW w:w="414" w:type="pct"/>
                  <w:tcBorders>
                    <w:top w:val="single" w:color="auto" w:sz="6" w:space="0"/>
                    <w:left w:val="single" w:color="auto" w:sz="6" w:space="0"/>
                    <w:bottom w:val="single" w:color="auto" w:sz="6" w:space="0"/>
                    <w:right w:val="single" w:color="auto" w:sz="6" w:space="0"/>
                  </w:tcBorders>
                  <w:vAlign w:val="center"/>
                </w:tcPr>
                <w:p w14:paraId="3AEAF645">
                  <w:pPr>
                    <w:jc w:val="center"/>
                    <w:rPr>
                      <w:color w:val="auto"/>
                      <w:sz w:val="18"/>
                      <w:szCs w:val="18"/>
                    </w:rPr>
                  </w:pPr>
                </w:p>
              </w:tc>
              <w:tc>
                <w:tcPr>
                  <w:tcW w:w="937" w:type="pct"/>
                  <w:tcBorders>
                    <w:top w:val="single" w:color="auto" w:sz="6" w:space="0"/>
                    <w:left w:val="single" w:color="auto" w:sz="6" w:space="0"/>
                    <w:bottom w:val="single" w:color="auto" w:sz="6" w:space="0"/>
                    <w:right w:val="single" w:color="auto" w:sz="6" w:space="0"/>
                  </w:tcBorders>
                  <w:vAlign w:val="center"/>
                </w:tcPr>
                <w:p w14:paraId="62F69832">
                  <w:pPr>
                    <w:jc w:val="center"/>
                    <w:rPr>
                      <w:color w:val="auto"/>
                      <w:sz w:val="18"/>
                      <w:szCs w:val="18"/>
                    </w:rPr>
                  </w:pPr>
                </w:p>
              </w:tc>
              <w:tc>
                <w:tcPr>
                  <w:tcW w:w="654" w:type="pct"/>
                  <w:tcBorders>
                    <w:top w:val="single" w:color="auto" w:sz="6" w:space="0"/>
                    <w:left w:val="single" w:color="auto" w:sz="6" w:space="0"/>
                    <w:bottom w:val="single" w:color="auto" w:sz="6" w:space="0"/>
                    <w:right w:val="single" w:color="auto" w:sz="6" w:space="0"/>
                  </w:tcBorders>
                  <w:vAlign w:val="center"/>
                </w:tcPr>
                <w:p w14:paraId="29399BEB">
                  <w:pPr>
                    <w:jc w:val="center"/>
                    <w:rPr>
                      <w:color w:val="auto"/>
                      <w:sz w:val="18"/>
                      <w:szCs w:val="18"/>
                    </w:rPr>
                  </w:pPr>
                </w:p>
              </w:tc>
              <w:tc>
                <w:tcPr>
                  <w:tcW w:w="418" w:type="pct"/>
                  <w:tcBorders>
                    <w:top w:val="single" w:color="auto" w:sz="6" w:space="0"/>
                    <w:left w:val="single" w:color="auto" w:sz="6" w:space="0"/>
                    <w:bottom w:val="single" w:color="auto" w:sz="6" w:space="0"/>
                    <w:right w:val="single" w:color="auto" w:sz="6" w:space="0"/>
                  </w:tcBorders>
                  <w:vAlign w:val="center"/>
                </w:tcPr>
                <w:p w14:paraId="221F5379">
                  <w:pPr>
                    <w:jc w:val="center"/>
                    <w:rPr>
                      <w:color w:val="auto"/>
                      <w:sz w:val="18"/>
                      <w:szCs w:val="18"/>
                    </w:rPr>
                  </w:pPr>
                </w:p>
              </w:tc>
              <w:tc>
                <w:tcPr>
                  <w:tcW w:w="333" w:type="pct"/>
                  <w:tcBorders>
                    <w:top w:val="single" w:color="auto" w:sz="6" w:space="0"/>
                    <w:left w:val="single" w:color="auto" w:sz="6" w:space="0"/>
                    <w:bottom w:val="single" w:color="auto" w:sz="6" w:space="0"/>
                    <w:right w:val="single" w:color="auto" w:sz="6" w:space="0"/>
                  </w:tcBorders>
                  <w:vAlign w:val="center"/>
                </w:tcPr>
                <w:p w14:paraId="26D21F47">
                  <w:pPr>
                    <w:jc w:val="center"/>
                    <w:rPr>
                      <w:color w:val="auto"/>
                      <w:sz w:val="18"/>
                      <w:szCs w:val="18"/>
                    </w:rPr>
                  </w:pPr>
                </w:p>
              </w:tc>
              <w:tc>
                <w:tcPr>
                  <w:tcW w:w="467" w:type="pct"/>
                  <w:vMerge w:val="restart"/>
                  <w:tcBorders>
                    <w:top w:val="single" w:color="auto" w:sz="6" w:space="0"/>
                    <w:left w:val="single" w:color="auto" w:sz="6" w:space="0"/>
                    <w:right w:val="nil"/>
                  </w:tcBorders>
                  <w:vAlign w:val="center"/>
                </w:tcPr>
                <w:p w14:paraId="6606A3DC">
                  <w:pPr>
                    <w:jc w:val="center"/>
                    <w:rPr>
                      <w:color w:val="auto"/>
                      <w:sz w:val="18"/>
                      <w:szCs w:val="18"/>
                    </w:rPr>
                  </w:pPr>
                </w:p>
              </w:tc>
            </w:tr>
            <w:tr w14:paraId="714700D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28" w:type="dxa"/>
                  <w:left w:w="108" w:type="dxa"/>
                  <w:bottom w:w="28" w:type="dxa"/>
                  <w:right w:w="108" w:type="dxa"/>
                </w:tblCellMar>
              </w:tblPrEx>
              <w:trPr>
                <w:trHeight w:val="227" w:hRule="atLeast"/>
                <w:jc w:val="center"/>
              </w:trPr>
              <w:tc>
                <w:tcPr>
                  <w:tcW w:w="288" w:type="pct"/>
                  <w:tcBorders>
                    <w:top w:val="single" w:color="auto" w:sz="6" w:space="0"/>
                    <w:left w:val="nil"/>
                    <w:bottom w:val="single" w:color="auto" w:sz="6" w:space="0"/>
                    <w:right w:val="single" w:color="auto" w:sz="6" w:space="0"/>
                  </w:tcBorders>
                  <w:vAlign w:val="center"/>
                </w:tcPr>
                <w:p w14:paraId="6698900D">
                  <w:pPr>
                    <w:jc w:val="center"/>
                    <w:rPr>
                      <w:color w:val="auto"/>
                      <w:sz w:val="18"/>
                      <w:szCs w:val="18"/>
                    </w:rPr>
                  </w:pPr>
                </w:p>
              </w:tc>
              <w:tc>
                <w:tcPr>
                  <w:tcW w:w="1008" w:type="pct"/>
                  <w:tcBorders>
                    <w:top w:val="single" w:color="auto" w:sz="6" w:space="0"/>
                    <w:left w:val="single" w:color="auto" w:sz="6" w:space="0"/>
                    <w:bottom w:val="single" w:color="auto" w:sz="6" w:space="0"/>
                    <w:right w:val="single" w:color="auto" w:sz="6" w:space="0"/>
                  </w:tcBorders>
                  <w:vAlign w:val="center"/>
                </w:tcPr>
                <w:p w14:paraId="05DB40E8">
                  <w:pPr>
                    <w:jc w:val="center"/>
                    <w:rPr>
                      <w:color w:val="auto"/>
                      <w:sz w:val="18"/>
                      <w:szCs w:val="18"/>
                    </w:rPr>
                  </w:pPr>
                </w:p>
              </w:tc>
              <w:tc>
                <w:tcPr>
                  <w:tcW w:w="481" w:type="pct"/>
                  <w:tcBorders>
                    <w:top w:val="single" w:color="auto" w:sz="6" w:space="0"/>
                    <w:left w:val="single" w:color="auto" w:sz="6" w:space="0"/>
                    <w:bottom w:val="single" w:color="auto" w:sz="6" w:space="0"/>
                    <w:right w:val="single" w:color="auto" w:sz="6" w:space="0"/>
                  </w:tcBorders>
                  <w:vAlign w:val="center"/>
                </w:tcPr>
                <w:p w14:paraId="4755B343">
                  <w:pPr>
                    <w:jc w:val="center"/>
                    <w:rPr>
                      <w:color w:val="auto"/>
                      <w:sz w:val="18"/>
                      <w:szCs w:val="18"/>
                    </w:rPr>
                  </w:pPr>
                </w:p>
              </w:tc>
              <w:tc>
                <w:tcPr>
                  <w:tcW w:w="414" w:type="pct"/>
                  <w:tcBorders>
                    <w:top w:val="single" w:color="auto" w:sz="6" w:space="0"/>
                    <w:left w:val="single" w:color="auto" w:sz="6" w:space="0"/>
                    <w:bottom w:val="single" w:color="auto" w:sz="6" w:space="0"/>
                    <w:right w:val="single" w:color="auto" w:sz="6" w:space="0"/>
                  </w:tcBorders>
                  <w:vAlign w:val="center"/>
                </w:tcPr>
                <w:p w14:paraId="3DCAE6E9">
                  <w:pPr>
                    <w:jc w:val="center"/>
                    <w:rPr>
                      <w:color w:val="auto"/>
                      <w:sz w:val="18"/>
                      <w:szCs w:val="18"/>
                    </w:rPr>
                  </w:pPr>
                </w:p>
              </w:tc>
              <w:tc>
                <w:tcPr>
                  <w:tcW w:w="937" w:type="pct"/>
                  <w:tcBorders>
                    <w:top w:val="single" w:color="auto" w:sz="6" w:space="0"/>
                    <w:left w:val="single" w:color="auto" w:sz="6" w:space="0"/>
                    <w:bottom w:val="single" w:color="auto" w:sz="6" w:space="0"/>
                    <w:right w:val="single" w:color="auto" w:sz="6" w:space="0"/>
                  </w:tcBorders>
                  <w:vAlign w:val="center"/>
                </w:tcPr>
                <w:p w14:paraId="2C093CC2">
                  <w:pPr>
                    <w:jc w:val="center"/>
                    <w:rPr>
                      <w:color w:val="auto"/>
                      <w:sz w:val="18"/>
                      <w:szCs w:val="18"/>
                    </w:rPr>
                  </w:pPr>
                </w:p>
              </w:tc>
              <w:tc>
                <w:tcPr>
                  <w:tcW w:w="654" w:type="pct"/>
                  <w:tcBorders>
                    <w:top w:val="single" w:color="auto" w:sz="6" w:space="0"/>
                    <w:left w:val="single" w:color="auto" w:sz="6" w:space="0"/>
                    <w:bottom w:val="single" w:color="auto" w:sz="6" w:space="0"/>
                    <w:right w:val="single" w:color="auto" w:sz="6" w:space="0"/>
                  </w:tcBorders>
                  <w:vAlign w:val="center"/>
                </w:tcPr>
                <w:p w14:paraId="796C9638">
                  <w:pPr>
                    <w:jc w:val="center"/>
                    <w:rPr>
                      <w:color w:val="auto"/>
                      <w:sz w:val="18"/>
                      <w:szCs w:val="18"/>
                    </w:rPr>
                  </w:pPr>
                </w:p>
              </w:tc>
              <w:tc>
                <w:tcPr>
                  <w:tcW w:w="418" w:type="pct"/>
                  <w:tcBorders>
                    <w:top w:val="single" w:color="auto" w:sz="6" w:space="0"/>
                    <w:left w:val="single" w:color="auto" w:sz="6" w:space="0"/>
                    <w:bottom w:val="single" w:color="auto" w:sz="6" w:space="0"/>
                    <w:right w:val="single" w:color="auto" w:sz="6" w:space="0"/>
                  </w:tcBorders>
                  <w:vAlign w:val="center"/>
                </w:tcPr>
                <w:p w14:paraId="55CBE7F1">
                  <w:pPr>
                    <w:jc w:val="center"/>
                    <w:rPr>
                      <w:color w:val="auto"/>
                      <w:sz w:val="18"/>
                      <w:szCs w:val="18"/>
                    </w:rPr>
                  </w:pPr>
                </w:p>
              </w:tc>
              <w:tc>
                <w:tcPr>
                  <w:tcW w:w="333" w:type="pct"/>
                  <w:tcBorders>
                    <w:top w:val="single" w:color="auto" w:sz="6" w:space="0"/>
                    <w:left w:val="single" w:color="auto" w:sz="6" w:space="0"/>
                    <w:bottom w:val="single" w:color="auto" w:sz="6" w:space="0"/>
                    <w:right w:val="single" w:color="auto" w:sz="6" w:space="0"/>
                  </w:tcBorders>
                  <w:vAlign w:val="center"/>
                </w:tcPr>
                <w:p w14:paraId="0A8DDD4C">
                  <w:pPr>
                    <w:jc w:val="center"/>
                    <w:rPr>
                      <w:color w:val="auto"/>
                      <w:sz w:val="18"/>
                      <w:szCs w:val="18"/>
                    </w:rPr>
                  </w:pPr>
                </w:p>
              </w:tc>
              <w:tc>
                <w:tcPr>
                  <w:tcW w:w="467" w:type="pct"/>
                  <w:vMerge w:val="continue"/>
                  <w:tcBorders>
                    <w:top w:val="single" w:color="auto" w:sz="6" w:space="0"/>
                    <w:left w:val="single" w:color="auto" w:sz="6" w:space="0"/>
                    <w:right w:val="nil"/>
                  </w:tcBorders>
                  <w:vAlign w:val="center"/>
                </w:tcPr>
                <w:p w14:paraId="7F6F70CA">
                  <w:pPr>
                    <w:jc w:val="center"/>
                    <w:rPr>
                      <w:color w:val="auto"/>
                      <w:sz w:val="18"/>
                      <w:szCs w:val="18"/>
                    </w:rPr>
                  </w:pPr>
                </w:p>
              </w:tc>
            </w:tr>
            <w:tr w14:paraId="6D3A408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227" w:hRule="atLeast"/>
                <w:jc w:val="center"/>
              </w:trPr>
              <w:tc>
                <w:tcPr>
                  <w:tcW w:w="288" w:type="pct"/>
                  <w:tcBorders>
                    <w:top w:val="single" w:color="auto" w:sz="6" w:space="0"/>
                    <w:left w:val="nil"/>
                    <w:bottom w:val="single" w:color="auto" w:sz="6" w:space="0"/>
                    <w:right w:val="single" w:color="auto" w:sz="6" w:space="0"/>
                  </w:tcBorders>
                  <w:vAlign w:val="center"/>
                </w:tcPr>
                <w:p w14:paraId="4BF779D7">
                  <w:pPr>
                    <w:jc w:val="center"/>
                    <w:rPr>
                      <w:color w:val="auto"/>
                      <w:sz w:val="18"/>
                      <w:szCs w:val="18"/>
                    </w:rPr>
                  </w:pPr>
                </w:p>
              </w:tc>
              <w:tc>
                <w:tcPr>
                  <w:tcW w:w="1008" w:type="pct"/>
                  <w:tcBorders>
                    <w:top w:val="single" w:color="auto" w:sz="6" w:space="0"/>
                    <w:left w:val="single" w:color="auto" w:sz="6" w:space="0"/>
                    <w:bottom w:val="single" w:color="auto" w:sz="6" w:space="0"/>
                    <w:right w:val="single" w:color="auto" w:sz="6" w:space="0"/>
                  </w:tcBorders>
                  <w:vAlign w:val="center"/>
                </w:tcPr>
                <w:p w14:paraId="700A0931">
                  <w:pPr>
                    <w:jc w:val="center"/>
                    <w:rPr>
                      <w:color w:val="auto"/>
                      <w:sz w:val="18"/>
                      <w:szCs w:val="18"/>
                    </w:rPr>
                  </w:pPr>
                </w:p>
              </w:tc>
              <w:tc>
                <w:tcPr>
                  <w:tcW w:w="481" w:type="pct"/>
                  <w:tcBorders>
                    <w:top w:val="single" w:color="auto" w:sz="6" w:space="0"/>
                    <w:left w:val="single" w:color="auto" w:sz="6" w:space="0"/>
                    <w:bottom w:val="single" w:color="auto" w:sz="6" w:space="0"/>
                    <w:right w:val="single" w:color="auto" w:sz="6" w:space="0"/>
                  </w:tcBorders>
                  <w:vAlign w:val="center"/>
                </w:tcPr>
                <w:p w14:paraId="4C0F7FB5">
                  <w:pPr>
                    <w:jc w:val="center"/>
                    <w:rPr>
                      <w:color w:val="auto"/>
                      <w:sz w:val="18"/>
                      <w:szCs w:val="18"/>
                    </w:rPr>
                  </w:pPr>
                </w:p>
              </w:tc>
              <w:tc>
                <w:tcPr>
                  <w:tcW w:w="414" w:type="pct"/>
                  <w:tcBorders>
                    <w:top w:val="single" w:color="auto" w:sz="6" w:space="0"/>
                    <w:left w:val="single" w:color="auto" w:sz="6" w:space="0"/>
                    <w:bottom w:val="single" w:color="auto" w:sz="6" w:space="0"/>
                    <w:right w:val="single" w:color="auto" w:sz="6" w:space="0"/>
                  </w:tcBorders>
                  <w:vAlign w:val="center"/>
                </w:tcPr>
                <w:p w14:paraId="09A3139B">
                  <w:pPr>
                    <w:jc w:val="center"/>
                    <w:rPr>
                      <w:color w:val="auto"/>
                      <w:sz w:val="18"/>
                      <w:szCs w:val="18"/>
                    </w:rPr>
                  </w:pPr>
                </w:p>
              </w:tc>
              <w:tc>
                <w:tcPr>
                  <w:tcW w:w="937" w:type="pct"/>
                  <w:tcBorders>
                    <w:top w:val="single" w:color="auto" w:sz="6" w:space="0"/>
                    <w:left w:val="single" w:color="auto" w:sz="6" w:space="0"/>
                    <w:bottom w:val="single" w:color="auto" w:sz="6" w:space="0"/>
                    <w:right w:val="single" w:color="auto" w:sz="6" w:space="0"/>
                  </w:tcBorders>
                  <w:vAlign w:val="center"/>
                </w:tcPr>
                <w:p w14:paraId="5033D469">
                  <w:pPr>
                    <w:jc w:val="center"/>
                    <w:rPr>
                      <w:color w:val="auto"/>
                      <w:sz w:val="18"/>
                      <w:szCs w:val="18"/>
                    </w:rPr>
                  </w:pPr>
                </w:p>
              </w:tc>
              <w:tc>
                <w:tcPr>
                  <w:tcW w:w="654" w:type="pct"/>
                  <w:tcBorders>
                    <w:top w:val="single" w:color="auto" w:sz="6" w:space="0"/>
                    <w:left w:val="single" w:color="auto" w:sz="6" w:space="0"/>
                    <w:bottom w:val="single" w:color="auto" w:sz="6" w:space="0"/>
                    <w:right w:val="single" w:color="auto" w:sz="6" w:space="0"/>
                  </w:tcBorders>
                  <w:vAlign w:val="center"/>
                </w:tcPr>
                <w:p w14:paraId="6F689556">
                  <w:pPr>
                    <w:jc w:val="center"/>
                    <w:rPr>
                      <w:color w:val="auto"/>
                      <w:sz w:val="18"/>
                      <w:szCs w:val="18"/>
                    </w:rPr>
                  </w:pPr>
                </w:p>
              </w:tc>
              <w:tc>
                <w:tcPr>
                  <w:tcW w:w="418" w:type="pct"/>
                  <w:tcBorders>
                    <w:top w:val="single" w:color="auto" w:sz="6" w:space="0"/>
                    <w:left w:val="single" w:color="auto" w:sz="6" w:space="0"/>
                    <w:bottom w:val="single" w:color="auto" w:sz="6" w:space="0"/>
                    <w:right w:val="single" w:color="auto" w:sz="6" w:space="0"/>
                  </w:tcBorders>
                  <w:vAlign w:val="center"/>
                </w:tcPr>
                <w:p w14:paraId="1A35F23D">
                  <w:pPr>
                    <w:jc w:val="center"/>
                    <w:rPr>
                      <w:color w:val="auto"/>
                      <w:sz w:val="18"/>
                      <w:szCs w:val="18"/>
                    </w:rPr>
                  </w:pPr>
                </w:p>
              </w:tc>
              <w:tc>
                <w:tcPr>
                  <w:tcW w:w="333" w:type="pct"/>
                  <w:tcBorders>
                    <w:top w:val="single" w:color="auto" w:sz="6" w:space="0"/>
                    <w:left w:val="single" w:color="auto" w:sz="6" w:space="0"/>
                    <w:bottom w:val="single" w:color="auto" w:sz="6" w:space="0"/>
                    <w:right w:val="single" w:color="auto" w:sz="6" w:space="0"/>
                  </w:tcBorders>
                  <w:vAlign w:val="center"/>
                </w:tcPr>
                <w:p w14:paraId="229ADA84">
                  <w:pPr>
                    <w:jc w:val="center"/>
                    <w:rPr>
                      <w:color w:val="auto"/>
                      <w:sz w:val="18"/>
                      <w:szCs w:val="18"/>
                    </w:rPr>
                  </w:pPr>
                </w:p>
              </w:tc>
              <w:tc>
                <w:tcPr>
                  <w:tcW w:w="467" w:type="pct"/>
                  <w:vMerge w:val="continue"/>
                  <w:tcBorders>
                    <w:left w:val="single" w:color="auto" w:sz="6" w:space="0"/>
                    <w:right w:val="nil"/>
                  </w:tcBorders>
                  <w:vAlign w:val="center"/>
                </w:tcPr>
                <w:p w14:paraId="29BDB0F4">
                  <w:pPr>
                    <w:jc w:val="center"/>
                    <w:rPr>
                      <w:color w:val="auto"/>
                      <w:sz w:val="18"/>
                      <w:szCs w:val="18"/>
                    </w:rPr>
                  </w:pPr>
                </w:p>
              </w:tc>
            </w:tr>
            <w:tr w14:paraId="023978C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28" w:type="dxa"/>
                  <w:left w:w="108" w:type="dxa"/>
                  <w:bottom w:w="28" w:type="dxa"/>
                  <w:right w:w="108" w:type="dxa"/>
                </w:tblCellMar>
              </w:tblPrEx>
              <w:trPr>
                <w:trHeight w:val="227" w:hRule="atLeast"/>
                <w:jc w:val="center"/>
              </w:trPr>
              <w:tc>
                <w:tcPr>
                  <w:tcW w:w="288" w:type="pct"/>
                  <w:tcBorders>
                    <w:top w:val="single" w:color="auto" w:sz="6" w:space="0"/>
                    <w:left w:val="nil"/>
                    <w:bottom w:val="single" w:color="auto" w:sz="6" w:space="0"/>
                    <w:right w:val="single" w:color="auto" w:sz="6" w:space="0"/>
                  </w:tcBorders>
                  <w:vAlign w:val="center"/>
                </w:tcPr>
                <w:p w14:paraId="6ECB5F1A">
                  <w:pPr>
                    <w:jc w:val="center"/>
                    <w:rPr>
                      <w:color w:val="auto"/>
                      <w:sz w:val="18"/>
                      <w:szCs w:val="18"/>
                    </w:rPr>
                  </w:pPr>
                </w:p>
              </w:tc>
              <w:tc>
                <w:tcPr>
                  <w:tcW w:w="1008" w:type="pct"/>
                  <w:tcBorders>
                    <w:top w:val="single" w:color="auto" w:sz="6" w:space="0"/>
                    <w:left w:val="single" w:color="auto" w:sz="6" w:space="0"/>
                    <w:bottom w:val="single" w:color="auto" w:sz="6" w:space="0"/>
                    <w:right w:val="single" w:color="auto" w:sz="6" w:space="0"/>
                  </w:tcBorders>
                  <w:vAlign w:val="center"/>
                </w:tcPr>
                <w:p w14:paraId="0B0C4848">
                  <w:pPr>
                    <w:jc w:val="center"/>
                    <w:rPr>
                      <w:color w:val="auto"/>
                      <w:sz w:val="18"/>
                      <w:szCs w:val="18"/>
                    </w:rPr>
                  </w:pPr>
                </w:p>
              </w:tc>
              <w:tc>
                <w:tcPr>
                  <w:tcW w:w="481" w:type="pct"/>
                  <w:tcBorders>
                    <w:top w:val="single" w:color="auto" w:sz="6" w:space="0"/>
                    <w:left w:val="single" w:color="auto" w:sz="6" w:space="0"/>
                    <w:bottom w:val="single" w:color="auto" w:sz="6" w:space="0"/>
                    <w:right w:val="single" w:color="auto" w:sz="6" w:space="0"/>
                  </w:tcBorders>
                  <w:vAlign w:val="center"/>
                </w:tcPr>
                <w:p w14:paraId="713DB1EB">
                  <w:pPr>
                    <w:jc w:val="center"/>
                    <w:rPr>
                      <w:color w:val="auto"/>
                      <w:sz w:val="18"/>
                      <w:szCs w:val="18"/>
                    </w:rPr>
                  </w:pPr>
                </w:p>
              </w:tc>
              <w:tc>
                <w:tcPr>
                  <w:tcW w:w="414" w:type="pct"/>
                  <w:tcBorders>
                    <w:top w:val="single" w:color="auto" w:sz="6" w:space="0"/>
                    <w:left w:val="single" w:color="auto" w:sz="6" w:space="0"/>
                    <w:bottom w:val="single" w:color="auto" w:sz="6" w:space="0"/>
                    <w:right w:val="single" w:color="auto" w:sz="6" w:space="0"/>
                  </w:tcBorders>
                  <w:vAlign w:val="center"/>
                </w:tcPr>
                <w:p w14:paraId="66DF7450">
                  <w:pPr>
                    <w:jc w:val="center"/>
                    <w:rPr>
                      <w:color w:val="auto"/>
                      <w:sz w:val="18"/>
                      <w:szCs w:val="18"/>
                    </w:rPr>
                  </w:pPr>
                </w:p>
              </w:tc>
              <w:tc>
                <w:tcPr>
                  <w:tcW w:w="937" w:type="pct"/>
                  <w:tcBorders>
                    <w:top w:val="single" w:color="auto" w:sz="6" w:space="0"/>
                    <w:left w:val="single" w:color="auto" w:sz="6" w:space="0"/>
                    <w:bottom w:val="single" w:color="auto" w:sz="6" w:space="0"/>
                    <w:right w:val="single" w:color="auto" w:sz="6" w:space="0"/>
                  </w:tcBorders>
                  <w:vAlign w:val="center"/>
                </w:tcPr>
                <w:p w14:paraId="257E094A">
                  <w:pPr>
                    <w:jc w:val="center"/>
                    <w:rPr>
                      <w:color w:val="auto"/>
                      <w:sz w:val="18"/>
                      <w:szCs w:val="18"/>
                    </w:rPr>
                  </w:pPr>
                </w:p>
              </w:tc>
              <w:tc>
                <w:tcPr>
                  <w:tcW w:w="654" w:type="pct"/>
                  <w:tcBorders>
                    <w:top w:val="single" w:color="auto" w:sz="6" w:space="0"/>
                    <w:left w:val="single" w:color="auto" w:sz="6" w:space="0"/>
                    <w:bottom w:val="single" w:color="auto" w:sz="6" w:space="0"/>
                    <w:right w:val="single" w:color="auto" w:sz="6" w:space="0"/>
                  </w:tcBorders>
                  <w:vAlign w:val="center"/>
                </w:tcPr>
                <w:p w14:paraId="6F3728C2">
                  <w:pPr>
                    <w:jc w:val="center"/>
                    <w:rPr>
                      <w:rFonts w:hint="default" w:eastAsia="宋体"/>
                      <w:color w:val="auto"/>
                      <w:sz w:val="18"/>
                      <w:szCs w:val="18"/>
                      <w:lang w:val="en-US" w:eastAsia="zh-CN"/>
                    </w:rPr>
                  </w:pPr>
                </w:p>
              </w:tc>
              <w:tc>
                <w:tcPr>
                  <w:tcW w:w="418" w:type="pct"/>
                  <w:tcBorders>
                    <w:top w:val="single" w:color="auto" w:sz="6" w:space="0"/>
                    <w:left w:val="single" w:color="auto" w:sz="6" w:space="0"/>
                    <w:bottom w:val="single" w:color="auto" w:sz="6" w:space="0"/>
                    <w:right w:val="single" w:color="auto" w:sz="6" w:space="0"/>
                  </w:tcBorders>
                  <w:vAlign w:val="center"/>
                </w:tcPr>
                <w:p w14:paraId="32238241">
                  <w:pPr>
                    <w:jc w:val="center"/>
                    <w:rPr>
                      <w:color w:val="auto"/>
                      <w:sz w:val="18"/>
                      <w:szCs w:val="18"/>
                    </w:rPr>
                  </w:pPr>
                </w:p>
              </w:tc>
              <w:tc>
                <w:tcPr>
                  <w:tcW w:w="333" w:type="pct"/>
                  <w:tcBorders>
                    <w:top w:val="single" w:color="auto" w:sz="6" w:space="0"/>
                    <w:left w:val="single" w:color="auto" w:sz="6" w:space="0"/>
                    <w:bottom w:val="single" w:color="auto" w:sz="6" w:space="0"/>
                    <w:right w:val="single" w:color="auto" w:sz="6" w:space="0"/>
                  </w:tcBorders>
                  <w:vAlign w:val="center"/>
                </w:tcPr>
                <w:p w14:paraId="1748C11F">
                  <w:pPr>
                    <w:jc w:val="center"/>
                    <w:rPr>
                      <w:color w:val="auto"/>
                      <w:sz w:val="18"/>
                      <w:szCs w:val="18"/>
                    </w:rPr>
                  </w:pPr>
                </w:p>
              </w:tc>
              <w:tc>
                <w:tcPr>
                  <w:tcW w:w="467" w:type="pct"/>
                  <w:vMerge w:val="continue"/>
                  <w:tcBorders>
                    <w:left w:val="single" w:color="auto" w:sz="6" w:space="0"/>
                    <w:right w:val="nil"/>
                  </w:tcBorders>
                  <w:vAlign w:val="center"/>
                </w:tcPr>
                <w:p w14:paraId="5D257D01">
                  <w:pPr>
                    <w:jc w:val="center"/>
                    <w:rPr>
                      <w:color w:val="auto"/>
                      <w:sz w:val="18"/>
                      <w:szCs w:val="18"/>
                    </w:rPr>
                  </w:pPr>
                </w:p>
              </w:tc>
            </w:tr>
            <w:tr w14:paraId="537E8DD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28" w:type="dxa"/>
                  <w:left w:w="108" w:type="dxa"/>
                  <w:bottom w:w="28" w:type="dxa"/>
                  <w:right w:w="108" w:type="dxa"/>
                </w:tblCellMar>
              </w:tblPrEx>
              <w:trPr>
                <w:trHeight w:val="227" w:hRule="atLeast"/>
                <w:jc w:val="center"/>
              </w:trPr>
              <w:tc>
                <w:tcPr>
                  <w:tcW w:w="288" w:type="pct"/>
                  <w:tcBorders>
                    <w:top w:val="single" w:color="auto" w:sz="6" w:space="0"/>
                    <w:left w:val="nil"/>
                    <w:bottom w:val="single" w:color="auto" w:sz="6" w:space="0"/>
                    <w:right w:val="single" w:color="auto" w:sz="6" w:space="0"/>
                  </w:tcBorders>
                  <w:vAlign w:val="center"/>
                </w:tcPr>
                <w:p w14:paraId="2CFB392D">
                  <w:pPr>
                    <w:jc w:val="center"/>
                    <w:rPr>
                      <w:rFonts w:hint="eastAsia" w:eastAsia="宋体"/>
                      <w:color w:val="auto"/>
                      <w:sz w:val="18"/>
                      <w:szCs w:val="18"/>
                      <w:lang w:val="en-US" w:eastAsia="zh-CN"/>
                    </w:rPr>
                  </w:pPr>
                </w:p>
              </w:tc>
              <w:tc>
                <w:tcPr>
                  <w:tcW w:w="1008" w:type="pct"/>
                  <w:tcBorders>
                    <w:top w:val="single" w:color="auto" w:sz="6" w:space="0"/>
                    <w:left w:val="single" w:color="auto" w:sz="6" w:space="0"/>
                    <w:bottom w:val="single" w:color="auto" w:sz="6" w:space="0"/>
                    <w:right w:val="single" w:color="auto" w:sz="6" w:space="0"/>
                  </w:tcBorders>
                  <w:vAlign w:val="center"/>
                </w:tcPr>
                <w:p w14:paraId="67AFA53E">
                  <w:pPr>
                    <w:jc w:val="center"/>
                    <w:rPr>
                      <w:rFonts w:hint="eastAsia"/>
                      <w:color w:val="auto"/>
                      <w:sz w:val="18"/>
                      <w:szCs w:val="18"/>
                    </w:rPr>
                  </w:pPr>
                </w:p>
              </w:tc>
              <w:tc>
                <w:tcPr>
                  <w:tcW w:w="712" w:type="dxa"/>
                  <w:tcBorders>
                    <w:top w:val="single" w:color="auto" w:sz="6" w:space="0"/>
                    <w:left w:val="single" w:color="auto" w:sz="6" w:space="0"/>
                    <w:bottom w:val="single" w:color="auto" w:sz="6" w:space="0"/>
                    <w:right w:val="single" w:color="auto" w:sz="6" w:space="0"/>
                  </w:tcBorders>
                  <w:vAlign w:val="center"/>
                </w:tcPr>
                <w:p w14:paraId="4A53D905">
                  <w:pPr>
                    <w:jc w:val="center"/>
                    <w:rPr>
                      <w:rFonts w:hint="eastAsia"/>
                      <w:color w:val="auto"/>
                      <w:sz w:val="18"/>
                      <w:szCs w:val="18"/>
                    </w:rPr>
                  </w:pPr>
                </w:p>
              </w:tc>
              <w:tc>
                <w:tcPr>
                  <w:tcW w:w="598" w:type="dxa"/>
                  <w:tcBorders>
                    <w:top w:val="single" w:color="auto" w:sz="6" w:space="0"/>
                    <w:left w:val="single" w:color="auto" w:sz="6" w:space="0"/>
                    <w:bottom w:val="single" w:color="auto" w:sz="6" w:space="0"/>
                    <w:right w:val="single" w:color="auto" w:sz="6" w:space="0"/>
                  </w:tcBorders>
                  <w:vAlign w:val="center"/>
                </w:tcPr>
                <w:p w14:paraId="09BE4D66">
                  <w:pPr>
                    <w:jc w:val="center"/>
                    <w:rPr>
                      <w:rFonts w:hint="eastAsia"/>
                      <w:color w:val="auto"/>
                      <w:sz w:val="18"/>
                      <w:szCs w:val="18"/>
                    </w:rPr>
                  </w:pPr>
                </w:p>
              </w:tc>
              <w:tc>
                <w:tcPr>
                  <w:tcW w:w="937" w:type="pct"/>
                  <w:tcBorders>
                    <w:top w:val="single" w:color="auto" w:sz="6" w:space="0"/>
                    <w:left w:val="single" w:color="auto" w:sz="6" w:space="0"/>
                    <w:bottom w:val="single" w:color="auto" w:sz="6" w:space="0"/>
                    <w:right w:val="single" w:color="auto" w:sz="6" w:space="0"/>
                  </w:tcBorders>
                  <w:vAlign w:val="center"/>
                </w:tcPr>
                <w:p w14:paraId="572E16CA">
                  <w:pPr>
                    <w:jc w:val="center"/>
                    <w:rPr>
                      <w:rFonts w:hint="default" w:eastAsia="宋体"/>
                      <w:color w:val="auto"/>
                      <w:sz w:val="18"/>
                      <w:szCs w:val="18"/>
                      <w:lang w:val="en-US" w:eastAsia="zh-CN"/>
                    </w:rPr>
                  </w:pPr>
                </w:p>
              </w:tc>
              <w:tc>
                <w:tcPr>
                  <w:tcW w:w="654" w:type="pct"/>
                  <w:tcBorders>
                    <w:top w:val="single" w:color="auto" w:sz="6" w:space="0"/>
                    <w:left w:val="single" w:color="auto" w:sz="6" w:space="0"/>
                    <w:bottom w:val="single" w:color="auto" w:sz="6" w:space="0"/>
                    <w:right w:val="single" w:color="auto" w:sz="6" w:space="0"/>
                  </w:tcBorders>
                  <w:vAlign w:val="center"/>
                </w:tcPr>
                <w:p w14:paraId="43B31AA9">
                  <w:pPr>
                    <w:jc w:val="center"/>
                    <w:rPr>
                      <w:rFonts w:hint="default" w:eastAsia="宋体"/>
                      <w:color w:val="auto"/>
                      <w:sz w:val="18"/>
                      <w:szCs w:val="18"/>
                      <w:lang w:val="en-US" w:eastAsia="zh-CN"/>
                    </w:rPr>
                  </w:pPr>
                </w:p>
              </w:tc>
              <w:tc>
                <w:tcPr>
                  <w:tcW w:w="604" w:type="dxa"/>
                  <w:tcBorders>
                    <w:top w:val="single" w:color="auto" w:sz="6" w:space="0"/>
                    <w:left w:val="single" w:color="auto" w:sz="6" w:space="0"/>
                    <w:bottom w:val="single" w:color="auto" w:sz="6" w:space="0"/>
                    <w:right w:val="single" w:color="auto" w:sz="6" w:space="0"/>
                  </w:tcBorders>
                  <w:vAlign w:val="center"/>
                </w:tcPr>
                <w:p w14:paraId="3ACD292B">
                  <w:pPr>
                    <w:jc w:val="center"/>
                    <w:rPr>
                      <w:color w:val="auto"/>
                      <w:sz w:val="18"/>
                      <w:szCs w:val="18"/>
                    </w:rPr>
                  </w:pPr>
                </w:p>
              </w:tc>
              <w:tc>
                <w:tcPr>
                  <w:tcW w:w="459" w:type="dxa"/>
                  <w:tcBorders>
                    <w:top w:val="single" w:color="auto" w:sz="6" w:space="0"/>
                    <w:left w:val="single" w:color="auto" w:sz="6" w:space="0"/>
                    <w:bottom w:val="single" w:color="auto" w:sz="6" w:space="0"/>
                    <w:right w:val="single" w:color="auto" w:sz="6" w:space="0"/>
                  </w:tcBorders>
                  <w:vAlign w:val="center"/>
                </w:tcPr>
                <w:p w14:paraId="222F9EE7">
                  <w:pPr>
                    <w:jc w:val="center"/>
                    <w:rPr>
                      <w:color w:val="auto"/>
                      <w:sz w:val="18"/>
                      <w:szCs w:val="18"/>
                    </w:rPr>
                  </w:pPr>
                </w:p>
              </w:tc>
              <w:tc>
                <w:tcPr>
                  <w:tcW w:w="467" w:type="pct"/>
                  <w:vMerge w:val="continue"/>
                  <w:tcBorders>
                    <w:left w:val="single" w:color="auto" w:sz="6" w:space="0"/>
                    <w:right w:val="nil"/>
                  </w:tcBorders>
                  <w:vAlign w:val="center"/>
                </w:tcPr>
                <w:p w14:paraId="2DE0F4E5">
                  <w:pPr>
                    <w:jc w:val="center"/>
                    <w:rPr>
                      <w:color w:val="auto"/>
                      <w:sz w:val="18"/>
                      <w:szCs w:val="18"/>
                    </w:rPr>
                  </w:pPr>
                </w:p>
              </w:tc>
            </w:tr>
            <w:tr w14:paraId="6691EF8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28" w:type="dxa"/>
                  <w:left w:w="108" w:type="dxa"/>
                  <w:bottom w:w="28" w:type="dxa"/>
                  <w:right w:w="108" w:type="dxa"/>
                </w:tblCellMar>
              </w:tblPrEx>
              <w:trPr>
                <w:trHeight w:val="227" w:hRule="atLeast"/>
                <w:jc w:val="center"/>
              </w:trPr>
              <w:tc>
                <w:tcPr>
                  <w:tcW w:w="288" w:type="pct"/>
                  <w:tcBorders>
                    <w:top w:val="single" w:color="auto" w:sz="6" w:space="0"/>
                    <w:left w:val="nil"/>
                    <w:bottom w:val="single" w:color="auto" w:sz="6" w:space="0"/>
                    <w:right w:val="single" w:color="auto" w:sz="6" w:space="0"/>
                  </w:tcBorders>
                  <w:vAlign w:val="center"/>
                </w:tcPr>
                <w:p w14:paraId="310F8855">
                  <w:pPr>
                    <w:jc w:val="center"/>
                    <w:rPr>
                      <w:rFonts w:hint="eastAsia" w:eastAsia="宋体"/>
                      <w:color w:val="auto"/>
                      <w:sz w:val="18"/>
                      <w:szCs w:val="18"/>
                      <w:lang w:eastAsia="zh-CN"/>
                    </w:rPr>
                  </w:pPr>
                </w:p>
              </w:tc>
              <w:tc>
                <w:tcPr>
                  <w:tcW w:w="1008" w:type="pct"/>
                  <w:tcBorders>
                    <w:top w:val="single" w:color="auto" w:sz="6" w:space="0"/>
                    <w:left w:val="single" w:color="auto" w:sz="6" w:space="0"/>
                    <w:bottom w:val="single" w:color="auto" w:sz="6" w:space="0"/>
                    <w:right w:val="single" w:color="auto" w:sz="6" w:space="0"/>
                  </w:tcBorders>
                  <w:vAlign w:val="center"/>
                </w:tcPr>
                <w:p w14:paraId="7A51C949">
                  <w:pPr>
                    <w:jc w:val="center"/>
                    <w:rPr>
                      <w:color w:val="auto"/>
                      <w:sz w:val="18"/>
                      <w:szCs w:val="18"/>
                    </w:rPr>
                  </w:pPr>
                </w:p>
              </w:tc>
              <w:tc>
                <w:tcPr>
                  <w:tcW w:w="481" w:type="pct"/>
                  <w:tcBorders>
                    <w:top w:val="single" w:color="auto" w:sz="6" w:space="0"/>
                    <w:left w:val="single" w:color="auto" w:sz="6" w:space="0"/>
                    <w:bottom w:val="single" w:color="auto" w:sz="6" w:space="0"/>
                    <w:right w:val="single" w:color="auto" w:sz="6" w:space="0"/>
                  </w:tcBorders>
                  <w:vAlign w:val="center"/>
                </w:tcPr>
                <w:p w14:paraId="79BEF27E">
                  <w:pPr>
                    <w:jc w:val="center"/>
                    <w:rPr>
                      <w:color w:val="auto"/>
                      <w:sz w:val="18"/>
                      <w:szCs w:val="18"/>
                    </w:rPr>
                  </w:pPr>
                </w:p>
              </w:tc>
              <w:tc>
                <w:tcPr>
                  <w:tcW w:w="414" w:type="pct"/>
                  <w:tcBorders>
                    <w:top w:val="single" w:color="auto" w:sz="6" w:space="0"/>
                    <w:left w:val="single" w:color="auto" w:sz="6" w:space="0"/>
                    <w:bottom w:val="single" w:color="auto" w:sz="6" w:space="0"/>
                    <w:right w:val="single" w:color="auto" w:sz="6" w:space="0"/>
                  </w:tcBorders>
                  <w:vAlign w:val="center"/>
                </w:tcPr>
                <w:p w14:paraId="48619C9F">
                  <w:pPr>
                    <w:jc w:val="center"/>
                    <w:rPr>
                      <w:color w:val="auto"/>
                      <w:sz w:val="18"/>
                      <w:szCs w:val="18"/>
                    </w:rPr>
                  </w:pPr>
                </w:p>
              </w:tc>
              <w:tc>
                <w:tcPr>
                  <w:tcW w:w="937" w:type="pct"/>
                  <w:tcBorders>
                    <w:top w:val="single" w:color="auto" w:sz="6" w:space="0"/>
                    <w:left w:val="single" w:color="auto" w:sz="6" w:space="0"/>
                    <w:bottom w:val="single" w:color="auto" w:sz="6" w:space="0"/>
                    <w:right w:val="single" w:color="auto" w:sz="6" w:space="0"/>
                  </w:tcBorders>
                  <w:vAlign w:val="center"/>
                </w:tcPr>
                <w:p w14:paraId="7CD78BA1">
                  <w:pPr>
                    <w:jc w:val="center"/>
                    <w:rPr>
                      <w:color w:val="auto"/>
                      <w:sz w:val="18"/>
                      <w:szCs w:val="18"/>
                    </w:rPr>
                  </w:pPr>
                </w:p>
              </w:tc>
              <w:tc>
                <w:tcPr>
                  <w:tcW w:w="654" w:type="pct"/>
                  <w:tcBorders>
                    <w:top w:val="single" w:color="auto" w:sz="6" w:space="0"/>
                    <w:left w:val="single" w:color="auto" w:sz="6" w:space="0"/>
                    <w:bottom w:val="single" w:color="auto" w:sz="6" w:space="0"/>
                    <w:right w:val="single" w:color="auto" w:sz="6" w:space="0"/>
                  </w:tcBorders>
                  <w:vAlign w:val="center"/>
                </w:tcPr>
                <w:p w14:paraId="1317DAB3">
                  <w:pPr>
                    <w:jc w:val="center"/>
                    <w:rPr>
                      <w:color w:val="auto"/>
                      <w:sz w:val="18"/>
                      <w:szCs w:val="18"/>
                    </w:rPr>
                  </w:pPr>
                </w:p>
              </w:tc>
              <w:tc>
                <w:tcPr>
                  <w:tcW w:w="604" w:type="dxa"/>
                  <w:tcBorders>
                    <w:top w:val="single" w:color="auto" w:sz="6" w:space="0"/>
                    <w:left w:val="single" w:color="auto" w:sz="6" w:space="0"/>
                    <w:bottom w:val="single" w:color="auto" w:sz="6" w:space="0"/>
                    <w:right w:val="single" w:color="auto" w:sz="6" w:space="0"/>
                  </w:tcBorders>
                  <w:vAlign w:val="center"/>
                </w:tcPr>
                <w:p w14:paraId="769EAD97">
                  <w:pPr>
                    <w:jc w:val="center"/>
                    <w:rPr>
                      <w:color w:val="auto"/>
                      <w:sz w:val="18"/>
                      <w:szCs w:val="18"/>
                    </w:rPr>
                  </w:pPr>
                </w:p>
              </w:tc>
              <w:tc>
                <w:tcPr>
                  <w:tcW w:w="459" w:type="dxa"/>
                  <w:tcBorders>
                    <w:top w:val="single" w:color="auto" w:sz="6" w:space="0"/>
                    <w:left w:val="single" w:color="auto" w:sz="6" w:space="0"/>
                    <w:bottom w:val="single" w:color="auto" w:sz="6" w:space="0"/>
                    <w:right w:val="single" w:color="auto" w:sz="6" w:space="0"/>
                  </w:tcBorders>
                  <w:vAlign w:val="center"/>
                </w:tcPr>
                <w:p w14:paraId="01FAA6C8">
                  <w:pPr>
                    <w:jc w:val="center"/>
                    <w:rPr>
                      <w:color w:val="auto"/>
                      <w:sz w:val="18"/>
                      <w:szCs w:val="18"/>
                    </w:rPr>
                  </w:pPr>
                </w:p>
              </w:tc>
              <w:tc>
                <w:tcPr>
                  <w:tcW w:w="467" w:type="pct"/>
                  <w:vMerge w:val="continue"/>
                  <w:tcBorders>
                    <w:left w:val="single" w:color="auto" w:sz="6" w:space="0"/>
                    <w:right w:val="nil"/>
                  </w:tcBorders>
                  <w:vAlign w:val="center"/>
                </w:tcPr>
                <w:p w14:paraId="317B6085">
                  <w:pPr>
                    <w:jc w:val="center"/>
                    <w:rPr>
                      <w:color w:val="auto"/>
                      <w:sz w:val="18"/>
                      <w:szCs w:val="18"/>
                    </w:rPr>
                  </w:pPr>
                </w:p>
              </w:tc>
            </w:tr>
            <w:tr w14:paraId="45707DD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28" w:type="dxa"/>
                  <w:left w:w="108" w:type="dxa"/>
                  <w:bottom w:w="28" w:type="dxa"/>
                  <w:right w:w="108" w:type="dxa"/>
                </w:tblCellMar>
              </w:tblPrEx>
              <w:trPr>
                <w:trHeight w:val="227" w:hRule="atLeast"/>
                <w:jc w:val="center"/>
              </w:trPr>
              <w:tc>
                <w:tcPr>
                  <w:tcW w:w="288" w:type="pct"/>
                  <w:tcBorders>
                    <w:top w:val="single" w:color="auto" w:sz="6" w:space="0"/>
                    <w:left w:val="nil"/>
                    <w:right w:val="single" w:color="auto" w:sz="6" w:space="0"/>
                  </w:tcBorders>
                  <w:vAlign w:val="center"/>
                </w:tcPr>
                <w:p w14:paraId="71DBA6A9">
                  <w:pPr>
                    <w:jc w:val="center"/>
                    <w:rPr>
                      <w:rFonts w:hint="eastAsia" w:eastAsia="宋体"/>
                      <w:color w:val="auto"/>
                      <w:sz w:val="18"/>
                      <w:szCs w:val="18"/>
                      <w:lang w:eastAsia="zh-CN"/>
                    </w:rPr>
                  </w:pPr>
                </w:p>
              </w:tc>
              <w:tc>
                <w:tcPr>
                  <w:tcW w:w="1008" w:type="pct"/>
                  <w:tcBorders>
                    <w:top w:val="single" w:color="auto" w:sz="6" w:space="0"/>
                    <w:left w:val="single" w:color="auto" w:sz="6" w:space="0"/>
                    <w:right w:val="single" w:color="auto" w:sz="6" w:space="0"/>
                  </w:tcBorders>
                  <w:vAlign w:val="center"/>
                </w:tcPr>
                <w:p w14:paraId="129593F7">
                  <w:pPr>
                    <w:jc w:val="center"/>
                    <w:rPr>
                      <w:color w:val="auto"/>
                      <w:sz w:val="18"/>
                      <w:szCs w:val="18"/>
                    </w:rPr>
                  </w:pPr>
                </w:p>
              </w:tc>
              <w:tc>
                <w:tcPr>
                  <w:tcW w:w="481" w:type="pct"/>
                  <w:tcBorders>
                    <w:top w:val="single" w:color="auto" w:sz="6" w:space="0"/>
                    <w:left w:val="single" w:color="auto" w:sz="6" w:space="0"/>
                    <w:right w:val="single" w:color="auto" w:sz="6" w:space="0"/>
                  </w:tcBorders>
                  <w:vAlign w:val="center"/>
                </w:tcPr>
                <w:p w14:paraId="0F5A2ACC">
                  <w:pPr>
                    <w:jc w:val="center"/>
                    <w:rPr>
                      <w:color w:val="auto"/>
                      <w:sz w:val="18"/>
                      <w:szCs w:val="18"/>
                    </w:rPr>
                  </w:pPr>
                </w:p>
              </w:tc>
              <w:tc>
                <w:tcPr>
                  <w:tcW w:w="414" w:type="pct"/>
                  <w:tcBorders>
                    <w:top w:val="single" w:color="auto" w:sz="6" w:space="0"/>
                    <w:left w:val="single" w:color="auto" w:sz="6" w:space="0"/>
                    <w:right w:val="single" w:color="auto" w:sz="6" w:space="0"/>
                  </w:tcBorders>
                  <w:vAlign w:val="center"/>
                </w:tcPr>
                <w:p w14:paraId="11289334">
                  <w:pPr>
                    <w:jc w:val="center"/>
                    <w:rPr>
                      <w:color w:val="auto"/>
                      <w:sz w:val="18"/>
                      <w:szCs w:val="18"/>
                    </w:rPr>
                  </w:pPr>
                </w:p>
              </w:tc>
              <w:tc>
                <w:tcPr>
                  <w:tcW w:w="937" w:type="pct"/>
                  <w:tcBorders>
                    <w:top w:val="single" w:color="auto" w:sz="6" w:space="0"/>
                    <w:left w:val="single" w:color="auto" w:sz="6" w:space="0"/>
                    <w:right w:val="single" w:color="auto" w:sz="6" w:space="0"/>
                  </w:tcBorders>
                  <w:vAlign w:val="center"/>
                </w:tcPr>
                <w:p w14:paraId="5CA3E31E">
                  <w:pPr>
                    <w:jc w:val="center"/>
                    <w:rPr>
                      <w:color w:val="auto"/>
                      <w:sz w:val="18"/>
                      <w:szCs w:val="18"/>
                    </w:rPr>
                  </w:pPr>
                </w:p>
              </w:tc>
              <w:tc>
                <w:tcPr>
                  <w:tcW w:w="654" w:type="pct"/>
                  <w:tcBorders>
                    <w:top w:val="single" w:color="auto" w:sz="6" w:space="0"/>
                    <w:left w:val="single" w:color="auto" w:sz="6" w:space="0"/>
                    <w:right w:val="single" w:color="auto" w:sz="6" w:space="0"/>
                  </w:tcBorders>
                  <w:vAlign w:val="center"/>
                </w:tcPr>
                <w:p w14:paraId="164CDCB4">
                  <w:pPr>
                    <w:jc w:val="center"/>
                    <w:rPr>
                      <w:color w:val="auto"/>
                      <w:sz w:val="18"/>
                      <w:szCs w:val="18"/>
                    </w:rPr>
                  </w:pPr>
                </w:p>
              </w:tc>
              <w:tc>
                <w:tcPr>
                  <w:tcW w:w="418" w:type="pct"/>
                  <w:tcBorders>
                    <w:top w:val="single" w:color="auto" w:sz="6" w:space="0"/>
                    <w:left w:val="single" w:color="auto" w:sz="6" w:space="0"/>
                    <w:right w:val="single" w:color="auto" w:sz="6" w:space="0"/>
                  </w:tcBorders>
                  <w:vAlign w:val="center"/>
                </w:tcPr>
                <w:p w14:paraId="1DBBA0F6">
                  <w:pPr>
                    <w:jc w:val="center"/>
                    <w:rPr>
                      <w:color w:val="auto"/>
                      <w:sz w:val="18"/>
                      <w:szCs w:val="18"/>
                    </w:rPr>
                  </w:pPr>
                </w:p>
              </w:tc>
              <w:tc>
                <w:tcPr>
                  <w:tcW w:w="333" w:type="pct"/>
                  <w:tcBorders>
                    <w:top w:val="single" w:color="auto" w:sz="6" w:space="0"/>
                    <w:left w:val="single" w:color="auto" w:sz="6" w:space="0"/>
                    <w:right w:val="single" w:color="auto" w:sz="6" w:space="0"/>
                  </w:tcBorders>
                  <w:vAlign w:val="center"/>
                </w:tcPr>
                <w:p w14:paraId="421AC05A">
                  <w:pPr>
                    <w:jc w:val="center"/>
                    <w:rPr>
                      <w:color w:val="auto"/>
                      <w:sz w:val="18"/>
                      <w:szCs w:val="18"/>
                    </w:rPr>
                  </w:pPr>
                </w:p>
              </w:tc>
              <w:tc>
                <w:tcPr>
                  <w:tcW w:w="467" w:type="pct"/>
                  <w:vMerge w:val="continue"/>
                  <w:tcBorders>
                    <w:left w:val="single" w:color="auto" w:sz="6" w:space="0"/>
                    <w:right w:val="nil"/>
                  </w:tcBorders>
                  <w:vAlign w:val="center"/>
                </w:tcPr>
                <w:p w14:paraId="1752255F">
                  <w:pPr>
                    <w:jc w:val="center"/>
                    <w:rPr>
                      <w:color w:val="auto"/>
                      <w:sz w:val="18"/>
                      <w:szCs w:val="18"/>
                    </w:rPr>
                  </w:pPr>
                </w:p>
              </w:tc>
            </w:tr>
          </w:tbl>
          <w:p w14:paraId="079849CC">
            <w:pPr>
              <w:snapToGrid w:val="0"/>
              <w:spacing w:line="500" w:lineRule="exact"/>
              <w:jc w:val="center"/>
              <w:rPr>
                <w:b/>
                <w:color w:val="auto"/>
                <w:szCs w:val="21"/>
              </w:rPr>
            </w:pPr>
            <w:r>
              <w:rPr>
                <w:rFonts w:hint="eastAsia"/>
                <w:b/>
                <w:color w:val="auto"/>
                <w:szCs w:val="21"/>
              </w:rPr>
              <w:t>表</w:t>
            </w:r>
            <w:r>
              <w:rPr>
                <w:b/>
                <w:color w:val="auto"/>
                <w:szCs w:val="21"/>
              </w:rPr>
              <w:t>4-9</w:t>
            </w:r>
            <w:r>
              <w:rPr>
                <w:rFonts w:hint="eastAsia"/>
                <w:b/>
                <w:color w:val="auto"/>
                <w:szCs w:val="21"/>
              </w:rPr>
              <w:t>本项目固体废物产生情况汇总表</w:t>
            </w:r>
          </w:p>
          <w:tbl>
            <w:tblPr>
              <w:tblStyle w:val="21"/>
              <w:tblW w:w="0" w:type="auto"/>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28" w:type="dxa"/>
                <w:left w:w="108" w:type="dxa"/>
                <w:bottom w:w="28" w:type="dxa"/>
                <w:right w:w="108" w:type="dxa"/>
              </w:tblCellMar>
            </w:tblPr>
            <w:tblGrid>
              <w:gridCol w:w="374"/>
              <w:gridCol w:w="974"/>
              <w:gridCol w:w="659"/>
              <w:gridCol w:w="733"/>
              <w:gridCol w:w="508"/>
              <w:gridCol w:w="1292"/>
              <w:gridCol w:w="1050"/>
              <w:gridCol w:w="836"/>
              <w:gridCol w:w="725"/>
              <w:gridCol w:w="1401"/>
            </w:tblGrid>
            <w:tr w14:paraId="6AD1F3F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28" w:type="dxa"/>
                  <w:left w:w="108" w:type="dxa"/>
                  <w:bottom w:w="28" w:type="dxa"/>
                  <w:right w:w="108" w:type="dxa"/>
                </w:tblCellMar>
              </w:tblPrEx>
              <w:trPr>
                <w:jc w:val="center"/>
              </w:trPr>
              <w:tc>
                <w:tcPr>
                  <w:tcW w:w="374" w:type="dxa"/>
                  <w:vAlign w:val="center"/>
                </w:tcPr>
                <w:p w14:paraId="7853BC6C">
                  <w:pPr>
                    <w:ind w:left="-53" w:leftChars="-25" w:right="-53" w:rightChars="-25"/>
                    <w:jc w:val="center"/>
                    <w:rPr>
                      <w:b/>
                      <w:color w:val="auto"/>
                      <w:sz w:val="18"/>
                      <w:szCs w:val="18"/>
                    </w:rPr>
                  </w:pPr>
                </w:p>
              </w:tc>
              <w:tc>
                <w:tcPr>
                  <w:tcW w:w="974" w:type="dxa"/>
                  <w:vAlign w:val="center"/>
                </w:tcPr>
                <w:p w14:paraId="3F70669B">
                  <w:pPr>
                    <w:ind w:left="-53" w:leftChars="-25" w:right="-53" w:rightChars="-25"/>
                    <w:jc w:val="center"/>
                    <w:rPr>
                      <w:b/>
                      <w:color w:val="auto"/>
                      <w:sz w:val="18"/>
                      <w:szCs w:val="18"/>
                    </w:rPr>
                  </w:pPr>
                </w:p>
              </w:tc>
              <w:tc>
                <w:tcPr>
                  <w:tcW w:w="659" w:type="dxa"/>
                  <w:vAlign w:val="center"/>
                </w:tcPr>
                <w:p w14:paraId="561D2D63">
                  <w:pPr>
                    <w:ind w:left="-53" w:leftChars="-25" w:right="-53" w:rightChars="-25"/>
                    <w:jc w:val="center"/>
                    <w:rPr>
                      <w:b/>
                      <w:color w:val="auto"/>
                      <w:sz w:val="18"/>
                      <w:szCs w:val="18"/>
                    </w:rPr>
                  </w:pPr>
                </w:p>
              </w:tc>
              <w:tc>
                <w:tcPr>
                  <w:tcW w:w="733" w:type="dxa"/>
                  <w:vAlign w:val="center"/>
                </w:tcPr>
                <w:p w14:paraId="38630A14">
                  <w:pPr>
                    <w:ind w:left="-53" w:leftChars="-25" w:right="-53" w:rightChars="-25"/>
                    <w:jc w:val="center"/>
                    <w:rPr>
                      <w:b/>
                      <w:color w:val="auto"/>
                      <w:sz w:val="18"/>
                      <w:szCs w:val="18"/>
                    </w:rPr>
                  </w:pPr>
                </w:p>
              </w:tc>
              <w:tc>
                <w:tcPr>
                  <w:tcW w:w="508" w:type="dxa"/>
                  <w:vAlign w:val="center"/>
                </w:tcPr>
                <w:p w14:paraId="4A86764F">
                  <w:pPr>
                    <w:ind w:left="-53" w:leftChars="-25" w:right="-53" w:rightChars="-25"/>
                    <w:jc w:val="center"/>
                    <w:rPr>
                      <w:b/>
                      <w:color w:val="auto"/>
                      <w:sz w:val="18"/>
                      <w:szCs w:val="18"/>
                    </w:rPr>
                  </w:pPr>
                </w:p>
              </w:tc>
              <w:tc>
                <w:tcPr>
                  <w:tcW w:w="1292" w:type="dxa"/>
                  <w:vAlign w:val="center"/>
                </w:tcPr>
                <w:p w14:paraId="237594C2">
                  <w:pPr>
                    <w:ind w:left="-53" w:leftChars="-25" w:right="-53" w:rightChars="-25"/>
                    <w:jc w:val="center"/>
                    <w:rPr>
                      <w:b/>
                      <w:color w:val="auto"/>
                      <w:sz w:val="18"/>
                      <w:szCs w:val="18"/>
                    </w:rPr>
                  </w:pPr>
                </w:p>
              </w:tc>
              <w:tc>
                <w:tcPr>
                  <w:tcW w:w="1050" w:type="dxa"/>
                  <w:vAlign w:val="center"/>
                </w:tcPr>
                <w:p w14:paraId="70D8AB11">
                  <w:pPr>
                    <w:ind w:left="-53" w:leftChars="-25" w:right="-53" w:rightChars="-25"/>
                    <w:jc w:val="center"/>
                    <w:rPr>
                      <w:b/>
                      <w:color w:val="auto"/>
                      <w:sz w:val="18"/>
                      <w:szCs w:val="18"/>
                    </w:rPr>
                  </w:pPr>
                </w:p>
              </w:tc>
              <w:tc>
                <w:tcPr>
                  <w:tcW w:w="836" w:type="dxa"/>
                  <w:vAlign w:val="center"/>
                </w:tcPr>
                <w:p w14:paraId="4327AE27">
                  <w:pPr>
                    <w:ind w:left="-53" w:leftChars="-25" w:right="-53" w:rightChars="-25"/>
                    <w:jc w:val="center"/>
                    <w:rPr>
                      <w:b/>
                      <w:color w:val="auto"/>
                      <w:sz w:val="18"/>
                      <w:szCs w:val="18"/>
                    </w:rPr>
                  </w:pPr>
                </w:p>
              </w:tc>
              <w:tc>
                <w:tcPr>
                  <w:tcW w:w="725" w:type="dxa"/>
                  <w:vAlign w:val="center"/>
                </w:tcPr>
                <w:p w14:paraId="6450D520">
                  <w:pPr>
                    <w:ind w:left="-53" w:leftChars="-25" w:right="-53" w:rightChars="-25"/>
                    <w:jc w:val="center"/>
                    <w:rPr>
                      <w:b/>
                      <w:color w:val="auto"/>
                      <w:sz w:val="18"/>
                      <w:szCs w:val="18"/>
                    </w:rPr>
                  </w:pPr>
                </w:p>
              </w:tc>
              <w:tc>
                <w:tcPr>
                  <w:tcW w:w="1401" w:type="dxa"/>
                  <w:vAlign w:val="center"/>
                </w:tcPr>
                <w:p w14:paraId="0C0D06FE">
                  <w:pPr>
                    <w:ind w:left="-53" w:leftChars="-25" w:right="-53" w:rightChars="-25"/>
                    <w:jc w:val="center"/>
                    <w:rPr>
                      <w:b/>
                      <w:color w:val="auto"/>
                      <w:sz w:val="18"/>
                      <w:szCs w:val="18"/>
                    </w:rPr>
                  </w:pPr>
                </w:p>
              </w:tc>
            </w:tr>
            <w:tr w14:paraId="0D73D84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28" w:type="dxa"/>
                  <w:left w:w="108" w:type="dxa"/>
                  <w:bottom w:w="28" w:type="dxa"/>
                  <w:right w:w="108" w:type="dxa"/>
                </w:tblCellMar>
              </w:tblPrEx>
              <w:trPr>
                <w:jc w:val="center"/>
              </w:trPr>
              <w:tc>
                <w:tcPr>
                  <w:tcW w:w="374" w:type="dxa"/>
                  <w:vAlign w:val="center"/>
                </w:tcPr>
                <w:p w14:paraId="138A608C">
                  <w:pPr>
                    <w:ind w:left="-53" w:leftChars="-25" w:right="-53" w:rightChars="-25"/>
                    <w:jc w:val="center"/>
                    <w:rPr>
                      <w:color w:val="auto"/>
                      <w:sz w:val="18"/>
                      <w:szCs w:val="18"/>
                    </w:rPr>
                  </w:pPr>
                </w:p>
              </w:tc>
              <w:tc>
                <w:tcPr>
                  <w:tcW w:w="974" w:type="dxa"/>
                  <w:vAlign w:val="center"/>
                </w:tcPr>
                <w:p w14:paraId="3EA68558">
                  <w:pPr>
                    <w:ind w:left="-53" w:leftChars="-25" w:right="-53" w:rightChars="-25"/>
                    <w:jc w:val="center"/>
                    <w:rPr>
                      <w:color w:val="auto"/>
                      <w:sz w:val="18"/>
                      <w:szCs w:val="18"/>
                    </w:rPr>
                  </w:pPr>
                </w:p>
              </w:tc>
              <w:tc>
                <w:tcPr>
                  <w:tcW w:w="659" w:type="dxa"/>
                  <w:vAlign w:val="center"/>
                </w:tcPr>
                <w:p w14:paraId="15565A70">
                  <w:pPr>
                    <w:ind w:left="-53" w:leftChars="-25" w:right="-53" w:rightChars="-25"/>
                    <w:jc w:val="center"/>
                    <w:rPr>
                      <w:color w:val="auto"/>
                      <w:sz w:val="18"/>
                      <w:szCs w:val="18"/>
                    </w:rPr>
                  </w:pPr>
                </w:p>
              </w:tc>
              <w:tc>
                <w:tcPr>
                  <w:tcW w:w="733" w:type="dxa"/>
                  <w:vAlign w:val="center"/>
                </w:tcPr>
                <w:p w14:paraId="2CD82985">
                  <w:pPr>
                    <w:ind w:left="-53" w:leftChars="-25" w:right="-53" w:rightChars="-25"/>
                    <w:jc w:val="center"/>
                    <w:rPr>
                      <w:color w:val="auto"/>
                      <w:sz w:val="18"/>
                      <w:szCs w:val="18"/>
                    </w:rPr>
                  </w:pPr>
                </w:p>
              </w:tc>
              <w:tc>
                <w:tcPr>
                  <w:tcW w:w="508" w:type="dxa"/>
                  <w:vAlign w:val="center"/>
                </w:tcPr>
                <w:p w14:paraId="7BBD9AF2">
                  <w:pPr>
                    <w:ind w:left="-53" w:leftChars="-25" w:right="-53" w:rightChars="-25"/>
                    <w:jc w:val="center"/>
                    <w:rPr>
                      <w:color w:val="auto"/>
                      <w:sz w:val="18"/>
                      <w:szCs w:val="18"/>
                    </w:rPr>
                  </w:pPr>
                </w:p>
              </w:tc>
              <w:tc>
                <w:tcPr>
                  <w:tcW w:w="1292" w:type="dxa"/>
                  <w:vAlign w:val="center"/>
                </w:tcPr>
                <w:p w14:paraId="33EE28A1">
                  <w:pPr>
                    <w:ind w:left="-53" w:leftChars="-25" w:right="-53" w:rightChars="-25"/>
                    <w:jc w:val="center"/>
                    <w:rPr>
                      <w:color w:val="auto"/>
                      <w:sz w:val="18"/>
                      <w:szCs w:val="18"/>
                    </w:rPr>
                  </w:pPr>
                </w:p>
              </w:tc>
              <w:tc>
                <w:tcPr>
                  <w:tcW w:w="1050" w:type="dxa"/>
                  <w:vAlign w:val="center"/>
                </w:tcPr>
                <w:p w14:paraId="66B39BFA">
                  <w:pPr>
                    <w:ind w:left="-53" w:leftChars="-25" w:right="-53" w:rightChars="-25"/>
                    <w:jc w:val="center"/>
                    <w:rPr>
                      <w:color w:val="auto"/>
                      <w:sz w:val="18"/>
                      <w:szCs w:val="18"/>
                    </w:rPr>
                  </w:pPr>
                </w:p>
              </w:tc>
              <w:tc>
                <w:tcPr>
                  <w:tcW w:w="836" w:type="dxa"/>
                  <w:vAlign w:val="center"/>
                </w:tcPr>
                <w:p w14:paraId="1373BF95">
                  <w:pPr>
                    <w:ind w:left="-53" w:leftChars="-25" w:right="-53" w:rightChars="-25"/>
                    <w:jc w:val="center"/>
                    <w:rPr>
                      <w:color w:val="auto"/>
                      <w:sz w:val="18"/>
                      <w:szCs w:val="18"/>
                    </w:rPr>
                  </w:pPr>
                </w:p>
              </w:tc>
              <w:tc>
                <w:tcPr>
                  <w:tcW w:w="725" w:type="dxa"/>
                  <w:vAlign w:val="center"/>
                </w:tcPr>
                <w:p w14:paraId="5A8970F9">
                  <w:pPr>
                    <w:jc w:val="center"/>
                    <w:rPr>
                      <w:color w:val="auto"/>
                      <w:sz w:val="18"/>
                      <w:szCs w:val="18"/>
                    </w:rPr>
                  </w:pPr>
                </w:p>
              </w:tc>
              <w:tc>
                <w:tcPr>
                  <w:tcW w:w="1401" w:type="dxa"/>
                  <w:vAlign w:val="center"/>
                </w:tcPr>
                <w:p w14:paraId="65BFE2FC">
                  <w:pPr>
                    <w:ind w:left="-53" w:leftChars="-25" w:right="-53" w:rightChars="-25"/>
                    <w:jc w:val="center"/>
                    <w:rPr>
                      <w:color w:val="auto"/>
                      <w:sz w:val="18"/>
                      <w:szCs w:val="18"/>
                    </w:rPr>
                  </w:pPr>
                </w:p>
              </w:tc>
            </w:tr>
            <w:tr w14:paraId="0A70236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jc w:val="center"/>
              </w:trPr>
              <w:tc>
                <w:tcPr>
                  <w:tcW w:w="374" w:type="dxa"/>
                  <w:vAlign w:val="center"/>
                </w:tcPr>
                <w:p w14:paraId="303D09DD">
                  <w:pPr>
                    <w:ind w:left="-53" w:leftChars="-25" w:right="-53" w:rightChars="-25"/>
                    <w:jc w:val="center"/>
                    <w:rPr>
                      <w:color w:val="auto"/>
                      <w:sz w:val="18"/>
                      <w:szCs w:val="18"/>
                    </w:rPr>
                  </w:pPr>
                </w:p>
              </w:tc>
              <w:tc>
                <w:tcPr>
                  <w:tcW w:w="974" w:type="dxa"/>
                  <w:vAlign w:val="center"/>
                </w:tcPr>
                <w:p w14:paraId="30B0369B">
                  <w:pPr>
                    <w:ind w:left="-53" w:leftChars="-25" w:right="-53" w:rightChars="-25"/>
                    <w:jc w:val="center"/>
                    <w:rPr>
                      <w:color w:val="auto"/>
                      <w:sz w:val="18"/>
                      <w:szCs w:val="18"/>
                    </w:rPr>
                  </w:pPr>
                </w:p>
              </w:tc>
              <w:tc>
                <w:tcPr>
                  <w:tcW w:w="659" w:type="dxa"/>
                  <w:vAlign w:val="center"/>
                </w:tcPr>
                <w:p w14:paraId="732BB18C">
                  <w:pPr>
                    <w:ind w:left="-53" w:leftChars="-25" w:right="-53" w:rightChars="-25"/>
                    <w:jc w:val="center"/>
                    <w:rPr>
                      <w:color w:val="auto"/>
                      <w:sz w:val="18"/>
                      <w:szCs w:val="18"/>
                    </w:rPr>
                  </w:pPr>
                </w:p>
              </w:tc>
              <w:tc>
                <w:tcPr>
                  <w:tcW w:w="733" w:type="dxa"/>
                  <w:vAlign w:val="center"/>
                </w:tcPr>
                <w:p w14:paraId="6E472E82">
                  <w:pPr>
                    <w:ind w:left="-53" w:leftChars="-25" w:right="-53" w:rightChars="-25"/>
                    <w:jc w:val="center"/>
                    <w:rPr>
                      <w:color w:val="auto"/>
                      <w:sz w:val="18"/>
                      <w:szCs w:val="18"/>
                    </w:rPr>
                  </w:pPr>
                </w:p>
              </w:tc>
              <w:tc>
                <w:tcPr>
                  <w:tcW w:w="508" w:type="dxa"/>
                  <w:vAlign w:val="center"/>
                </w:tcPr>
                <w:p w14:paraId="3BD02BBC">
                  <w:pPr>
                    <w:ind w:left="-53" w:leftChars="-25" w:right="-53" w:rightChars="-25"/>
                    <w:jc w:val="center"/>
                    <w:rPr>
                      <w:color w:val="auto"/>
                      <w:sz w:val="18"/>
                      <w:szCs w:val="18"/>
                    </w:rPr>
                  </w:pPr>
                </w:p>
              </w:tc>
              <w:tc>
                <w:tcPr>
                  <w:tcW w:w="1292" w:type="dxa"/>
                  <w:vAlign w:val="center"/>
                </w:tcPr>
                <w:p w14:paraId="3C2AA489">
                  <w:pPr>
                    <w:ind w:left="-53" w:leftChars="-25" w:right="-53" w:rightChars="-25"/>
                    <w:jc w:val="center"/>
                    <w:rPr>
                      <w:color w:val="auto"/>
                      <w:sz w:val="18"/>
                      <w:szCs w:val="18"/>
                    </w:rPr>
                  </w:pPr>
                </w:p>
              </w:tc>
              <w:tc>
                <w:tcPr>
                  <w:tcW w:w="1050" w:type="dxa"/>
                  <w:vAlign w:val="center"/>
                </w:tcPr>
                <w:p w14:paraId="0124BD3C">
                  <w:pPr>
                    <w:ind w:left="-53" w:leftChars="-25" w:right="-53" w:rightChars="-25"/>
                    <w:jc w:val="center"/>
                    <w:rPr>
                      <w:color w:val="auto"/>
                      <w:sz w:val="18"/>
                      <w:szCs w:val="18"/>
                    </w:rPr>
                  </w:pPr>
                </w:p>
              </w:tc>
              <w:tc>
                <w:tcPr>
                  <w:tcW w:w="836" w:type="dxa"/>
                  <w:vAlign w:val="center"/>
                </w:tcPr>
                <w:p w14:paraId="797C4BA9">
                  <w:pPr>
                    <w:ind w:left="-53" w:leftChars="-25" w:right="-53" w:rightChars="-25"/>
                    <w:jc w:val="center"/>
                    <w:rPr>
                      <w:color w:val="auto"/>
                      <w:sz w:val="18"/>
                      <w:szCs w:val="18"/>
                    </w:rPr>
                  </w:pPr>
                </w:p>
              </w:tc>
              <w:tc>
                <w:tcPr>
                  <w:tcW w:w="725" w:type="dxa"/>
                  <w:vAlign w:val="center"/>
                </w:tcPr>
                <w:p w14:paraId="306F7A53">
                  <w:pPr>
                    <w:jc w:val="center"/>
                    <w:rPr>
                      <w:color w:val="auto"/>
                      <w:sz w:val="18"/>
                      <w:szCs w:val="18"/>
                    </w:rPr>
                  </w:pPr>
                </w:p>
              </w:tc>
              <w:tc>
                <w:tcPr>
                  <w:tcW w:w="1401" w:type="dxa"/>
                  <w:vAlign w:val="center"/>
                </w:tcPr>
                <w:p w14:paraId="3FB47EC5">
                  <w:pPr>
                    <w:ind w:left="-53" w:leftChars="-25" w:right="-53" w:rightChars="-25"/>
                    <w:jc w:val="center"/>
                    <w:rPr>
                      <w:color w:val="auto"/>
                      <w:sz w:val="18"/>
                      <w:szCs w:val="18"/>
                    </w:rPr>
                  </w:pPr>
                </w:p>
              </w:tc>
            </w:tr>
            <w:tr w14:paraId="613DD71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28" w:type="dxa"/>
                  <w:left w:w="108" w:type="dxa"/>
                  <w:bottom w:w="28" w:type="dxa"/>
                  <w:right w:w="108" w:type="dxa"/>
                </w:tblCellMar>
              </w:tblPrEx>
              <w:trPr>
                <w:jc w:val="center"/>
              </w:trPr>
              <w:tc>
                <w:tcPr>
                  <w:tcW w:w="374" w:type="dxa"/>
                  <w:vAlign w:val="center"/>
                </w:tcPr>
                <w:p w14:paraId="0B0A3BF3">
                  <w:pPr>
                    <w:ind w:left="-53" w:leftChars="-25" w:right="-53" w:rightChars="-25"/>
                    <w:jc w:val="center"/>
                    <w:rPr>
                      <w:color w:val="auto"/>
                      <w:sz w:val="18"/>
                      <w:szCs w:val="18"/>
                    </w:rPr>
                  </w:pPr>
                </w:p>
              </w:tc>
              <w:tc>
                <w:tcPr>
                  <w:tcW w:w="974" w:type="dxa"/>
                  <w:vAlign w:val="center"/>
                </w:tcPr>
                <w:p w14:paraId="22AA887C">
                  <w:pPr>
                    <w:ind w:left="-53" w:leftChars="-25" w:right="-53" w:rightChars="-25"/>
                    <w:jc w:val="center"/>
                    <w:rPr>
                      <w:color w:val="auto"/>
                      <w:sz w:val="18"/>
                      <w:szCs w:val="18"/>
                    </w:rPr>
                  </w:pPr>
                </w:p>
              </w:tc>
              <w:tc>
                <w:tcPr>
                  <w:tcW w:w="659" w:type="dxa"/>
                  <w:vAlign w:val="center"/>
                </w:tcPr>
                <w:p w14:paraId="0342C129">
                  <w:pPr>
                    <w:ind w:left="-53" w:leftChars="-25" w:right="-53" w:rightChars="-25"/>
                    <w:jc w:val="center"/>
                    <w:rPr>
                      <w:color w:val="auto"/>
                      <w:sz w:val="18"/>
                      <w:szCs w:val="18"/>
                    </w:rPr>
                  </w:pPr>
                </w:p>
              </w:tc>
              <w:tc>
                <w:tcPr>
                  <w:tcW w:w="733" w:type="dxa"/>
                  <w:vAlign w:val="center"/>
                </w:tcPr>
                <w:p w14:paraId="32F8F9A4">
                  <w:pPr>
                    <w:ind w:left="-53" w:leftChars="-25" w:right="-53" w:rightChars="-25"/>
                    <w:jc w:val="center"/>
                    <w:rPr>
                      <w:color w:val="auto"/>
                      <w:sz w:val="18"/>
                      <w:szCs w:val="18"/>
                    </w:rPr>
                  </w:pPr>
                </w:p>
              </w:tc>
              <w:tc>
                <w:tcPr>
                  <w:tcW w:w="508" w:type="dxa"/>
                  <w:vAlign w:val="center"/>
                </w:tcPr>
                <w:p w14:paraId="148DE7D1">
                  <w:pPr>
                    <w:ind w:left="-53" w:leftChars="-25" w:right="-53" w:rightChars="-25"/>
                    <w:jc w:val="center"/>
                    <w:rPr>
                      <w:color w:val="auto"/>
                      <w:sz w:val="18"/>
                      <w:szCs w:val="18"/>
                    </w:rPr>
                  </w:pPr>
                </w:p>
              </w:tc>
              <w:tc>
                <w:tcPr>
                  <w:tcW w:w="1292" w:type="dxa"/>
                  <w:vAlign w:val="center"/>
                </w:tcPr>
                <w:p w14:paraId="2303023D">
                  <w:pPr>
                    <w:ind w:left="-53" w:leftChars="-25" w:right="-53" w:rightChars="-25"/>
                    <w:jc w:val="center"/>
                    <w:rPr>
                      <w:color w:val="auto"/>
                      <w:sz w:val="18"/>
                      <w:szCs w:val="18"/>
                    </w:rPr>
                  </w:pPr>
                </w:p>
              </w:tc>
              <w:tc>
                <w:tcPr>
                  <w:tcW w:w="1050" w:type="dxa"/>
                  <w:vAlign w:val="center"/>
                </w:tcPr>
                <w:p w14:paraId="63EECAB9">
                  <w:pPr>
                    <w:ind w:left="-53" w:leftChars="-25" w:right="-53" w:rightChars="-25"/>
                    <w:jc w:val="center"/>
                    <w:rPr>
                      <w:color w:val="auto"/>
                      <w:sz w:val="18"/>
                      <w:szCs w:val="18"/>
                    </w:rPr>
                  </w:pPr>
                </w:p>
              </w:tc>
              <w:tc>
                <w:tcPr>
                  <w:tcW w:w="836" w:type="dxa"/>
                  <w:vAlign w:val="center"/>
                </w:tcPr>
                <w:p w14:paraId="5AE3F5DE">
                  <w:pPr>
                    <w:ind w:left="-53" w:leftChars="-25" w:right="-53" w:rightChars="-25"/>
                    <w:jc w:val="center"/>
                    <w:rPr>
                      <w:color w:val="auto"/>
                      <w:sz w:val="18"/>
                      <w:szCs w:val="18"/>
                    </w:rPr>
                  </w:pPr>
                </w:p>
              </w:tc>
              <w:tc>
                <w:tcPr>
                  <w:tcW w:w="725" w:type="dxa"/>
                  <w:vAlign w:val="center"/>
                </w:tcPr>
                <w:p w14:paraId="765C3D9B">
                  <w:pPr>
                    <w:jc w:val="center"/>
                    <w:rPr>
                      <w:color w:val="auto"/>
                      <w:sz w:val="18"/>
                      <w:szCs w:val="18"/>
                    </w:rPr>
                  </w:pPr>
                </w:p>
              </w:tc>
              <w:tc>
                <w:tcPr>
                  <w:tcW w:w="1401" w:type="dxa"/>
                  <w:vAlign w:val="center"/>
                </w:tcPr>
                <w:p w14:paraId="4BB45C18">
                  <w:pPr>
                    <w:ind w:left="-53" w:leftChars="-25" w:right="-53" w:rightChars="-25"/>
                    <w:jc w:val="center"/>
                    <w:rPr>
                      <w:color w:val="auto"/>
                      <w:sz w:val="18"/>
                      <w:szCs w:val="18"/>
                    </w:rPr>
                  </w:pPr>
                </w:p>
              </w:tc>
            </w:tr>
            <w:tr w14:paraId="08AE7AF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28" w:type="dxa"/>
                  <w:left w:w="108" w:type="dxa"/>
                  <w:bottom w:w="28" w:type="dxa"/>
                  <w:right w:w="108" w:type="dxa"/>
                </w:tblCellMar>
              </w:tblPrEx>
              <w:trPr>
                <w:jc w:val="center"/>
              </w:trPr>
              <w:tc>
                <w:tcPr>
                  <w:tcW w:w="374" w:type="dxa"/>
                  <w:vAlign w:val="center"/>
                </w:tcPr>
                <w:p w14:paraId="1C70728E">
                  <w:pPr>
                    <w:ind w:left="-53" w:leftChars="-25" w:right="-53" w:rightChars="-25"/>
                    <w:jc w:val="center"/>
                    <w:rPr>
                      <w:color w:val="auto"/>
                      <w:sz w:val="18"/>
                      <w:szCs w:val="18"/>
                    </w:rPr>
                  </w:pPr>
                </w:p>
              </w:tc>
              <w:tc>
                <w:tcPr>
                  <w:tcW w:w="974" w:type="dxa"/>
                  <w:vAlign w:val="center"/>
                </w:tcPr>
                <w:p w14:paraId="20E78116">
                  <w:pPr>
                    <w:ind w:left="-53" w:leftChars="-25" w:right="-53" w:rightChars="-25"/>
                    <w:jc w:val="center"/>
                    <w:rPr>
                      <w:color w:val="auto"/>
                      <w:sz w:val="18"/>
                      <w:szCs w:val="18"/>
                    </w:rPr>
                  </w:pPr>
                </w:p>
              </w:tc>
              <w:tc>
                <w:tcPr>
                  <w:tcW w:w="659" w:type="dxa"/>
                  <w:vAlign w:val="center"/>
                </w:tcPr>
                <w:p w14:paraId="6C4FF81D">
                  <w:pPr>
                    <w:ind w:left="-53" w:leftChars="-25" w:right="-53" w:rightChars="-25"/>
                    <w:jc w:val="center"/>
                    <w:rPr>
                      <w:color w:val="auto"/>
                      <w:sz w:val="18"/>
                      <w:szCs w:val="18"/>
                    </w:rPr>
                  </w:pPr>
                </w:p>
              </w:tc>
              <w:tc>
                <w:tcPr>
                  <w:tcW w:w="733" w:type="dxa"/>
                  <w:vAlign w:val="center"/>
                </w:tcPr>
                <w:p w14:paraId="52EE698B">
                  <w:pPr>
                    <w:ind w:left="-53" w:leftChars="-25" w:right="-53" w:rightChars="-25"/>
                    <w:jc w:val="center"/>
                    <w:rPr>
                      <w:color w:val="auto"/>
                      <w:sz w:val="18"/>
                      <w:szCs w:val="18"/>
                    </w:rPr>
                  </w:pPr>
                </w:p>
              </w:tc>
              <w:tc>
                <w:tcPr>
                  <w:tcW w:w="508" w:type="dxa"/>
                  <w:vAlign w:val="center"/>
                </w:tcPr>
                <w:p w14:paraId="1F53E0D3">
                  <w:pPr>
                    <w:ind w:left="-53" w:leftChars="-25" w:right="-53" w:rightChars="-25"/>
                    <w:jc w:val="center"/>
                    <w:rPr>
                      <w:color w:val="auto"/>
                      <w:sz w:val="18"/>
                      <w:szCs w:val="18"/>
                    </w:rPr>
                  </w:pPr>
                </w:p>
              </w:tc>
              <w:tc>
                <w:tcPr>
                  <w:tcW w:w="1292" w:type="dxa"/>
                  <w:vAlign w:val="center"/>
                </w:tcPr>
                <w:p w14:paraId="6FE4C4A2">
                  <w:pPr>
                    <w:ind w:left="-53" w:leftChars="-25" w:right="-53" w:rightChars="-25"/>
                    <w:jc w:val="center"/>
                    <w:rPr>
                      <w:color w:val="auto"/>
                      <w:sz w:val="18"/>
                      <w:szCs w:val="18"/>
                    </w:rPr>
                  </w:pPr>
                </w:p>
              </w:tc>
              <w:tc>
                <w:tcPr>
                  <w:tcW w:w="1050" w:type="dxa"/>
                  <w:vAlign w:val="center"/>
                </w:tcPr>
                <w:p w14:paraId="7975F0D9">
                  <w:pPr>
                    <w:ind w:left="-53" w:leftChars="-25" w:right="-53" w:rightChars="-25"/>
                    <w:jc w:val="center"/>
                    <w:rPr>
                      <w:color w:val="auto"/>
                      <w:sz w:val="18"/>
                      <w:szCs w:val="18"/>
                    </w:rPr>
                  </w:pPr>
                </w:p>
              </w:tc>
              <w:tc>
                <w:tcPr>
                  <w:tcW w:w="836" w:type="dxa"/>
                  <w:vAlign w:val="center"/>
                </w:tcPr>
                <w:p w14:paraId="3CA5C033">
                  <w:pPr>
                    <w:ind w:left="-53" w:leftChars="-25" w:right="-53" w:rightChars="-25"/>
                    <w:jc w:val="center"/>
                    <w:rPr>
                      <w:color w:val="auto"/>
                      <w:sz w:val="18"/>
                      <w:szCs w:val="18"/>
                    </w:rPr>
                  </w:pPr>
                </w:p>
              </w:tc>
              <w:tc>
                <w:tcPr>
                  <w:tcW w:w="725" w:type="dxa"/>
                  <w:vAlign w:val="center"/>
                </w:tcPr>
                <w:p w14:paraId="3DCB38AC">
                  <w:pPr>
                    <w:jc w:val="center"/>
                    <w:rPr>
                      <w:color w:val="auto"/>
                      <w:sz w:val="18"/>
                      <w:szCs w:val="18"/>
                    </w:rPr>
                  </w:pPr>
                </w:p>
              </w:tc>
              <w:tc>
                <w:tcPr>
                  <w:tcW w:w="1401" w:type="dxa"/>
                  <w:vAlign w:val="center"/>
                </w:tcPr>
                <w:p w14:paraId="3849F7A6">
                  <w:pPr>
                    <w:ind w:left="-53" w:leftChars="-25" w:right="-53" w:rightChars="-25"/>
                    <w:jc w:val="center"/>
                    <w:rPr>
                      <w:color w:val="auto"/>
                      <w:sz w:val="18"/>
                      <w:szCs w:val="18"/>
                    </w:rPr>
                  </w:pPr>
                </w:p>
              </w:tc>
            </w:tr>
            <w:tr w14:paraId="3D9F6F5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28" w:type="dxa"/>
                  <w:left w:w="108" w:type="dxa"/>
                  <w:bottom w:w="28" w:type="dxa"/>
                  <w:right w:w="108" w:type="dxa"/>
                </w:tblCellMar>
              </w:tblPrEx>
              <w:trPr>
                <w:jc w:val="center"/>
              </w:trPr>
              <w:tc>
                <w:tcPr>
                  <w:tcW w:w="374" w:type="dxa"/>
                  <w:vAlign w:val="center"/>
                </w:tcPr>
                <w:p w14:paraId="0870801E">
                  <w:pPr>
                    <w:ind w:left="-53" w:leftChars="-25" w:right="-53" w:rightChars="-25"/>
                    <w:jc w:val="center"/>
                    <w:rPr>
                      <w:rFonts w:hint="eastAsia" w:eastAsia="宋体"/>
                      <w:color w:val="auto"/>
                      <w:sz w:val="18"/>
                      <w:szCs w:val="18"/>
                      <w:lang w:val="en-US" w:eastAsia="zh-CN"/>
                    </w:rPr>
                  </w:pPr>
                </w:p>
              </w:tc>
              <w:tc>
                <w:tcPr>
                  <w:tcW w:w="974" w:type="dxa"/>
                  <w:vAlign w:val="center"/>
                </w:tcPr>
                <w:p w14:paraId="6672F081">
                  <w:pPr>
                    <w:keepNext w:val="0"/>
                    <w:keepLines w:val="0"/>
                    <w:widowControl/>
                    <w:suppressLineNumbers w:val="0"/>
                    <w:jc w:val="center"/>
                    <w:textAlignment w:val="center"/>
                    <w:rPr>
                      <w:rFonts w:hint="eastAsia"/>
                      <w:color w:val="auto"/>
                      <w:sz w:val="18"/>
                      <w:szCs w:val="18"/>
                    </w:rPr>
                  </w:pPr>
                </w:p>
              </w:tc>
              <w:tc>
                <w:tcPr>
                  <w:tcW w:w="659" w:type="dxa"/>
                  <w:vAlign w:val="center"/>
                </w:tcPr>
                <w:p w14:paraId="15E7F8B8">
                  <w:pPr>
                    <w:keepNext w:val="0"/>
                    <w:keepLines w:val="0"/>
                    <w:widowControl/>
                    <w:suppressLineNumbers w:val="0"/>
                    <w:jc w:val="left"/>
                    <w:textAlignment w:val="center"/>
                    <w:rPr>
                      <w:rFonts w:hint="eastAsia"/>
                      <w:color w:val="auto"/>
                      <w:sz w:val="18"/>
                      <w:szCs w:val="18"/>
                    </w:rPr>
                  </w:pPr>
                </w:p>
              </w:tc>
              <w:tc>
                <w:tcPr>
                  <w:tcW w:w="733" w:type="dxa"/>
                  <w:vAlign w:val="center"/>
                </w:tcPr>
                <w:p w14:paraId="2CB0A899">
                  <w:pPr>
                    <w:keepNext w:val="0"/>
                    <w:keepLines w:val="0"/>
                    <w:widowControl/>
                    <w:suppressLineNumbers w:val="0"/>
                    <w:jc w:val="center"/>
                    <w:textAlignment w:val="center"/>
                    <w:rPr>
                      <w:rFonts w:hint="eastAsia"/>
                      <w:color w:val="auto"/>
                      <w:sz w:val="18"/>
                      <w:szCs w:val="18"/>
                    </w:rPr>
                  </w:pPr>
                </w:p>
              </w:tc>
              <w:tc>
                <w:tcPr>
                  <w:tcW w:w="508" w:type="dxa"/>
                  <w:vAlign w:val="center"/>
                </w:tcPr>
                <w:p w14:paraId="60697F85">
                  <w:pPr>
                    <w:keepNext w:val="0"/>
                    <w:keepLines w:val="0"/>
                    <w:widowControl/>
                    <w:suppressLineNumbers w:val="0"/>
                    <w:jc w:val="center"/>
                    <w:textAlignment w:val="center"/>
                    <w:rPr>
                      <w:rFonts w:hint="eastAsia"/>
                      <w:color w:val="auto"/>
                      <w:sz w:val="18"/>
                      <w:szCs w:val="18"/>
                    </w:rPr>
                  </w:pPr>
                </w:p>
              </w:tc>
              <w:tc>
                <w:tcPr>
                  <w:tcW w:w="1292" w:type="dxa"/>
                  <w:vAlign w:val="center"/>
                </w:tcPr>
                <w:p w14:paraId="34C1FD05">
                  <w:pPr>
                    <w:keepNext w:val="0"/>
                    <w:keepLines w:val="0"/>
                    <w:widowControl/>
                    <w:suppressLineNumbers w:val="0"/>
                    <w:jc w:val="center"/>
                    <w:textAlignment w:val="center"/>
                    <w:rPr>
                      <w:rFonts w:hint="eastAsia"/>
                      <w:color w:val="auto"/>
                      <w:sz w:val="18"/>
                      <w:szCs w:val="18"/>
                    </w:rPr>
                  </w:pPr>
                </w:p>
              </w:tc>
              <w:tc>
                <w:tcPr>
                  <w:tcW w:w="1050" w:type="dxa"/>
                  <w:vAlign w:val="center"/>
                </w:tcPr>
                <w:p w14:paraId="7B50E662">
                  <w:pPr>
                    <w:keepNext w:val="0"/>
                    <w:keepLines w:val="0"/>
                    <w:widowControl/>
                    <w:suppressLineNumbers w:val="0"/>
                    <w:jc w:val="center"/>
                    <w:textAlignment w:val="center"/>
                    <w:rPr>
                      <w:color w:val="auto"/>
                      <w:sz w:val="18"/>
                      <w:szCs w:val="18"/>
                    </w:rPr>
                  </w:pPr>
                </w:p>
              </w:tc>
              <w:tc>
                <w:tcPr>
                  <w:tcW w:w="836" w:type="dxa"/>
                  <w:vAlign w:val="center"/>
                </w:tcPr>
                <w:p w14:paraId="4C638E33">
                  <w:pPr>
                    <w:keepNext w:val="0"/>
                    <w:keepLines w:val="0"/>
                    <w:widowControl/>
                    <w:suppressLineNumbers w:val="0"/>
                    <w:jc w:val="center"/>
                    <w:textAlignment w:val="center"/>
                    <w:rPr>
                      <w:color w:val="auto"/>
                      <w:sz w:val="18"/>
                      <w:szCs w:val="18"/>
                    </w:rPr>
                  </w:pPr>
                </w:p>
              </w:tc>
              <w:tc>
                <w:tcPr>
                  <w:tcW w:w="725" w:type="dxa"/>
                  <w:vAlign w:val="center"/>
                </w:tcPr>
                <w:p w14:paraId="5F8628CB">
                  <w:pPr>
                    <w:keepNext w:val="0"/>
                    <w:keepLines w:val="0"/>
                    <w:widowControl/>
                    <w:suppressLineNumbers w:val="0"/>
                    <w:jc w:val="center"/>
                    <w:textAlignment w:val="center"/>
                    <w:rPr>
                      <w:color w:val="auto"/>
                      <w:sz w:val="18"/>
                      <w:szCs w:val="18"/>
                    </w:rPr>
                  </w:pPr>
                </w:p>
              </w:tc>
              <w:tc>
                <w:tcPr>
                  <w:tcW w:w="1401" w:type="dxa"/>
                  <w:vAlign w:val="center"/>
                </w:tcPr>
                <w:p w14:paraId="3F14BC75">
                  <w:pPr>
                    <w:keepNext w:val="0"/>
                    <w:keepLines w:val="0"/>
                    <w:widowControl/>
                    <w:suppressLineNumbers w:val="0"/>
                    <w:jc w:val="center"/>
                    <w:textAlignment w:val="center"/>
                    <w:rPr>
                      <w:rFonts w:hint="eastAsia"/>
                      <w:color w:val="auto"/>
                      <w:sz w:val="18"/>
                      <w:szCs w:val="18"/>
                    </w:rPr>
                  </w:pPr>
                </w:p>
              </w:tc>
            </w:tr>
            <w:tr w14:paraId="1612234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28" w:type="dxa"/>
                  <w:left w:w="108" w:type="dxa"/>
                  <w:bottom w:w="28" w:type="dxa"/>
                  <w:right w:w="108" w:type="dxa"/>
                </w:tblCellMar>
              </w:tblPrEx>
              <w:trPr>
                <w:jc w:val="center"/>
              </w:trPr>
              <w:tc>
                <w:tcPr>
                  <w:tcW w:w="374" w:type="dxa"/>
                  <w:vAlign w:val="center"/>
                </w:tcPr>
                <w:p w14:paraId="07FB21BA">
                  <w:pPr>
                    <w:ind w:left="-53" w:leftChars="-25" w:right="-53" w:rightChars="-25"/>
                    <w:jc w:val="center"/>
                    <w:rPr>
                      <w:rFonts w:hint="eastAsia" w:eastAsia="宋体"/>
                      <w:color w:val="auto"/>
                      <w:sz w:val="18"/>
                      <w:szCs w:val="18"/>
                      <w:lang w:val="en-US" w:eastAsia="zh-CN"/>
                    </w:rPr>
                  </w:pPr>
                </w:p>
              </w:tc>
              <w:tc>
                <w:tcPr>
                  <w:tcW w:w="974" w:type="dxa"/>
                  <w:vAlign w:val="center"/>
                </w:tcPr>
                <w:p w14:paraId="1A42584F">
                  <w:pPr>
                    <w:ind w:left="-53" w:leftChars="-25" w:right="-53" w:rightChars="-25"/>
                    <w:jc w:val="center"/>
                    <w:rPr>
                      <w:color w:val="auto"/>
                      <w:sz w:val="18"/>
                      <w:szCs w:val="18"/>
                    </w:rPr>
                  </w:pPr>
                </w:p>
              </w:tc>
              <w:tc>
                <w:tcPr>
                  <w:tcW w:w="659" w:type="dxa"/>
                  <w:vAlign w:val="center"/>
                </w:tcPr>
                <w:p w14:paraId="1F9FD588">
                  <w:pPr>
                    <w:ind w:left="-53" w:leftChars="-25" w:right="-53" w:rightChars="-25"/>
                    <w:jc w:val="center"/>
                    <w:rPr>
                      <w:color w:val="auto"/>
                      <w:sz w:val="18"/>
                      <w:szCs w:val="18"/>
                    </w:rPr>
                  </w:pPr>
                </w:p>
              </w:tc>
              <w:tc>
                <w:tcPr>
                  <w:tcW w:w="733" w:type="dxa"/>
                  <w:vAlign w:val="center"/>
                </w:tcPr>
                <w:p w14:paraId="0689CAC9">
                  <w:pPr>
                    <w:ind w:left="-53" w:leftChars="-25" w:right="-53" w:rightChars="-25"/>
                    <w:jc w:val="center"/>
                    <w:rPr>
                      <w:color w:val="auto"/>
                      <w:sz w:val="18"/>
                      <w:szCs w:val="18"/>
                    </w:rPr>
                  </w:pPr>
                </w:p>
              </w:tc>
              <w:tc>
                <w:tcPr>
                  <w:tcW w:w="508" w:type="dxa"/>
                  <w:vAlign w:val="center"/>
                </w:tcPr>
                <w:p w14:paraId="7945AADF">
                  <w:pPr>
                    <w:ind w:left="-53" w:leftChars="-25" w:right="-53" w:rightChars="-25"/>
                    <w:jc w:val="center"/>
                    <w:rPr>
                      <w:color w:val="auto"/>
                      <w:sz w:val="18"/>
                      <w:szCs w:val="18"/>
                    </w:rPr>
                  </w:pPr>
                </w:p>
              </w:tc>
              <w:tc>
                <w:tcPr>
                  <w:tcW w:w="1292" w:type="dxa"/>
                  <w:vAlign w:val="center"/>
                </w:tcPr>
                <w:p w14:paraId="6222C337">
                  <w:pPr>
                    <w:ind w:left="-53" w:leftChars="-25" w:right="-53" w:rightChars="-25"/>
                    <w:jc w:val="center"/>
                    <w:rPr>
                      <w:color w:val="auto"/>
                      <w:sz w:val="18"/>
                      <w:szCs w:val="18"/>
                    </w:rPr>
                  </w:pPr>
                </w:p>
              </w:tc>
              <w:tc>
                <w:tcPr>
                  <w:tcW w:w="1050" w:type="dxa"/>
                  <w:vAlign w:val="center"/>
                </w:tcPr>
                <w:p w14:paraId="0731FEA4">
                  <w:pPr>
                    <w:ind w:left="-53" w:leftChars="-25" w:right="-53" w:rightChars="-25"/>
                    <w:jc w:val="center"/>
                    <w:rPr>
                      <w:color w:val="auto"/>
                      <w:sz w:val="18"/>
                      <w:szCs w:val="18"/>
                    </w:rPr>
                  </w:pPr>
                </w:p>
              </w:tc>
              <w:tc>
                <w:tcPr>
                  <w:tcW w:w="836" w:type="dxa"/>
                  <w:vAlign w:val="center"/>
                </w:tcPr>
                <w:p w14:paraId="422ED201">
                  <w:pPr>
                    <w:ind w:left="-53" w:leftChars="-25" w:right="-53" w:rightChars="-25"/>
                    <w:jc w:val="center"/>
                    <w:rPr>
                      <w:color w:val="auto"/>
                      <w:sz w:val="18"/>
                      <w:szCs w:val="18"/>
                    </w:rPr>
                  </w:pPr>
                </w:p>
              </w:tc>
              <w:tc>
                <w:tcPr>
                  <w:tcW w:w="725" w:type="dxa"/>
                  <w:vAlign w:val="center"/>
                </w:tcPr>
                <w:p w14:paraId="55611B9E">
                  <w:pPr>
                    <w:ind w:left="-53" w:leftChars="-25" w:right="-53" w:rightChars="-25"/>
                    <w:jc w:val="center"/>
                    <w:rPr>
                      <w:color w:val="auto"/>
                      <w:sz w:val="18"/>
                      <w:szCs w:val="18"/>
                    </w:rPr>
                  </w:pPr>
                </w:p>
              </w:tc>
              <w:tc>
                <w:tcPr>
                  <w:tcW w:w="1401" w:type="dxa"/>
                  <w:vAlign w:val="center"/>
                </w:tcPr>
                <w:p w14:paraId="5EF915E7">
                  <w:pPr>
                    <w:ind w:left="-53" w:leftChars="-25" w:right="-53" w:rightChars="-25"/>
                    <w:jc w:val="center"/>
                    <w:rPr>
                      <w:color w:val="auto"/>
                      <w:sz w:val="18"/>
                      <w:szCs w:val="18"/>
                    </w:rPr>
                  </w:pPr>
                </w:p>
              </w:tc>
            </w:tr>
            <w:tr w14:paraId="494D777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28" w:type="dxa"/>
                  <w:left w:w="108" w:type="dxa"/>
                  <w:bottom w:w="28" w:type="dxa"/>
                  <w:right w:w="108" w:type="dxa"/>
                </w:tblCellMar>
              </w:tblPrEx>
              <w:trPr>
                <w:jc w:val="center"/>
              </w:trPr>
              <w:tc>
                <w:tcPr>
                  <w:tcW w:w="374" w:type="dxa"/>
                  <w:vAlign w:val="center"/>
                </w:tcPr>
                <w:p w14:paraId="28B11407">
                  <w:pPr>
                    <w:ind w:left="-53" w:leftChars="-25" w:right="-53" w:rightChars="-25"/>
                    <w:jc w:val="center"/>
                    <w:rPr>
                      <w:rFonts w:hint="eastAsia" w:eastAsia="宋体"/>
                      <w:color w:val="auto"/>
                      <w:sz w:val="18"/>
                      <w:szCs w:val="18"/>
                      <w:lang w:val="en-US" w:eastAsia="zh-CN"/>
                    </w:rPr>
                  </w:pPr>
                </w:p>
              </w:tc>
              <w:tc>
                <w:tcPr>
                  <w:tcW w:w="974" w:type="dxa"/>
                  <w:vAlign w:val="center"/>
                </w:tcPr>
                <w:p w14:paraId="2C5A1B66">
                  <w:pPr>
                    <w:ind w:left="-53" w:leftChars="-25" w:right="-53" w:rightChars="-25"/>
                    <w:jc w:val="center"/>
                    <w:rPr>
                      <w:color w:val="auto"/>
                      <w:sz w:val="18"/>
                      <w:szCs w:val="18"/>
                    </w:rPr>
                  </w:pPr>
                </w:p>
              </w:tc>
              <w:tc>
                <w:tcPr>
                  <w:tcW w:w="659" w:type="dxa"/>
                  <w:vAlign w:val="center"/>
                </w:tcPr>
                <w:p w14:paraId="17D9DD24">
                  <w:pPr>
                    <w:ind w:left="-53" w:leftChars="-25" w:right="-53" w:rightChars="-25"/>
                    <w:jc w:val="center"/>
                    <w:rPr>
                      <w:color w:val="auto"/>
                      <w:sz w:val="18"/>
                      <w:szCs w:val="18"/>
                    </w:rPr>
                  </w:pPr>
                </w:p>
              </w:tc>
              <w:tc>
                <w:tcPr>
                  <w:tcW w:w="733" w:type="dxa"/>
                  <w:vAlign w:val="center"/>
                </w:tcPr>
                <w:p w14:paraId="1C0573B0">
                  <w:pPr>
                    <w:ind w:left="-53" w:leftChars="-25" w:right="-53" w:rightChars="-25"/>
                    <w:jc w:val="center"/>
                    <w:rPr>
                      <w:color w:val="auto"/>
                      <w:sz w:val="18"/>
                      <w:szCs w:val="18"/>
                    </w:rPr>
                  </w:pPr>
                </w:p>
              </w:tc>
              <w:tc>
                <w:tcPr>
                  <w:tcW w:w="508" w:type="dxa"/>
                  <w:vAlign w:val="center"/>
                </w:tcPr>
                <w:p w14:paraId="1833F6F7">
                  <w:pPr>
                    <w:ind w:left="-53" w:leftChars="-25" w:right="-53" w:rightChars="-25"/>
                    <w:jc w:val="center"/>
                    <w:rPr>
                      <w:color w:val="auto"/>
                      <w:sz w:val="18"/>
                      <w:szCs w:val="18"/>
                    </w:rPr>
                  </w:pPr>
                </w:p>
              </w:tc>
              <w:tc>
                <w:tcPr>
                  <w:tcW w:w="1292" w:type="dxa"/>
                  <w:vAlign w:val="center"/>
                </w:tcPr>
                <w:p w14:paraId="1C9614E9">
                  <w:pPr>
                    <w:ind w:left="-53" w:leftChars="-25" w:right="-53" w:rightChars="-25"/>
                    <w:jc w:val="center"/>
                    <w:rPr>
                      <w:color w:val="auto"/>
                      <w:sz w:val="18"/>
                      <w:szCs w:val="18"/>
                    </w:rPr>
                  </w:pPr>
                </w:p>
              </w:tc>
              <w:tc>
                <w:tcPr>
                  <w:tcW w:w="1050" w:type="dxa"/>
                  <w:vAlign w:val="center"/>
                </w:tcPr>
                <w:p w14:paraId="44ACE471">
                  <w:pPr>
                    <w:ind w:left="-53" w:leftChars="-25" w:right="-53" w:rightChars="-25"/>
                    <w:jc w:val="center"/>
                    <w:rPr>
                      <w:color w:val="auto"/>
                      <w:sz w:val="18"/>
                      <w:szCs w:val="18"/>
                    </w:rPr>
                  </w:pPr>
                </w:p>
              </w:tc>
              <w:tc>
                <w:tcPr>
                  <w:tcW w:w="836" w:type="dxa"/>
                  <w:vAlign w:val="center"/>
                </w:tcPr>
                <w:p w14:paraId="37C4ACED">
                  <w:pPr>
                    <w:ind w:left="-53" w:leftChars="-25" w:right="-53" w:rightChars="-25"/>
                    <w:jc w:val="center"/>
                    <w:rPr>
                      <w:color w:val="auto"/>
                      <w:sz w:val="18"/>
                      <w:szCs w:val="18"/>
                    </w:rPr>
                  </w:pPr>
                </w:p>
              </w:tc>
              <w:tc>
                <w:tcPr>
                  <w:tcW w:w="725" w:type="dxa"/>
                  <w:vAlign w:val="center"/>
                </w:tcPr>
                <w:p w14:paraId="0F2ACCD4">
                  <w:pPr>
                    <w:jc w:val="center"/>
                    <w:rPr>
                      <w:color w:val="auto"/>
                      <w:sz w:val="18"/>
                      <w:szCs w:val="18"/>
                    </w:rPr>
                  </w:pPr>
                </w:p>
              </w:tc>
              <w:tc>
                <w:tcPr>
                  <w:tcW w:w="1401" w:type="dxa"/>
                  <w:vAlign w:val="center"/>
                </w:tcPr>
                <w:p w14:paraId="7800947D">
                  <w:pPr>
                    <w:ind w:left="-53" w:leftChars="-25" w:right="-53" w:rightChars="-25"/>
                    <w:jc w:val="center"/>
                    <w:rPr>
                      <w:color w:val="auto"/>
                      <w:sz w:val="18"/>
                      <w:szCs w:val="18"/>
                    </w:rPr>
                  </w:pPr>
                </w:p>
              </w:tc>
            </w:tr>
            <w:tr w14:paraId="0BED560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28" w:type="dxa"/>
                  <w:left w:w="108" w:type="dxa"/>
                  <w:bottom w:w="28" w:type="dxa"/>
                  <w:right w:w="108" w:type="dxa"/>
                </w:tblCellMar>
              </w:tblPrEx>
              <w:trPr>
                <w:jc w:val="center"/>
              </w:trPr>
              <w:tc>
                <w:tcPr>
                  <w:tcW w:w="6426" w:type="dxa"/>
                  <w:gridSpan w:val="8"/>
                  <w:vAlign w:val="center"/>
                </w:tcPr>
                <w:p w14:paraId="71B1FB84">
                  <w:pPr>
                    <w:ind w:left="-53" w:leftChars="-25" w:right="-53" w:rightChars="-25"/>
                    <w:jc w:val="center"/>
                    <w:rPr>
                      <w:color w:val="auto"/>
                      <w:sz w:val="18"/>
                      <w:szCs w:val="18"/>
                    </w:rPr>
                  </w:pPr>
                </w:p>
              </w:tc>
              <w:tc>
                <w:tcPr>
                  <w:tcW w:w="2126" w:type="dxa"/>
                  <w:gridSpan w:val="2"/>
                  <w:vAlign w:val="center"/>
                </w:tcPr>
                <w:p w14:paraId="12C5B537">
                  <w:pPr>
                    <w:ind w:left="-53" w:leftChars="-25" w:right="-53" w:rightChars="-25"/>
                    <w:jc w:val="center"/>
                    <w:rPr>
                      <w:rFonts w:hint="default" w:eastAsia="宋体"/>
                      <w:color w:val="auto"/>
                      <w:sz w:val="18"/>
                      <w:szCs w:val="18"/>
                      <w:lang w:val="en-US" w:eastAsia="zh-CN"/>
                    </w:rPr>
                  </w:pPr>
                </w:p>
              </w:tc>
            </w:tr>
            <w:tr w14:paraId="3FF885C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28" w:type="dxa"/>
                  <w:left w:w="108" w:type="dxa"/>
                  <w:bottom w:w="28" w:type="dxa"/>
                  <w:right w:w="108" w:type="dxa"/>
                </w:tblCellMar>
              </w:tblPrEx>
              <w:trPr>
                <w:jc w:val="center"/>
              </w:trPr>
              <w:tc>
                <w:tcPr>
                  <w:tcW w:w="6426" w:type="dxa"/>
                  <w:gridSpan w:val="8"/>
                  <w:vAlign w:val="center"/>
                </w:tcPr>
                <w:p w14:paraId="7CCE08EF">
                  <w:pPr>
                    <w:ind w:left="-53" w:leftChars="-25" w:right="-53" w:rightChars="-25"/>
                    <w:jc w:val="center"/>
                    <w:rPr>
                      <w:color w:val="auto"/>
                      <w:sz w:val="18"/>
                      <w:szCs w:val="18"/>
                    </w:rPr>
                  </w:pPr>
                </w:p>
              </w:tc>
              <w:tc>
                <w:tcPr>
                  <w:tcW w:w="2126" w:type="dxa"/>
                  <w:gridSpan w:val="2"/>
                  <w:vAlign w:val="center"/>
                </w:tcPr>
                <w:p w14:paraId="1158E55D">
                  <w:pPr>
                    <w:ind w:left="-53" w:leftChars="-25" w:right="-53" w:rightChars="-25"/>
                    <w:jc w:val="center"/>
                    <w:rPr>
                      <w:color w:val="auto"/>
                      <w:sz w:val="18"/>
                      <w:szCs w:val="18"/>
                    </w:rPr>
                  </w:pPr>
                </w:p>
              </w:tc>
            </w:tr>
          </w:tbl>
          <w:p w14:paraId="1D63CCD2">
            <w:pPr>
              <w:adjustRightInd w:val="0"/>
              <w:snapToGrid w:val="0"/>
              <w:spacing w:line="500" w:lineRule="exact"/>
              <w:ind w:firstLine="422" w:firstLineChars="200"/>
              <w:rPr>
                <w:b/>
                <w:color w:val="auto"/>
                <w:szCs w:val="21"/>
              </w:rPr>
            </w:pPr>
            <w:r>
              <w:rPr>
                <w:rFonts w:hint="eastAsia"/>
                <w:b/>
                <w:color w:val="auto"/>
                <w:szCs w:val="21"/>
              </w:rPr>
              <w:t>（2）危险废物收集及运输污染防治措施</w:t>
            </w:r>
          </w:p>
          <w:p w14:paraId="18B55C99">
            <w:pPr>
              <w:spacing w:line="500" w:lineRule="exact"/>
              <w:ind w:firstLine="420"/>
              <w:rPr>
                <w:color w:val="auto"/>
                <w:szCs w:val="21"/>
              </w:rPr>
            </w:pPr>
            <w:r>
              <w:rPr>
                <w:rFonts w:hint="eastAsia"/>
                <w:color w:val="auto"/>
                <w:szCs w:val="21"/>
              </w:rPr>
              <w:t>本项目产生的实验室废液（S</w:t>
            </w:r>
            <w:r>
              <w:rPr>
                <w:color w:val="auto"/>
                <w:szCs w:val="21"/>
              </w:rPr>
              <w:t>1</w:t>
            </w:r>
            <w:r>
              <w:rPr>
                <w:rFonts w:hint="eastAsia"/>
                <w:color w:val="auto"/>
                <w:szCs w:val="21"/>
              </w:rPr>
              <w:t>）、废弃PPE（S</w:t>
            </w:r>
            <w:r>
              <w:rPr>
                <w:color w:val="auto"/>
                <w:szCs w:val="21"/>
              </w:rPr>
              <w:t>2</w:t>
            </w:r>
            <w:r>
              <w:rPr>
                <w:rFonts w:hint="eastAsia"/>
                <w:color w:val="auto"/>
                <w:szCs w:val="21"/>
              </w:rPr>
              <w:t>）、废试剂瓶（S</w:t>
            </w:r>
            <w:r>
              <w:rPr>
                <w:color w:val="auto"/>
                <w:szCs w:val="21"/>
              </w:rPr>
              <w:t>3</w:t>
            </w:r>
            <w:r>
              <w:rPr>
                <w:rFonts w:hint="eastAsia"/>
                <w:color w:val="auto"/>
                <w:szCs w:val="21"/>
              </w:rPr>
              <w:t>）、废活性炭（S</w:t>
            </w:r>
            <w:r>
              <w:rPr>
                <w:color w:val="auto"/>
                <w:szCs w:val="21"/>
              </w:rPr>
              <w:t>4</w:t>
            </w:r>
            <w:r>
              <w:rPr>
                <w:rFonts w:hint="eastAsia"/>
                <w:color w:val="auto"/>
                <w:szCs w:val="21"/>
              </w:rPr>
              <w:t>）、废</w:t>
            </w:r>
            <w:r>
              <w:rPr>
                <w:rFonts w:hint="eastAsia"/>
                <w:color w:val="auto"/>
                <w:szCs w:val="21"/>
                <w:lang w:val="en-US" w:eastAsia="zh-CN"/>
              </w:rPr>
              <w:t>SDG</w:t>
            </w:r>
            <w:r>
              <w:rPr>
                <w:rFonts w:hint="eastAsia"/>
                <w:color w:val="auto"/>
                <w:szCs w:val="21"/>
              </w:rPr>
              <w:t>（S</w:t>
            </w:r>
            <w:r>
              <w:rPr>
                <w:rFonts w:hint="eastAsia"/>
                <w:color w:val="auto"/>
                <w:szCs w:val="21"/>
                <w:lang w:val="en-US" w:eastAsia="zh-CN"/>
              </w:rPr>
              <w:t>5</w:t>
            </w:r>
            <w:r>
              <w:rPr>
                <w:rFonts w:hint="eastAsia"/>
                <w:color w:val="auto"/>
                <w:szCs w:val="21"/>
              </w:rPr>
              <w:t>）、废铅酸蓄电池（S</w:t>
            </w:r>
            <w:r>
              <w:rPr>
                <w:rFonts w:hint="eastAsia"/>
                <w:color w:val="auto"/>
                <w:szCs w:val="21"/>
                <w:lang w:val="en-US" w:eastAsia="zh-CN"/>
              </w:rPr>
              <w:t>6</w:t>
            </w:r>
            <w:r>
              <w:rPr>
                <w:rFonts w:hint="eastAsia"/>
                <w:color w:val="auto"/>
                <w:szCs w:val="21"/>
              </w:rPr>
              <w:t>）</w:t>
            </w:r>
            <w:r>
              <w:rPr>
                <w:color w:val="auto"/>
                <w:szCs w:val="21"/>
              </w:rPr>
              <w:t>暂存于</w:t>
            </w:r>
            <w:r>
              <w:rPr>
                <w:rFonts w:hint="eastAsia"/>
                <w:color w:val="auto"/>
                <w:szCs w:val="21"/>
              </w:rPr>
              <w:t>现有危废仓库</w:t>
            </w:r>
            <w:r>
              <w:rPr>
                <w:color w:val="auto"/>
                <w:szCs w:val="21"/>
              </w:rPr>
              <w:t>，定期委托有资质单位进行处置</w:t>
            </w:r>
            <w:r>
              <w:rPr>
                <w:rFonts w:hint="eastAsia"/>
                <w:color w:val="auto"/>
                <w:szCs w:val="21"/>
              </w:rPr>
              <w:t>。本项目依托的现有危废仓库</w:t>
            </w:r>
            <w:r>
              <w:rPr>
                <w:color w:val="auto"/>
                <w:szCs w:val="21"/>
              </w:rPr>
              <w:t>按照《危险废物贮存污染控制</w:t>
            </w:r>
            <w:r>
              <w:rPr>
                <w:rFonts w:hint="eastAsia"/>
                <w:color w:val="auto"/>
                <w:szCs w:val="21"/>
              </w:rPr>
              <w:t>标准</w:t>
            </w:r>
            <w:r>
              <w:rPr>
                <w:color w:val="auto"/>
                <w:szCs w:val="21"/>
              </w:rPr>
              <w:t>》（GB18597-2023）要求设置，满足防风、防雨、防晒、防渗漏的要求，</w:t>
            </w:r>
            <w:r>
              <w:rPr>
                <w:rFonts w:hint="eastAsia"/>
                <w:color w:val="auto"/>
                <w:szCs w:val="21"/>
              </w:rPr>
              <w:t>危险废物</w:t>
            </w:r>
            <w:r>
              <w:rPr>
                <w:color w:val="auto"/>
                <w:szCs w:val="21"/>
              </w:rPr>
              <w:t>的贮存对周围环境影响较小。</w:t>
            </w:r>
          </w:p>
          <w:p w14:paraId="00AE17ED">
            <w:pPr>
              <w:adjustRightInd w:val="0"/>
              <w:snapToGrid w:val="0"/>
              <w:spacing w:line="500" w:lineRule="exact"/>
              <w:ind w:firstLine="422" w:firstLineChars="200"/>
              <w:rPr>
                <w:b/>
                <w:color w:val="auto"/>
                <w:szCs w:val="21"/>
              </w:rPr>
            </w:pPr>
            <w:r>
              <w:rPr>
                <w:rFonts w:hint="eastAsia"/>
                <w:b/>
                <w:color w:val="auto"/>
                <w:szCs w:val="21"/>
              </w:rPr>
              <w:t>1）危险废物收集污染防治措施分析</w:t>
            </w:r>
          </w:p>
          <w:p w14:paraId="31D8975F">
            <w:pPr>
              <w:spacing w:line="500" w:lineRule="exact"/>
              <w:ind w:firstLine="420"/>
              <w:rPr>
                <w:color w:val="auto"/>
                <w:szCs w:val="21"/>
              </w:rPr>
            </w:pPr>
            <w:r>
              <w:rPr>
                <w:rFonts w:hint="eastAsia"/>
                <w:color w:val="auto"/>
                <w:szCs w:val="21"/>
              </w:rPr>
              <w:t>危险废物在收集时，明确废物的类别及主要成分，以方便委托处理单位处理，根据危险废物的性质和形态，采用不同大小和不同材质的容器进行包装，所有包装容器足够安全，并经过周密检查，严防在装载、搬移或运输途中出现渗漏、溢出、抛洒或挥发等情况。最后按照对危险废物交换和转移管理工作的有关要求，对危险废物进行安全包装，并在包装的明显位置附上危险废物标签。</w:t>
            </w:r>
          </w:p>
          <w:p w14:paraId="5D33DACC">
            <w:pPr>
              <w:adjustRightInd w:val="0"/>
              <w:snapToGrid w:val="0"/>
              <w:spacing w:line="500" w:lineRule="exact"/>
              <w:ind w:firstLine="422" w:firstLineChars="200"/>
              <w:rPr>
                <w:b/>
                <w:color w:val="auto"/>
                <w:szCs w:val="21"/>
              </w:rPr>
            </w:pPr>
            <w:r>
              <w:rPr>
                <w:rFonts w:hint="eastAsia"/>
                <w:b/>
                <w:color w:val="auto"/>
                <w:szCs w:val="21"/>
              </w:rPr>
              <w:t>2）危险废物运输污染防治措施分析</w:t>
            </w:r>
          </w:p>
          <w:p w14:paraId="295DADCC">
            <w:pPr>
              <w:spacing w:line="500" w:lineRule="exact"/>
              <w:ind w:firstLine="420"/>
              <w:rPr>
                <w:color w:val="auto"/>
                <w:szCs w:val="21"/>
              </w:rPr>
            </w:pPr>
            <w:r>
              <w:rPr>
                <w:rFonts w:hint="eastAsia"/>
                <w:color w:val="auto"/>
                <w:szCs w:val="21"/>
              </w:rPr>
              <w:t>危险废物运输由危废处置单位进行，危险废物运输中做到：</w:t>
            </w:r>
          </w:p>
          <w:p w14:paraId="09E139A3">
            <w:pPr>
              <w:spacing w:line="500" w:lineRule="exact"/>
              <w:ind w:firstLine="420"/>
              <w:rPr>
                <w:color w:val="auto"/>
                <w:szCs w:val="21"/>
              </w:rPr>
            </w:pPr>
            <w:r>
              <w:rPr>
                <w:rFonts w:hint="eastAsia"/>
                <w:color w:val="auto"/>
                <w:szCs w:val="21"/>
              </w:rPr>
              <w:t>①危险废物的运输车辆经主管单位检查，并持有有关单位签发的许可证，负责运输的司机通过培训，持有证明文件。</w:t>
            </w:r>
          </w:p>
          <w:p w14:paraId="206CE37B">
            <w:pPr>
              <w:spacing w:line="500" w:lineRule="exact"/>
              <w:ind w:firstLine="420"/>
              <w:rPr>
                <w:color w:val="auto"/>
                <w:szCs w:val="21"/>
              </w:rPr>
            </w:pPr>
            <w:r>
              <w:rPr>
                <w:rFonts w:hint="eastAsia"/>
                <w:color w:val="auto"/>
                <w:szCs w:val="21"/>
              </w:rPr>
              <w:t>②承载危险废物的车辆有明显的标志或适当的危险符号，以引起注意。</w:t>
            </w:r>
          </w:p>
          <w:p w14:paraId="0C5FA12E">
            <w:pPr>
              <w:spacing w:line="500" w:lineRule="exact"/>
              <w:ind w:firstLine="420"/>
              <w:rPr>
                <w:color w:val="auto"/>
                <w:szCs w:val="21"/>
              </w:rPr>
            </w:pPr>
            <w:r>
              <w:rPr>
                <w:rFonts w:hint="eastAsia"/>
                <w:color w:val="auto"/>
                <w:szCs w:val="21"/>
              </w:rPr>
              <w:t>③载有危险废物的车辆在公路上行驶时，持有运输许可证，其上注明废物来源、性质和运往地点。</w:t>
            </w:r>
          </w:p>
          <w:p w14:paraId="4BB71DBA">
            <w:pPr>
              <w:spacing w:line="500" w:lineRule="exact"/>
              <w:ind w:firstLine="420"/>
              <w:rPr>
                <w:color w:val="auto"/>
                <w:szCs w:val="21"/>
              </w:rPr>
            </w:pPr>
            <w:r>
              <w:rPr>
                <w:rFonts w:hint="eastAsia"/>
                <w:color w:val="auto"/>
                <w:szCs w:val="21"/>
              </w:rPr>
              <w:t>④组织危险废物的运输单位，事先作出周密的运输计划和行驶路线，其中包括有效的废物泄漏情况下的应急措施。</w:t>
            </w:r>
          </w:p>
          <w:p w14:paraId="4AFC555E">
            <w:pPr>
              <w:adjustRightInd w:val="0"/>
              <w:snapToGrid w:val="0"/>
              <w:spacing w:line="500" w:lineRule="exact"/>
              <w:ind w:firstLine="422" w:firstLineChars="200"/>
              <w:rPr>
                <w:b/>
                <w:color w:val="auto"/>
                <w:szCs w:val="21"/>
              </w:rPr>
            </w:pPr>
            <w:r>
              <w:rPr>
                <w:rFonts w:hint="eastAsia"/>
                <w:b/>
                <w:color w:val="auto"/>
                <w:szCs w:val="21"/>
              </w:rPr>
              <w:t>3）危险废物贮存场所（设施）污染防治措施</w:t>
            </w:r>
          </w:p>
          <w:p w14:paraId="4D63C719">
            <w:pPr>
              <w:spacing w:line="500" w:lineRule="exact"/>
              <w:ind w:firstLine="420"/>
              <w:rPr>
                <w:color w:val="auto"/>
                <w:szCs w:val="21"/>
              </w:rPr>
            </w:pPr>
            <w:r>
              <w:rPr>
                <w:rFonts w:hint="eastAsia"/>
                <w:color w:val="auto"/>
                <w:szCs w:val="21"/>
              </w:rPr>
              <w:t>本项目依托的现有危废仓库满足《危险废物贮存污染控制标准》（GB18597-2023）要求：</w:t>
            </w:r>
          </w:p>
          <w:p w14:paraId="07D9DCA8">
            <w:pPr>
              <w:spacing w:line="500" w:lineRule="exact"/>
              <w:ind w:firstLine="420"/>
              <w:rPr>
                <w:color w:val="auto"/>
                <w:szCs w:val="21"/>
              </w:rPr>
            </w:pPr>
            <w:r>
              <w:rPr>
                <w:rFonts w:hint="eastAsia"/>
                <w:color w:val="auto"/>
                <w:szCs w:val="21"/>
              </w:rPr>
              <w:t>①贮存设施根据危险废物的形态、物理化学性质、包装形式和污染物迁移途径，采取了必要的防风、防晒、防雨、防漏、防渗、防腐以及其他环境污染防治措施，不存在露天堆放危险废物。</w:t>
            </w:r>
          </w:p>
          <w:p w14:paraId="4BF2D2F3">
            <w:pPr>
              <w:spacing w:line="500" w:lineRule="exact"/>
              <w:ind w:firstLine="420"/>
              <w:rPr>
                <w:color w:val="auto"/>
                <w:szCs w:val="21"/>
              </w:rPr>
            </w:pPr>
            <w:r>
              <w:rPr>
                <w:rFonts w:hint="eastAsia"/>
                <w:color w:val="auto"/>
                <w:szCs w:val="21"/>
              </w:rPr>
              <w:t>②贮存设施根据危险废物的类别、数量、形态、物理化学性质和污染防治等要求设置必要的贮存分区，避免不相容的危险废物接触、混合。</w:t>
            </w:r>
          </w:p>
          <w:p w14:paraId="3D939DC7">
            <w:pPr>
              <w:spacing w:line="500" w:lineRule="exact"/>
              <w:ind w:firstLine="420"/>
              <w:rPr>
                <w:color w:val="auto"/>
                <w:szCs w:val="21"/>
              </w:rPr>
            </w:pPr>
            <w:r>
              <w:rPr>
                <w:rFonts w:hint="eastAsia"/>
                <w:color w:val="auto"/>
                <w:szCs w:val="21"/>
              </w:rPr>
              <w:t>③贮存设施地面与裙脚采取表面防渗措施；表面防渗材料与所接触的物料或污染物相容，采用了抗渗混凝土、高密度聚乙烯膜、钠基膨润土防水毯或其他防渗性能等效的材料。</w:t>
            </w:r>
          </w:p>
          <w:p w14:paraId="6318AB8A">
            <w:pPr>
              <w:spacing w:line="500" w:lineRule="exact"/>
              <w:ind w:firstLine="420"/>
              <w:rPr>
                <w:color w:val="auto"/>
                <w:szCs w:val="21"/>
              </w:rPr>
            </w:pPr>
            <w:r>
              <w:rPr>
                <w:rFonts w:hint="eastAsia"/>
                <w:color w:val="auto"/>
                <w:szCs w:val="21"/>
              </w:rPr>
              <w:t>④贮存库内不同贮存分区之间采取隔离措施。隔离措施根据危险废物特性采用过道、隔板或隔墙等方式。</w:t>
            </w:r>
          </w:p>
          <w:p w14:paraId="4479BB94">
            <w:pPr>
              <w:spacing w:line="500" w:lineRule="exact"/>
              <w:ind w:firstLine="420"/>
              <w:rPr>
                <w:color w:val="auto"/>
                <w:szCs w:val="21"/>
              </w:rPr>
            </w:pPr>
            <w:r>
              <w:rPr>
                <w:rFonts w:hint="eastAsia"/>
                <w:color w:val="auto"/>
                <w:szCs w:val="21"/>
              </w:rPr>
              <w:t>⑤具有液体泄漏堵截设施，堵截设施最小容积不低于对应贮存区域最大液态废物容器容积或液态废物总储量1/10（二者取较大者）；设计有渗滤液收集设施，收集设施容积满足渗滤液的收集要求。</w:t>
            </w:r>
          </w:p>
          <w:p w14:paraId="0D1DEC91">
            <w:pPr>
              <w:spacing w:line="500" w:lineRule="exact"/>
              <w:ind w:firstLine="420"/>
              <w:rPr>
                <w:color w:val="auto"/>
                <w:szCs w:val="21"/>
              </w:rPr>
            </w:pPr>
            <w:r>
              <w:rPr>
                <w:rFonts w:hint="eastAsia"/>
                <w:color w:val="auto"/>
                <w:szCs w:val="21"/>
              </w:rPr>
              <w:t>⑥设置有气体收集装置和气体净化设施；气体净化设施的排气筒高度符合GB 16297要求。</w:t>
            </w:r>
          </w:p>
          <w:p w14:paraId="50093B4F">
            <w:pPr>
              <w:spacing w:line="500" w:lineRule="exact"/>
              <w:ind w:firstLine="420"/>
              <w:rPr>
                <w:color w:val="auto"/>
                <w:szCs w:val="21"/>
              </w:rPr>
            </w:pPr>
            <w:r>
              <w:rPr>
                <w:rFonts w:hint="eastAsia"/>
                <w:color w:val="auto"/>
                <w:szCs w:val="21"/>
              </w:rPr>
              <w:t>⑦按照《危险废物识别标志设置技术规范》 (HJ1276-2022</w:t>
            </w:r>
            <w:r>
              <w:rPr>
                <w:rFonts w:hint="eastAsia"/>
                <w:color w:val="auto"/>
                <w:szCs w:val="21"/>
                <w:lang w:eastAsia="zh-CN"/>
              </w:rPr>
              <w:t>）</w:t>
            </w:r>
            <w:r>
              <w:rPr>
                <w:rFonts w:hint="eastAsia"/>
                <w:color w:val="auto"/>
                <w:szCs w:val="21"/>
              </w:rPr>
              <w:t>、《环境保护图形标志固体废物贮存</w:t>
            </w:r>
            <w:r>
              <w:rPr>
                <w:rFonts w:hint="eastAsia"/>
                <w:color w:val="auto"/>
                <w:szCs w:val="21"/>
                <w:lang w:eastAsia="zh-CN"/>
              </w:rPr>
              <w:t>（</w:t>
            </w:r>
            <w:r>
              <w:rPr>
                <w:rFonts w:hint="eastAsia"/>
                <w:color w:val="auto"/>
                <w:szCs w:val="21"/>
              </w:rPr>
              <w:t>处置</w:t>
            </w:r>
            <w:r>
              <w:rPr>
                <w:rFonts w:hint="eastAsia"/>
                <w:color w:val="auto"/>
                <w:szCs w:val="21"/>
                <w:lang w:eastAsia="zh-CN"/>
              </w:rPr>
              <w:t>）</w:t>
            </w:r>
            <w:r>
              <w:rPr>
                <w:rFonts w:hint="eastAsia"/>
                <w:color w:val="auto"/>
                <w:szCs w:val="21"/>
              </w:rPr>
              <w:t>（GB15562.2-1995）（2023年修改单）合理规范设置危险废物贮存场所标识标牌。</w:t>
            </w:r>
          </w:p>
          <w:p w14:paraId="0D352E3A">
            <w:pPr>
              <w:spacing w:line="500" w:lineRule="exact"/>
              <w:ind w:firstLine="420"/>
              <w:rPr>
                <w:color w:val="auto"/>
                <w:szCs w:val="21"/>
              </w:rPr>
            </w:pPr>
            <w:r>
              <w:rPr>
                <w:rFonts w:hint="eastAsia"/>
                <w:color w:val="auto"/>
                <w:szCs w:val="21"/>
              </w:rPr>
              <w:t>⑧根据《省生态环境厅关于印发江苏省危险废物贮存规范化管理专项整治行动方案的通知》（苏环办〔2019〕149号）要求，在关键位置设置在线视频监控。</w:t>
            </w:r>
          </w:p>
          <w:p w14:paraId="4C3B2975">
            <w:pPr>
              <w:spacing w:line="500" w:lineRule="exact"/>
              <w:ind w:firstLine="420"/>
              <w:rPr>
                <w:color w:val="auto"/>
                <w:szCs w:val="21"/>
              </w:rPr>
            </w:pPr>
            <w:r>
              <w:rPr>
                <w:rFonts w:hint="eastAsia"/>
                <w:color w:val="auto"/>
                <w:szCs w:val="21"/>
              </w:rPr>
              <w:t>建设单位按照《省生态环境厅关于进一步加强危险废物污染防治工作的实施意见》（苏环办〔2019〕327号）及其附件2要求，在危险仓库出入口、设施内部、危险废物运输车辆通道等关键位置按照危险废物贮存设施视频监控布设要求设置视频监控，并与中控室联网。在视频监控系统管理上，建设单位指定专人专职维护视频监控设施运行，定期巡视并做好相应的监控运行、维修、使用记录，保持摄像头表面整洁干净、监控拍摄位置正确、监控设施完好无损，确保视频传输图像清晰、监控设备正常稳定运行。因维修、更换等原因导致监控设备不能正常运行的，采取人工摄像等应急措施，确保视频监控不间断。</w:t>
            </w:r>
          </w:p>
          <w:p w14:paraId="14B244CC">
            <w:pPr>
              <w:spacing w:line="500" w:lineRule="exact"/>
              <w:ind w:firstLine="420"/>
              <w:rPr>
                <w:color w:val="auto"/>
                <w:szCs w:val="21"/>
              </w:rPr>
            </w:pPr>
            <w:r>
              <w:rPr>
                <w:rFonts w:hint="eastAsia"/>
                <w:color w:val="auto"/>
                <w:szCs w:val="21"/>
              </w:rPr>
              <w:t>⑨建立有危险废物贮存的</w:t>
            </w:r>
            <w:r>
              <w:rPr>
                <w:rFonts w:hint="eastAsia"/>
                <w:color w:val="auto"/>
                <w:szCs w:val="21"/>
                <w:lang w:eastAsia="zh-CN"/>
              </w:rPr>
              <w:t>台账制度</w:t>
            </w:r>
            <w:r>
              <w:rPr>
                <w:rFonts w:hint="eastAsia"/>
                <w:color w:val="auto"/>
                <w:szCs w:val="21"/>
              </w:rPr>
              <w:t>，危险废物出入库交接记录内容按照《危险废物收集贮存运输技术规范》（HJ2025）附录C执行。</w:t>
            </w:r>
          </w:p>
          <w:p w14:paraId="1606110A">
            <w:pPr>
              <w:adjustRightInd w:val="0"/>
              <w:snapToGrid w:val="0"/>
              <w:spacing w:line="500" w:lineRule="exact"/>
              <w:ind w:firstLine="422" w:firstLineChars="200"/>
              <w:rPr>
                <w:b/>
                <w:color w:val="auto"/>
                <w:szCs w:val="21"/>
              </w:rPr>
            </w:pPr>
            <w:r>
              <w:rPr>
                <w:rFonts w:hint="eastAsia"/>
                <w:b/>
                <w:color w:val="auto"/>
                <w:szCs w:val="21"/>
              </w:rPr>
              <w:t>4）危废贮存设施主要环境影响</w:t>
            </w:r>
          </w:p>
          <w:p w14:paraId="01C878B0">
            <w:pPr>
              <w:spacing w:line="500" w:lineRule="exact"/>
              <w:ind w:firstLine="420"/>
              <w:rPr>
                <w:color w:val="auto"/>
                <w:szCs w:val="21"/>
              </w:rPr>
            </w:pPr>
            <w:r>
              <w:rPr>
                <w:rFonts w:hint="eastAsia"/>
                <w:color w:val="auto"/>
                <w:szCs w:val="21"/>
              </w:rPr>
              <w:t>①大气环境影响</w:t>
            </w:r>
          </w:p>
          <w:p w14:paraId="02CAB96E">
            <w:pPr>
              <w:spacing w:line="500" w:lineRule="exact"/>
              <w:ind w:firstLine="420"/>
              <w:rPr>
                <w:color w:val="auto"/>
                <w:szCs w:val="21"/>
              </w:rPr>
            </w:pPr>
            <w:r>
              <w:rPr>
                <w:rFonts w:hint="eastAsia"/>
                <w:color w:val="auto"/>
                <w:szCs w:val="21"/>
              </w:rPr>
              <w:t>厂内液体危险废物采用桶装贮存，且危废仓库设置有废气收集措施和净化设施，所以危废贮存设施对大气环境影响较小。</w:t>
            </w:r>
          </w:p>
          <w:p w14:paraId="36385B00">
            <w:pPr>
              <w:spacing w:line="500" w:lineRule="exact"/>
              <w:ind w:firstLine="420"/>
              <w:rPr>
                <w:color w:val="auto"/>
                <w:szCs w:val="21"/>
              </w:rPr>
            </w:pPr>
            <w:r>
              <w:rPr>
                <w:rFonts w:hint="eastAsia"/>
                <w:color w:val="auto"/>
                <w:szCs w:val="21"/>
              </w:rPr>
              <w:t>②地表水环境影响</w:t>
            </w:r>
          </w:p>
          <w:p w14:paraId="2B07D5A8">
            <w:pPr>
              <w:spacing w:line="500" w:lineRule="exact"/>
              <w:ind w:firstLine="420"/>
              <w:rPr>
                <w:color w:val="auto"/>
                <w:szCs w:val="21"/>
              </w:rPr>
            </w:pPr>
            <w:r>
              <w:rPr>
                <w:rFonts w:hint="eastAsia"/>
                <w:color w:val="auto"/>
                <w:szCs w:val="21"/>
              </w:rPr>
              <w:t>公司设有专人对危废贮存设施进行规范管理，危废贮存做到防雨、防风、防晒，危废进入地表水可能性较小，不会对周边水体环境造成显著影响。</w:t>
            </w:r>
          </w:p>
          <w:p w14:paraId="669C44E0">
            <w:pPr>
              <w:spacing w:line="500" w:lineRule="exact"/>
              <w:ind w:firstLine="420"/>
              <w:rPr>
                <w:color w:val="auto"/>
                <w:szCs w:val="21"/>
              </w:rPr>
            </w:pPr>
            <w:r>
              <w:rPr>
                <w:rFonts w:hint="eastAsia"/>
                <w:color w:val="auto"/>
                <w:szCs w:val="21"/>
              </w:rPr>
              <w:t>③地下水、土壤环境影响</w:t>
            </w:r>
          </w:p>
          <w:p w14:paraId="140B4415">
            <w:pPr>
              <w:spacing w:line="500" w:lineRule="exact"/>
              <w:ind w:firstLine="420"/>
              <w:rPr>
                <w:color w:val="auto"/>
                <w:szCs w:val="21"/>
              </w:rPr>
            </w:pPr>
            <w:r>
              <w:rPr>
                <w:rFonts w:hint="eastAsia"/>
                <w:color w:val="auto"/>
                <w:szCs w:val="21"/>
              </w:rPr>
              <w:t>危废渗滤液发生渗漏，其有害成分通过地表径流和雨水的淋溶、渗透作用，通过土壤孔隙向四周和纵深的土壤迁移。在迁移过程中，由于土壤的吸附能力和吸附容量很大，固体废物随着渗滤水在地下水中的迁移，使有害成分在土壤固相中呈现不同程度的积累，导致土壤成分和结构的改变，间接又对在该土壤上生长的植物及土壤中的动物、微生物产生了危害。</w:t>
            </w:r>
          </w:p>
          <w:p w14:paraId="0F3F9307">
            <w:pPr>
              <w:spacing w:line="500" w:lineRule="exact"/>
              <w:ind w:firstLine="420"/>
              <w:rPr>
                <w:color w:val="auto"/>
                <w:szCs w:val="21"/>
              </w:rPr>
            </w:pPr>
            <w:r>
              <w:rPr>
                <w:rFonts w:hint="eastAsia"/>
                <w:color w:val="auto"/>
                <w:szCs w:val="21"/>
              </w:rPr>
              <w:t>本项目依托的危废仓库已按《危险废物贮存污染控制标准》（</w:t>
            </w:r>
            <w:r>
              <w:rPr>
                <w:color w:val="auto"/>
                <w:szCs w:val="21"/>
              </w:rPr>
              <w:t>GB18597-2023）相关要求对危废贮存区进行建设；地面采用耐腐</w:t>
            </w:r>
            <w:r>
              <w:rPr>
                <w:rFonts w:hint="eastAsia"/>
                <w:color w:val="auto"/>
                <w:szCs w:val="21"/>
              </w:rPr>
              <w:t>蚀的硬化地面，且表面无裂隙；重点防渗，</w:t>
            </w:r>
            <w:r>
              <w:rPr>
                <w:color w:val="auto"/>
                <w:szCs w:val="21"/>
              </w:rPr>
              <w:t>等效黏土防渗层Mb≥6.0m，K≤1×10-7cm/s</w:t>
            </w:r>
            <w:r>
              <w:rPr>
                <w:rFonts w:hint="eastAsia"/>
                <w:color w:val="auto"/>
                <w:szCs w:val="21"/>
              </w:rPr>
              <w:t>（</w:t>
            </w:r>
            <w:r>
              <w:rPr>
                <w:color w:val="auto"/>
                <w:szCs w:val="21"/>
              </w:rPr>
              <w:t>或参照GB18598执行</w:t>
            </w:r>
            <w:r>
              <w:rPr>
                <w:rFonts w:hint="eastAsia"/>
                <w:color w:val="auto"/>
                <w:szCs w:val="21"/>
              </w:rPr>
              <w:t>）</w:t>
            </w:r>
            <w:r>
              <w:rPr>
                <w:color w:val="auto"/>
                <w:szCs w:val="21"/>
              </w:rPr>
              <w:t>。通过采取以上措施，可有效</w:t>
            </w:r>
            <w:r>
              <w:rPr>
                <w:rFonts w:hint="eastAsia"/>
                <w:color w:val="auto"/>
                <w:szCs w:val="21"/>
              </w:rPr>
              <w:t>防止危废贮存过程中物料渗漏对土壤和地下水产生显著影响。</w:t>
            </w:r>
          </w:p>
          <w:p w14:paraId="14F82C44">
            <w:pPr>
              <w:adjustRightInd w:val="0"/>
              <w:snapToGrid w:val="0"/>
              <w:spacing w:line="500" w:lineRule="exact"/>
              <w:ind w:firstLine="422" w:firstLineChars="200"/>
              <w:rPr>
                <w:b/>
                <w:color w:val="auto"/>
                <w:szCs w:val="21"/>
              </w:rPr>
            </w:pPr>
            <w:r>
              <w:rPr>
                <w:rFonts w:hint="eastAsia"/>
                <w:b/>
                <w:color w:val="auto"/>
                <w:szCs w:val="21"/>
              </w:rPr>
              <w:t>5）运输过程中环境影响分析</w:t>
            </w:r>
          </w:p>
          <w:p w14:paraId="0FC6F370">
            <w:pPr>
              <w:spacing w:line="500" w:lineRule="exact"/>
              <w:ind w:firstLine="420"/>
              <w:rPr>
                <w:color w:val="auto"/>
                <w:szCs w:val="21"/>
              </w:rPr>
            </w:pPr>
            <w:r>
              <w:rPr>
                <w:rFonts w:hint="eastAsia"/>
                <w:color w:val="auto"/>
                <w:szCs w:val="21"/>
              </w:rPr>
              <w:t>本项目依托的危废贮存设施位于厂区内部，不涉及厂外运输或贮存。</w:t>
            </w:r>
          </w:p>
          <w:p w14:paraId="5E75D525">
            <w:pPr>
              <w:adjustRightInd w:val="0"/>
              <w:snapToGrid w:val="0"/>
              <w:spacing w:line="500" w:lineRule="exact"/>
              <w:ind w:firstLine="422" w:firstLineChars="200"/>
              <w:rPr>
                <w:b/>
                <w:color w:val="auto"/>
                <w:szCs w:val="21"/>
              </w:rPr>
            </w:pPr>
            <w:r>
              <w:rPr>
                <w:b/>
                <w:color w:val="auto"/>
                <w:szCs w:val="21"/>
              </w:rPr>
              <w:t>6</w:t>
            </w:r>
            <w:r>
              <w:rPr>
                <w:rFonts w:hint="eastAsia"/>
                <w:b/>
                <w:color w:val="auto"/>
                <w:szCs w:val="21"/>
              </w:rPr>
              <w:t>）《关于做好生态环境和应急管理部门联动工作的意见》（苏环办</w:t>
            </w:r>
            <w:r>
              <w:rPr>
                <w:rFonts w:hint="eastAsia"/>
                <w:b/>
                <w:color w:val="auto"/>
                <w:szCs w:val="21"/>
                <w:lang w:eastAsia="zh-CN"/>
              </w:rPr>
              <w:t>〔2020〕101号</w:t>
            </w:r>
            <w:r>
              <w:rPr>
                <w:rFonts w:hint="eastAsia"/>
                <w:b/>
                <w:color w:val="auto"/>
                <w:szCs w:val="21"/>
              </w:rPr>
              <w:t>）</w:t>
            </w:r>
          </w:p>
          <w:p w14:paraId="697ED4E4">
            <w:pPr>
              <w:autoSpaceDE w:val="0"/>
              <w:autoSpaceDN w:val="0"/>
              <w:adjustRightInd w:val="0"/>
              <w:snapToGrid w:val="0"/>
              <w:spacing w:line="500" w:lineRule="exact"/>
              <w:ind w:firstLine="420" w:firstLineChars="200"/>
              <w:jc w:val="left"/>
              <w:rPr>
                <w:bCs/>
                <w:color w:val="auto"/>
                <w:kern w:val="0"/>
                <w:szCs w:val="21"/>
              </w:rPr>
            </w:pPr>
            <w:r>
              <w:rPr>
                <w:rFonts w:hint="eastAsia"/>
                <w:bCs/>
                <w:color w:val="auto"/>
                <w:kern w:val="0"/>
                <w:szCs w:val="21"/>
              </w:rPr>
              <w:t>积极响应《关于做好生态环境和应急管理部门联动工作的意见》（苏环办</w:t>
            </w:r>
            <w:r>
              <w:rPr>
                <w:rFonts w:hint="eastAsia"/>
                <w:bCs/>
                <w:color w:val="auto"/>
                <w:kern w:val="0"/>
                <w:szCs w:val="21"/>
                <w:lang w:eastAsia="zh-CN"/>
              </w:rPr>
              <w:t>〔2020〕101号</w:t>
            </w:r>
            <w:r>
              <w:rPr>
                <w:rFonts w:hint="eastAsia"/>
                <w:bCs/>
                <w:color w:val="auto"/>
                <w:kern w:val="0"/>
                <w:szCs w:val="21"/>
              </w:rPr>
              <w:t>），在后续的管理过程中，公司将负责切实履行危险废物产生、收集、贮存、运输、利用、处置等环节的各项环保和安全职责，并制定危险废物管理计划并完成备案。</w:t>
            </w:r>
            <w:r>
              <w:rPr>
                <w:rFonts w:hint="eastAsia"/>
                <w:color w:val="auto"/>
                <w:szCs w:val="21"/>
              </w:rPr>
              <w:t>危废库</w:t>
            </w:r>
            <w:r>
              <w:rPr>
                <w:rFonts w:hint="eastAsia"/>
                <w:bCs/>
                <w:color w:val="auto"/>
                <w:kern w:val="0"/>
                <w:szCs w:val="21"/>
              </w:rPr>
              <w:t>产生的废气收集后进入</w:t>
            </w:r>
            <w:r>
              <w:rPr>
                <w:rFonts w:hint="eastAsia"/>
                <w:color w:val="auto"/>
                <w:kern w:val="0"/>
                <w:szCs w:val="21"/>
                <w:lang w:bidi="ar"/>
              </w:rPr>
              <w:t>两段交叉式流酸碱吸收</w:t>
            </w:r>
            <w:r>
              <w:rPr>
                <w:rFonts w:hint="eastAsia"/>
                <w:bCs/>
                <w:color w:val="auto"/>
                <w:kern w:val="0"/>
                <w:szCs w:val="21"/>
              </w:rPr>
              <w:t>处理，加强完善废气处理措施开展安全风险辨识管控，确保废气处理设施的安全、有效、稳定运行。</w:t>
            </w:r>
          </w:p>
          <w:p w14:paraId="41BA109C">
            <w:pPr>
              <w:adjustRightInd w:val="0"/>
              <w:snapToGrid w:val="0"/>
              <w:spacing w:line="500" w:lineRule="exact"/>
              <w:ind w:firstLine="422" w:firstLineChars="200"/>
              <w:jc w:val="left"/>
              <w:rPr>
                <w:b/>
                <w:color w:val="auto"/>
                <w:szCs w:val="21"/>
              </w:rPr>
            </w:pPr>
            <w:r>
              <w:rPr>
                <w:b/>
                <w:color w:val="auto"/>
                <w:szCs w:val="21"/>
              </w:rPr>
              <w:t>5、地下水、土壤污染防控措施</w:t>
            </w:r>
          </w:p>
          <w:p w14:paraId="1A1C0C16">
            <w:pPr>
              <w:spacing w:line="500" w:lineRule="exact"/>
              <w:ind w:firstLine="420"/>
              <w:rPr>
                <w:color w:val="auto"/>
                <w:szCs w:val="21"/>
              </w:rPr>
            </w:pPr>
            <w:r>
              <w:rPr>
                <w:color w:val="auto"/>
                <w:szCs w:val="21"/>
              </w:rPr>
              <w:t>防渗处理是防止地下水污染的重要保护措施，也是杜绝地下水污染的最后一道防线。依据项目区域水文地质情况及项目特点，提出如下污染防治措施及防渗要求。本项目为</w:t>
            </w:r>
            <w:r>
              <w:rPr>
                <w:rFonts w:hint="eastAsia"/>
                <w:color w:val="auto"/>
                <w:szCs w:val="21"/>
              </w:rPr>
              <w:t>控制与化验楼及公辅配套项目，化验污水池</w:t>
            </w:r>
            <w:r>
              <w:rPr>
                <w:color w:val="auto"/>
                <w:szCs w:val="21"/>
              </w:rPr>
              <w:t>一旦发生泄漏可及时发现并进行及时处理</w:t>
            </w:r>
            <w:r>
              <w:rPr>
                <w:rFonts w:hint="eastAsia"/>
                <w:color w:val="auto"/>
                <w:szCs w:val="21"/>
              </w:rPr>
              <w:t>，因此</w:t>
            </w:r>
            <w:r>
              <w:rPr>
                <w:color w:val="auto"/>
                <w:szCs w:val="21"/>
              </w:rPr>
              <w:t>本项目</w:t>
            </w:r>
            <w:r>
              <w:rPr>
                <w:rFonts w:hint="eastAsia"/>
                <w:color w:val="auto"/>
                <w:szCs w:val="21"/>
              </w:rPr>
              <w:t>建设的化验污水池设置为重点防渗区。</w:t>
            </w:r>
            <w:r>
              <w:rPr>
                <w:color w:val="auto"/>
                <w:szCs w:val="21"/>
              </w:rPr>
              <w:t>污染区则应按照不同分区要求，采取不同等级的防渗措施，并确保其可靠性和有效性。</w:t>
            </w:r>
            <w:r>
              <w:rPr>
                <w:rFonts w:hint="eastAsia"/>
                <w:color w:val="auto"/>
                <w:szCs w:val="21"/>
              </w:rPr>
              <w:t>本项目的</w:t>
            </w:r>
            <w:r>
              <w:rPr>
                <w:color w:val="auto"/>
                <w:szCs w:val="21"/>
              </w:rPr>
              <w:t>防渗设计应满足《一般工业固体废物贮存和填埋污染控制标准》</w:t>
            </w:r>
            <w:r>
              <w:rPr>
                <w:rFonts w:hint="eastAsia"/>
                <w:color w:val="auto"/>
                <w:szCs w:val="21"/>
                <w:lang w:eastAsia="zh-CN"/>
              </w:rPr>
              <w:t>（</w:t>
            </w:r>
            <w:r>
              <w:rPr>
                <w:color w:val="auto"/>
                <w:szCs w:val="21"/>
              </w:rPr>
              <w:t>GB18599-2020</w:t>
            </w:r>
            <w:r>
              <w:rPr>
                <w:rFonts w:hint="eastAsia"/>
                <w:color w:val="auto"/>
                <w:szCs w:val="21"/>
                <w:lang w:eastAsia="zh-CN"/>
              </w:rPr>
              <w:t>）</w:t>
            </w:r>
            <w:r>
              <w:rPr>
                <w:color w:val="auto"/>
                <w:szCs w:val="21"/>
              </w:rPr>
              <w:t>。本项目防渗分区划分及防渗等级见表4-1</w:t>
            </w:r>
            <w:r>
              <w:rPr>
                <w:rFonts w:hint="eastAsia"/>
                <w:color w:val="auto"/>
                <w:szCs w:val="21"/>
              </w:rPr>
              <w:t>0</w:t>
            </w:r>
            <w:r>
              <w:rPr>
                <w:color w:val="auto"/>
                <w:szCs w:val="21"/>
              </w:rPr>
              <w:t>。</w:t>
            </w:r>
          </w:p>
          <w:p w14:paraId="4108728C">
            <w:pPr>
              <w:snapToGrid w:val="0"/>
              <w:spacing w:line="500" w:lineRule="exact"/>
              <w:jc w:val="center"/>
              <w:rPr>
                <w:b/>
                <w:color w:val="auto"/>
                <w:szCs w:val="21"/>
              </w:rPr>
            </w:pPr>
            <w:r>
              <w:rPr>
                <w:b/>
                <w:color w:val="auto"/>
                <w:szCs w:val="21"/>
              </w:rPr>
              <w:t>表4-1</w:t>
            </w:r>
            <w:r>
              <w:rPr>
                <w:rFonts w:hint="eastAsia"/>
                <w:b/>
                <w:color w:val="auto"/>
                <w:szCs w:val="21"/>
              </w:rPr>
              <w:t>0</w:t>
            </w:r>
            <w:r>
              <w:rPr>
                <w:b/>
                <w:color w:val="auto"/>
                <w:szCs w:val="21"/>
              </w:rPr>
              <w:t xml:space="preserve">  本项目污染区划分及防渗等级一览表</w:t>
            </w:r>
          </w:p>
          <w:tbl>
            <w:tblPr>
              <w:tblStyle w:val="21"/>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108" w:type="dxa"/>
                <w:bottom w:w="57" w:type="dxa"/>
                <w:right w:w="108" w:type="dxa"/>
              </w:tblCellMar>
            </w:tblPr>
            <w:tblGrid>
              <w:gridCol w:w="1407"/>
              <w:gridCol w:w="2833"/>
              <w:gridCol w:w="1753"/>
              <w:gridCol w:w="2576"/>
            </w:tblGrid>
            <w:tr w14:paraId="6223AC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821" w:type="pct"/>
                  <w:vAlign w:val="center"/>
                </w:tcPr>
                <w:p w14:paraId="7C1F346E">
                  <w:pPr>
                    <w:adjustRightInd w:val="0"/>
                    <w:snapToGrid w:val="0"/>
                    <w:jc w:val="center"/>
                    <w:rPr>
                      <w:b/>
                      <w:color w:val="auto"/>
                      <w:sz w:val="18"/>
                      <w:szCs w:val="18"/>
                    </w:rPr>
                  </w:pPr>
                </w:p>
              </w:tc>
              <w:tc>
                <w:tcPr>
                  <w:tcW w:w="1653" w:type="pct"/>
                  <w:vAlign w:val="center"/>
                </w:tcPr>
                <w:p w14:paraId="542B5C6A">
                  <w:pPr>
                    <w:adjustRightInd w:val="0"/>
                    <w:snapToGrid w:val="0"/>
                    <w:jc w:val="center"/>
                    <w:rPr>
                      <w:b/>
                      <w:color w:val="auto"/>
                      <w:sz w:val="18"/>
                      <w:szCs w:val="18"/>
                    </w:rPr>
                  </w:pPr>
                </w:p>
              </w:tc>
              <w:tc>
                <w:tcPr>
                  <w:tcW w:w="1023" w:type="pct"/>
                  <w:vAlign w:val="center"/>
                </w:tcPr>
                <w:p w14:paraId="1E854379">
                  <w:pPr>
                    <w:adjustRightInd w:val="0"/>
                    <w:snapToGrid w:val="0"/>
                    <w:jc w:val="center"/>
                    <w:rPr>
                      <w:b/>
                      <w:color w:val="auto"/>
                      <w:sz w:val="18"/>
                      <w:szCs w:val="18"/>
                    </w:rPr>
                  </w:pPr>
                </w:p>
              </w:tc>
              <w:tc>
                <w:tcPr>
                  <w:tcW w:w="1503" w:type="pct"/>
                  <w:vAlign w:val="center"/>
                </w:tcPr>
                <w:p w14:paraId="797A412F">
                  <w:pPr>
                    <w:adjustRightInd w:val="0"/>
                    <w:snapToGrid w:val="0"/>
                    <w:jc w:val="center"/>
                    <w:rPr>
                      <w:b/>
                      <w:color w:val="auto"/>
                      <w:sz w:val="18"/>
                      <w:szCs w:val="18"/>
                    </w:rPr>
                  </w:pPr>
                </w:p>
              </w:tc>
            </w:tr>
            <w:tr w14:paraId="0A9B51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108" w:type="dxa"/>
                  <w:bottom w:w="57" w:type="dxa"/>
                  <w:right w:w="108" w:type="dxa"/>
                </w:tblCellMar>
              </w:tblPrEx>
              <w:tc>
                <w:tcPr>
                  <w:tcW w:w="821" w:type="pct"/>
                  <w:vAlign w:val="center"/>
                </w:tcPr>
                <w:p w14:paraId="0D90F6D1">
                  <w:pPr>
                    <w:adjustRightInd w:val="0"/>
                    <w:snapToGrid w:val="0"/>
                    <w:jc w:val="center"/>
                    <w:rPr>
                      <w:color w:val="auto"/>
                      <w:sz w:val="18"/>
                      <w:szCs w:val="18"/>
                    </w:rPr>
                  </w:pPr>
                </w:p>
              </w:tc>
              <w:tc>
                <w:tcPr>
                  <w:tcW w:w="1653" w:type="pct"/>
                  <w:vAlign w:val="center"/>
                </w:tcPr>
                <w:p w14:paraId="0D5979CF">
                  <w:pPr>
                    <w:adjustRightInd w:val="0"/>
                    <w:snapToGrid w:val="0"/>
                    <w:jc w:val="center"/>
                    <w:rPr>
                      <w:color w:val="auto"/>
                      <w:sz w:val="18"/>
                      <w:szCs w:val="18"/>
                    </w:rPr>
                  </w:pPr>
                </w:p>
              </w:tc>
              <w:tc>
                <w:tcPr>
                  <w:tcW w:w="1023" w:type="pct"/>
                  <w:vAlign w:val="center"/>
                </w:tcPr>
                <w:p w14:paraId="3CA2B16C">
                  <w:pPr>
                    <w:adjustRightInd w:val="0"/>
                    <w:snapToGrid w:val="0"/>
                    <w:jc w:val="center"/>
                    <w:rPr>
                      <w:color w:val="auto"/>
                      <w:sz w:val="18"/>
                      <w:szCs w:val="18"/>
                    </w:rPr>
                  </w:pPr>
                </w:p>
              </w:tc>
              <w:tc>
                <w:tcPr>
                  <w:tcW w:w="1503" w:type="pct"/>
                  <w:vAlign w:val="center"/>
                </w:tcPr>
                <w:p w14:paraId="487D510E">
                  <w:pPr>
                    <w:adjustRightInd w:val="0"/>
                    <w:snapToGrid w:val="0"/>
                    <w:jc w:val="center"/>
                    <w:rPr>
                      <w:color w:val="auto"/>
                      <w:sz w:val="18"/>
                      <w:szCs w:val="18"/>
                    </w:rPr>
                  </w:pPr>
                </w:p>
              </w:tc>
            </w:tr>
          </w:tbl>
          <w:p w14:paraId="0388721F">
            <w:pPr>
              <w:spacing w:line="500" w:lineRule="exact"/>
              <w:ind w:firstLine="420"/>
              <w:rPr>
                <w:color w:val="auto"/>
                <w:szCs w:val="21"/>
              </w:rPr>
            </w:pPr>
            <w:r>
              <w:rPr>
                <w:color w:val="auto"/>
                <w:szCs w:val="21"/>
              </w:rPr>
              <w:t>为防止物料泄漏对地下水及土壤造成影响，本项目</w:t>
            </w:r>
            <w:r>
              <w:rPr>
                <w:rFonts w:hint="eastAsia"/>
                <w:color w:val="auto"/>
                <w:szCs w:val="21"/>
              </w:rPr>
              <w:t>实验室</w:t>
            </w:r>
            <w:r>
              <w:rPr>
                <w:color w:val="auto"/>
                <w:szCs w:val="21"/>
              </w:rPr>
              <w:t>按照</w:t>
            </w:r>
            <w:r>
              <w:rPr>
                <w:rFonts w:hint="eastAsia"/>
                <w:color w:val="auto"/>
                <w:szCs w:val="21"/>
              </w:rPr>
              <w:t>重点防渗区</w:t>
            </w:r>
            <w:r>
              <w:rPr>
                <w:color w:val="auto"/>
                <w:szCs w:val="21"/>
              </w:rPr>
              <w:t>的防渗分区要求进行防渗处理。企业在生产过程中应加强生产管理，</w:t>
            </w:r>
            <w:r>
              <w:rPr>
                <w:rFonts w:hint="eastAsia"/>
                <w:color w:val="auto"/>
                <w:szCs w:val="21"/>
              </w:rPr>
              <w:t>做</w:t>
            </w:r>
            <w:r>
              <w:rPr>
                <w:color w:val="auto"/>
                <w:szCs w:val="21"/>
              </w:rPr>
              <w:t>好设备的维护、检修，加强污染物产生环节的安全防护措施，以便及时发现事故隐患，采取有效的应对措施。另外本项目应纳入全厂三级防控体系，使事故状态下废水得到妥善处置。采取以上措施后，项目正常生产对厂区地下水及土壤不会造成明显的环境影响。</w:t>
            </w:r>
          </w:p>
          <w:p w14:paraId="248EC463">
            <w:pPr>
              <w:spacing w:line="500" w:lineRule="exact"/>
              <w:ind w:firstLine="422" w:firstLineChars="200"/>
              <w:rPr>
                <w:b/>
                <w:color w:val="auto"/>
                <w:szCs w:val="21"/>
              </w:rPr>
            </w:pPr>
            <w:r>
              <w:rPr>
                <w:b/>
                <w:color w:val="auto"/>
                <w:szCs w:val="21"/>
              </w:rPr>
              <w:t>6</w:t>
            </w:r>
            <w:r>
              <w:rPr>
                <w:rFonts w:hint="eastAsia"/>
                <w:b/>
                <w:color w:val="auto"/>
                <w:szCs w:val="21"/>
              </w:rPr>
              <w:t>、环境风险影响评价</w:t>
            </w:r>
          </w:p>
          <w:p w14:paraId="1410DB7D">
            <w:pPr>
              <w:spacing w:line="500" w:lineRule="exact"/>
              <w:ind w:firstLine="422" w:firstLineChars="200"/>
              <w:rPr>
                <w:b/>
                <w:color w:val="auto"/>
                <w:szCs w:val="21"/>
              </w:rPr>
            </w:pPr>
            <w:r>
              <w:rPr>
                <w:rFonts w:hint="eastAsia"/>
                <w:b/>
                <w:color w:val="auto"/>
                <w:szCs w:val="21"/>
              </w:rPr>
              <w:t>（</w:t>
            </w:r>
            <w:r>
              <w:rPr>
                <w:b/>
                <w:color w:val="auto"/>
                <w:szCs w:val="21"/>
              </w:rPr>
              <w:t>1</w:t>
            </w:r>
            <w:r>
              <w:rPr>
                <w:rFonts w:hint="eastAsia"/>
                <w:b/>
                <w:color w:val="auto"/>
                <w:szCs w:val="21"/>
              </w:rPr>
              <w:t>）本项目环境风险识别</w:t>
            </w:r>
          </w:p>
          <w:p w14:paraId="65C115DC">
            <w:pPr>
              <w:spacing w:line="500" w:lineRule="exact"/>
              <w:ind w:firstLine="420" w:firstLineChars="200"/>
              <w:rPr>
                <w:color w:val="auto"/>
                <w:szCs w:val="21"/>
              </w:rPr>
            </w:pPr>
            <w:r>
              <w:rPr>
                <w:rFonts w:hint="eastAsia"/>
                <w:color w:val="auto"/>
                <w:szCs w:val="21"/>
              </w:rPr>
              <w:t>①本项目为品控洁净实验室项目，不涉及生产过程，主要危险物质为实验室试剂柜、钢瓶间中储存的各类气体、酸碱、有机溶剂。</w:t>
            </w:r>
          </w:p>
          <w:p w14:paraId="3B7095C1">
            <w:pPr>
              <w:spacing w:line="500" w:lineRule="exact"/>
              <w:ind w:firstLine="420" w:firstLineChars="200"/>
              <w:rPr>
                <w:color w:val="auto"/>
                <w:szCs w:val="21"/>
              </w:rPr>
            </w:pPr>
            <w:r>
              <w:rPr>
                <w:rFonts w:hint="eastAsia"/>
                <w:color w:val="auto"/>
                <w:szCs w:val="21"/>
              </w:rPr>
              <w:t>②危险物质数量与临界量比值（</w:t>
            </w:r>
            <w:r>
              <w:rPr>
                <w:color w:val="auto"/>
                <w:szCs w:val="21"/>
              </w:rPr>
              <w:t>Q</w:t>
            </w:r>
            <w:r>
              <w:rPr>
                <w:rFonts w:hint="eastAsia"/>
                <w:color w:val="auto"/>
                <w:szCs w:val="21"/>
              </w:rPr>
              <w:t>）</w:t>
            </w:r>
          </w:p>
          <w:p w14:paraId="692DD81D">
            <w:pPr>
              <w:adjustRightInd w:val="0"/>
              <w:snapToGrid w:val="0"/>
              <w:spacing w:line="500" w:lineRule="exact"/>
              <w:ind w:firstLine="420" w:firstLineChars="200"/>
              <w:rPr>
                <w:color w:val="auto"/>
                <w:szCs w:val="21"/>
              </w:rPr>
            </w:pPr>
            <w:r>
              <w:rPr>
                <w:rFonts w:hint="eastAsia"/>
                <w:color w:val="auto"/>
                <w:szCs w:val="21"/>
              </w:rPr>
              <w:t>本项目涉及的危险物质在厂界内的最大存量及临界量见表</w:t>
            </w:r>
            <w:r>
              <w:rPr>
                <w:color w:val="auto"/>
                <w:szCs w:val="21"/>
              </w:rPr>
              <w:t>4</w:t>
            </w:r>
            <w:r>
              <w:rPr>
                <w:rFonts w:hint="eastAsia"/>
                <w:color w:val="auto"/>
                <w:szCs w:val="21"/>
              </w:rPr>
              <w:t>-</w:t>
            </w:r>
            <w:r>
              <w:rPr>
                <w:color w:val="auto"/>
                <w:szCs w:val="21"/>
              </w:rPr>
              <w:t>12</w:t>
            </w:r>
            <w:r>
              <w:rPr>
                <w:rFonts w:hint="eastAsia"/>
                <w:color w:val="auto"/>
                <w:szCs w:val="21"/>
              </w:rPr>
              <w:t>中。</w:t>
            </w:r>
          </w:p>
          <w:p w14:paraId="1EC8C9EC">
            <w:pPr>
              <w:adjustRightInd w:val="0"/>
              <w:snapToGrid w:val="0"/>
              <w:spacing w:line="500" w:lineRule="exact"/>
              <w:ind w:firstLine="420" w:firstLineChars="200"/>
              <w:rPr>
                <w:color w:val="auto"/>
                <w:szCs w:val="21"/>
              </w:rPr>
            </w:pPr>
            <w:r>
              <w:rPr>
                <w:rFonts w:hint="eastAsia"/>
                <w:color w:val="auto"/>
                <w:szCs w:val="21"/>
              </w:rPr>
              <w:t>当只涉及一种危险物质时，计算该物质的总量与其临界量比值，即为</w:t>
            </w:r>
            <w:r>
              <w:rPr>
                <w:i/>
                <w:color w:val="auto"/>
                <w:szCs w:val="21"/>
              </w:rPr>
              <w:t>Q</w:t>
            </w:r>
            <w:r>
              <w:rPr>
                <w:rFonts w:hint="eastAsia"/>
                <w:color w:val="auto"/>
                <w:szCs w:val="21"/>
              </w:rPr>
              <w:t>。</w:t>
            </w:r>
          </w:p>
          <w:p w14:paraId="17F7201A">
            <w:pPr>
              <w:adjustRightInd w:val="0"/>
              <w:snapToGrid w:val="0"/>
              <w:spacing w:line="500" w:lineRule="exact"/>
              <w:ind w:firstLine="420" w:firstLineChars="200"/>
              <w:rPr>
                <w:color w:val="auto"/>
                <w:szCs w:val="21"/>
              </w:rPr>
            </w:pPr>
            <w:r>
              <w:rPr>
                <w:rFonts w:hint="eastAsia"/>
                <w:color w:val="auto"/>
                <w:szCs w:val="21"/>
              </w:rPr>
              <w:t>当存在多种危险物质时，按照下列公式计算危险物质数量与临界量比值（</w:t>
            </w:r>
            <w:r>
              <w:rPr>
                <w:i/>
                <w:color w:val="auto"/>
                <w:szCs w:val="21"/>
              </w:rPr>
              <w:t>Q</w:t>
            </w:r>
            <w:r>
              <w:rPr>
                <w:rFonts w:hint="eastAsia"/>
                <w:color w:val="auto"/>
                <w:szCs w:val="21"/>
              </w:rPr>
              <w:t>）：</w:t>
            </w:r>
          </w:p>
          <w:p w14:paraId="7E975637">
            <w:pPr>
              <w:adjustRightInd w:val="0"/>
              <w:snapToGrid w:val="0"/>
              <w:spacing w:before="240" w:beforeLines="100" w:line="360" w:lineRule="auto"/>
              <w:jc w:val="center"/>
              <w:rPr>
                <w:color w:val="auto"/>
                <w:szCs w:val="21"/>
              </w:rPr>
            </w:pPr>
            <w:r>
              <w:rPr>
                <w:color w:val="auto"/>
                <w:szCs w:val="21"/>
              </w:rPr>
              <w:drawing>
                <wp:inline distT="0" distB="0" distL="0" distR="0">
                  <wp:extent cx="1678940" cy="525145"/>
                  <wp:effectExtent l="0" t="0" r="16510" b="825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1678940" cy="525145"/>
                          </a:xfrm>
                          <a:prstGeom prst="rect">
                            <a:avLst/>
                          </a:prstGeom>
                          <a:noFill/>
                          <a:ln>
                            <a:noFill/>
                          </a:ln>
                        </pic:spPr>
                      </pic:pic>
                    </a:graphicData>
                  </a:graphic>
                </wp:inline>
              </w:drawing>
            </w:r>
          </w:p>
          <w:p w14:paraId="0ED374D8">
            <w:pPr>
              <w:adjustRightInd w:val="0"/>
              <w:snapToGrid w:val="0"/>
              <w:spacing w:line="500" w:lineRule="exact"/>
              <w:ind w:firstLine="420" w:firstLineChars="200"/>
              <w:rPr>
                <w:color w:val="auto"/>
                <w:szCs w:val="21"/>
              </w:rPr>
            </w:pPr>
            <w:r>
              <w:rPr>
                <w:rFonts w:hint="eastAsia"/>
                <w:color w:val="auto"/>
                <w:szCs w:val="21"/>
              </w:rPr>
              <w:t>式中：</w:t>
            </w:r>
            <w:r>
              <w:rPr>
                <w:i/>
                <w:color w:val="auto"/>
                <w:szCs w:val="21"/>
              </w:rPr>
              <w:t>q</w:t>
            </w:r>
            <w:r>
              <w:rPr>
                <w:i/>
                <w:color w:val="auto"/>
                <w:szCs w:val="21"/>
                <w:vertAlign w:val="subscript"/>
              </w:rPr>
              <w:t>1</w:t>
            </w:r>
            <w:r>
              <w:rPr>
                <w:rFonts w:hint="eastAsia"/>
                <w:i/>
                <w:color w:val="auto"/>
                <w:szCs w:val="21"/>
              </w:rPr>
              <w:t>、</w:t>
            </w:r>
            <w:r>
              <w:rPr>
                <w:i/>
                <w:color w:val="auto"/>
                <w:szCs w:val="21"/>
              </w:rPr>
              <w:t>q</w:t>
            </w:r>
            <w:r>
              <w:rPr>
                <w:i/>
                <w:color w:val="auto"/>
                <w:szCs w:val="21"/>
                <w:vertAlign w:val="subscript"/>
              </w:rPr>
              <w:t>2</w:t>
            </w:r>
            <w:r>
              <w:rPr>
                <w:rFonts w:hint="eastAsia"/>
                <w:i/>
                <w:color w:val="auto"/>
                <w:szCs w:val="21"/>
              </w:rPr>
              <w:t>、</w:t>
            </w:r>
            <w:r>
              <w:rPr>
                <w:i/>
                <w:color w:val="auto"/>
                <w:szCs w:val="21"/>
              </w:rPr>
              <w:t>q</w:t>
            </w:r>
            <w:r>
              <w:rPr>
                <w:i/>
                <w:color w:val="auto"/>
                <w:szCs w:val="21"/>
                <w:vertAlign w:val="subscript"/>
              </w:rPr>
              <w:t>n</w:t>
            </w:r>
            <w:r>
              <w:rPr>
                <w:color w:val="auto"/>
                <w:szCs w:val="21"/>
              </w:rPr>
              <w:t>——</w:t>
            </w:r>
            <w:r>
              <w:rPr>
                <w:rFonts w:hint="eastAsia"/>
                <w:color w:val="auto"/>
                <w:szCs w:val="21"/>
              </w:rPr>
              <w:t>每种危险物质的最大存在总量，</w:t>
            </w:r>
            <w:r>
              <w:rPr>
                <w:color w:val="auto"/>
                <w:szCs w:val="21"/>
              </w:rPr>
              <w:t>t</w:t>
            </w:r>
            <w:r>
              <w:rPr>
                <w:rFonts w:hint="eastAsia"/>
                <w:color w:val="auto"/>
                <w:szCs w:val="21"/>
              </w:rPr>
              <w:t>；</w:t>
            </w:r>
          </w:p>
          <w:p w14:paraId="6136357E">
            <w:pPr>
              <w:adjustRightInd w:val="0"/>
              <w:snapToGrid w:val="0"/>
              <w:spacing w:line="500" w:lineRule="exact"/>
              <w:ind w:firstLine="420" w:firstLineChars="200"/>
              <w:rPr>
                <w:color w:val="auto"/>
                <w:szCs w:val="21"/>
              </w:rPr>
            </w:pPr>
            <w:r>
              <w:rPr>
                <w:i/>
                <w:color w:val="auto"/>
                <w:szCs w:val="21"/>
              </w:rPr>
              <w:t>Q</w:t>
            </w:r>
            <w:r>
              <w:rPr>
                <w:i/>
                <w:color w:val="auto"/>
                <w:szCs w:val="21"/>
                <w:vertAlign w:val="subscript"/>
              </w:rPr>
              <w:t>1</w:t>
            </w:r>
            <w:r>
              <w:rPr>
                <w:rFonts w:hint="eastAsia"/>
                <w:i/>
                <w:color w:val="auto"/>
                <w:szCs w:val="21"/>
              </w:rPr>
              <w:t>、</w:t>
            </w:r>
            <w:r>
              <w:rPr>
                <w:i/>
                <w:color w:val="auto"/>
                <w:szCs w:val="21"/>
              </w:rPr>
              <w:t>Q</w:t>
            </w:r>
            <w:r>
              <w:rPr>
                <w:i/>
                <w:color w:val="auto"/>
                <w:szCs w:val="21"/>
                <w:vertAlign w:val="subscript"/>
              </w:rPr>
              <w:t>2</w:t>
            </w:r>
            <w:r>
              <w:rPr>
                <w:rFonts w:hint="eastAsia"/>
                <w:i/>
                <w:color w:val="auto"/>
                <w:szCs w:val="21"/>
              </w:rPr>
              <w:t>、</w:t>
            </w:r>
            <w:r>
              <w:rPr>
                <w:i/>
                <w:color w:val="auto"/>
                <w:szCs w:val="21"/>
              </w:rPr>
              <w:t>Q</w:t>
            </w:r>
            <w:r>
              <w:rPr>
                <w:i/>
                <w:color w:val="auto"/>
                <w:szCs w:val="21"/>
                <w:vertAlign w:val="subscript"/>
              </w:rPr>
              <w:t>n</w:t>
            </w:r>
            <w:r>
              <w:rPr>
                <w:color w:val="auto"/>
                <w:szCs w:val="21"/>
              </w:rPr>
              <w:t>——</w:t>
            </w:r>
            <w:r>
              <w:rPr>
                <w:rFonts w:hint="eastAsia"/>
                <w:color w:val="auto"/>
                <w:szCs w:val="21"/>
              </w:rPr>
              <w:t>各危险物质的临界量，</w:t>
            </w:r>
            <w:r>
              <w:rPr>
                <w:color w:val="auto"/>
                <w:szCs w:val="21"/>
              </w:rPr>
              <w:t>t</w:t>
            </w:r>
            <w:r>
              <w:rPr>
                <w:rFonts w:hint="eastAsia"/>
                <w:color w:val="auto"/>
                <w:szCs w:val="21"/>
              </w:rPr>
              <w:t>。</w:t>
            </w:r>
          </w:p>
          <w:p w14:paraId="77AF175C">
            <w:pPr>
              <w:adjustRightInd w:val="0"/>
              <w:snapToGrid w:val="0"/>
              <w:spacing w:line="500" w:lineRule="exact"/>
              <w:ind w:firstLine="420" w:firstLineChars="200"/>
              <w:rPr>
                <w:color w:val="auto"/>
                <w:szCs w:val="21"/>
              </w:rPr>
            </w:pPr>
            <w:r>
              <w:rPr>
                <w:rFonts w:hint="eastAsia"/>
                <w:color w:val="auto"/>
                <w:szCs w:val="21"/>
              </w:rPr>
              <w:t>当</w:t>
            </w:r>
            <w:r>
              <w:rPr>
                <w:i/>
                <w:color w:val="auto"/>
                <w:szCs w:val="21"/>
              </w:rPr>
              <w:t>Q</w:t>
            </w:r>
            <w:r>
              <w:rPr>
                <w:rFonts w:hint="eastAsia"/>
                <w:color w:val="auto"/>
                <w:szCs w:val="21"/>
              </w:rPr>
              <w:t>＜</w:t>
            </w:r>
            <w:r>
              <w:rPr>
                <w:color w:val="auto"/>
                <w:szCs w:val="21"/>
              </w:rPr>
              <w:t>1</w:t>
            </w:r>
            <w:r>
              <w:rPr>
                <w:rFonts w:hint="eastAsia"/>
                <w:color w:val="auto"/>
                <w:szCs w:val="21"/>
              </w:rPr>
              <w:t>时，该项目环境风险潜势为</w:t>
            </w:r>
            <w:r>
              <w:rPr>
                <w:color w:val="auto"/>
                <w:szCs w:val="21"/>
              </w:rPr>
              <w:t>I</w:t>
            </w:r>
            <w:r>
              <w:rPr>
                <w:rFonts w:hint="eastAsia"/>
                <w:color w:val="auto"/>
                <w:szCs w:val="21"/>
              </w:rPr>
              <w:t>。</w:t>
            </w:r>
          </w:p>
          <w:p w14:paraId="1320168A">
            <w:pPr>
              <w:adjustRightInd w:val="0"/>
              <w:snapToGrid w:val="0"/>
              <w:spacing w:line="500" w:lineRule="exact"/>
              <w:ind w:firstLine="420" w:firstLineChars="200"/>
              <w:rPr>
                <w:color w:val="auto"/>
                <w:szCs w:val="21"/>
              </w:rPr>
            </w:pPr>
            <w:r>
              <w:rPr>
                <w:rFonts w:hint="eastAsia"/>
                <w:color w:val="auto"/>
                <w:szCs w:val="21"/>
              </w:rPr>
              <w:t>当</w:t>
            </w:r>
            <w:r>
              <w:rPr>
                <w:i/>
                <w:color w:val="auto"/>
                <w:szCs w:val="21"/>
              </w:rPr>
              <w:t>Q</w:t>
            </w:r>
            <w:r>
              <w:rPr>
                <w:color w:val="auto"/>
                <w:szCs w:val="21"/>
              </w:rPr>
              <w:t>≥1</w:t>
            </w:r>
            <w:r>
              <w:rPr>
                <w:rFonts w:hint="eastAsia"/>
                <w:color w:val="auto"/>
                <w:szCs w:val="21"/>
              </w:rPr>
              <w:t>时，将</w:t>
            </w:r>
            <w:r>
              <w:rPr>
                <w:i/>
                <w:color w:val="auto"/>
                <w:szCs w:val="21"/>
              </w:rPr>
              <w:t>Q</w:t>
            </w:r>
            <w:r>
              <w:rPr>
                <w:rFonts w:hint="eastAsia"/>
                <w:color w:val="auto"/>
                <w:szCs w:val="21"/>
              </w:rPr>
              <w:t>值划分为：（</w:t>
            </w:r>
            <w:r>
              <w:rPr>
                <w:color w:val="auto"/>
                <w:szCs w:val="21"/>
              </w:rPr>
              <w:t>1</w:t>
            </w:r>
            <w:r>
              <w:rPr>
                <w:rFonts w:hint="eastAsia"/>
                <w:color w:val="auto"/>
                <w:szCs w:val="21"/>
              </w:rPr>
              <w:t>）</w:t>
            </w:r>
            <w:r>
              <w:rPr>
                <w:color w:val="auto"/>
                <w:szCs w:val="21"/>
              </w:rPr>
              <w:t>1≤</w:t>
            </w:r>
            <w:r>
              <w:rPr>
                <w:i/>
                <w:color w:val="auto"/>
                <w:szCs w:val="21"/>
              </w:rPr>
              <w:t>Q</w:t>
            </w:r>
            <w:r>
              <w:rPr>
                <w:rFonts w:hint="eastAsia"/>
                <w:color w:val="auto"/>
                <w:szCs w:val="21"/>
              </w:rPr>
              <w:t>＜</w:t>
            </w:r>
            <w:r>
              <w:rPr>
                <w:color w:val="auto"/>
                <w:szCs w:val="21"/>
              </w:rPr>
              <w:t>10</w:t>
            </w:r>
            <w:r>
              <w:rPr>
                <w:rFonts w:hint="eastAsia"/>
                <w:color w:val="auto"/>
                <w:szCs w:val="21"/>
              </w:rPr>
              <w:t>；（</w:t>
            </w:r>
            <w:r>
              <w:rPr>
                <w:color w:val="auto"/>
                <w:szCs w:val="21"/>
              </w:rPr>
              <w:t>2</w:t>
            </w:r>
            <w:r>
              <w:rPr>
                <w:rFonts w:hint="eastAsia"/>
                <w:color w:val="auto"/>
                <w:szCs w:val="21"/>
              </w:rPr>
              <w:t>）</w:t>
            </w:r>
            <w:r>
              <w:rPr>
                <w:color w:val="auto"/>
                <w:szCs w:val="21"/>
              </w:rPr>
              <w:t>10≤</w:t>
            </w:r>
            <w:r>
              <w:rPr>
                <w:i/>
                <w:color w:val="auto"/>
                <w:szCs w:val="21"/>
              </w:rPr>
              <w:t>Q</w:t>
            </w:r>
            <w:r>
              <w:rPr>
                <w:rFonts w:hint="eastAsia"/>
                <w:color w:val="auto"/>
                <w:szCs w:val="21"/>
              </w:rPr>
              <w:t>＜</w:t>
            </w:r>
            <w:r>
              <w:rPr>
                <w:color w:val="auto"/>
                <w:szCs w:val="21"/>
              </w:rPr>
              <w:t>100</w:t>
            </w:r>
            <w:r>
              <w:rPr>
                <w:rFonts w:hint="eastAsia"/>
                <w:color w:val="auto"/>
                <w:szCs w:val="21"/>
              </w:rPr>
              <w:t>；（</w:t>
            </w:r>
            <w:r>
              <w:rPr>
                <w:color w:val="auto"/>
                <w:szCs w:val="21"/>
              </w:rPr>
              <w:t>3</w:t>
            </w:r>
            <w:r>
              <w:rPr>
                <w:rFonts w:hint="eastAsia"/>
                <w:color w:val="auto"/>
                <w:szCs w:val="21"/>
              </w:rPr>
              <w:t>）</w:t>
            </w:r>
            <w:r>
              <w:rPr>
                <w:i/>
                <w:color w:val="auto"/>
                <w:szCs w:val="21"/>
              </w:rPr>
              <w:t>Q</w:t>
            </w:r>
            <w:r>
              <w:rPr>
                <w:color w:val="auto"/>
                <w:szCs w:val="21"/>
              </w:rPr>
              <w:t>≥100</w:t>
            </w:r>
            <w:r>
              <w:rPr>
                <w:rFonts w:hint="eastAsia"/>
                <w:color w:val="auto"/>
                <w:szCs w:val="21"/>
              </w:rPr>
              <w:t>。</w:t>
            </w:r>
          </w:p>
          <w:p w14:paraId="510D782F">
            <w:pPr>
              <w:snapToGrid w:val="0"/>
              <w:spacing w:line="500" w:lineRule="exact"/>
              <w:jc w:val="center"/>
              <w:rPr>
                <w:b/>
                <w:color w:val="auto"/>
                <w:szCs w:val="21"/>
              </w:rPr>
            </w:pPr>
            <w:r>
              <w:rPr>
                <w:rFonts w:hint="eastAsia"/>
                <w:b/>
                <w:color w:val="auto"/>
                <w:szCs w:val="21"/>
              </w:rPr>
              <w:t>表</w:t>
            </w:r>
            <w:r>
              <w:rPr>
                <w:b/>
                <w:color w:val="auto"/>
                <w:szCs w:val="21"/>
              </w:rPr>
              <w:t>4</w:t>
            </w:r>
            <w:r>
              <w:rPr>
                <w:rFonts w:hint="eastAsia"/>
                <w:b/>
                <w:color w:val="auto"/>
                <w:szCs w:val="21"/>
              </w:rPr>
              <w:t>-</w:t>
            </w:r>
            <w:r>
              <w:rPr>
                <w:b/>
                <w:color w:val="auto"/>
                <w:szCs w:val="21"/>
              </w:rPr>
              <w:t>1</w:t>
            </w:r>
            <w:r>
              <w:rPr>
                <w:rFonts w:hint="eastAsia"/>
                <w:b/>
                <w:color w:val="auto"/>
                <w:szCs w:val="21"/>
              </w:rPr>
              <w:t>2本项目</w:t>
            </w:r>
            <w:r>
              <w:rPr>
                <w:b/>
                <w:color w:val="auto"/>
                <w:szCs w:val="21"/>
              </w:rPr>
              <w:t>Q</w:t>
            </w:r>
            <w:r>
              <w:rPr>
                <w:rFonts w:hint="eastAsia"/>
                <w:b/>
                <w:color w:val="auto"/>
                <w:szCs w:val="21"/>
              </w:rPr>
              <w:t>值确定表</w:t>
            </w:r>
          </w:p>
          <w:tbl>
            <w:tblPr>
              <w:tblStyle w:val="21"/>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60"/>
              <w:gridCol w:w="1355"/>
              <w:gridCol w:w="2226"/>
              <w:gridCol w:w="1609"/>
              <w:gridCol w:w="965"/>
              <w:gridCol w:w="1551"/>
            </w:tblGrid>
            <w:tr w14:paraId="2E533E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3" w:hRule="atLeast"/>
                <w:jc w:val="center"/>
              </w:trPr>
              <w:tc>
                <w:tcPr>
                  <w:tcW w:w="502" w:type="pct"/>
                  <w:tcBorders>
                    <w:top w:val="single" w:color="000000" w:sz="12" w:space="0"/>
                    <w:left w:val="nil"/>
                    <w:bottom w:val="single" w:color="000000" w:sz="8" w:space="0"/>
                    <w:right w:val="single" w:color="000000" w:sz="8" w:space="0"/>
                  </w:tcBorders>
                  <w:shd w:val="clear" w:color="auto" w:fill="auto"/>
                  <w:vAlign w:val="center"/>
                </w:tcPr>
                <w:p w14:paraId="6452614B">
                  <w:pPr>
                    <w:keepNext w:val="0"/>
                    <w:keepLines w:val="0"/>
                    <w:widowControl/>
                    <w:suppressLineNumbers w:val="0"/>
                    <w:jc w:val="center"/>
                    <w:textAlignment w:val="center"/>
                    <w:rPr>
                      <w:rFonts w:hint="eastAsia" w:ascii="宋体" w:hAnsi="宋体" w:eastAsia="宋体" w:cs="宋体"/>
                      <w:b/>
                      <w:bCs/>
                      <w:i w:val="0"/>
                      <w:iCs w:val="0"/>
                      <w:color w:val="auto"/>
                      <w:sz w:val="18"/>
                      <w:szCs w:val="18"/>
                      <w:u w:val="none"/>
                    </w:rPr>
                  </w:pPr>
                </w:p>
              </w:tc>
              <w:tc>
                <w:tcPr>
                  <w:tcW w:w="791" w:type="pct"/>
                  <w:tcBorders>
                    <w:top w:val="single" w:color="000000" w:sz="12" w:space="0"/>
                    <w:left w:val="single" w:color="000000" w:sz="8" w:space="0"/>
                    <w:bottom w:val="single" w:color="000000" w:sz="8" w:space="0"/>
                    <w:right w:val="single" w:color="000000" w:sz="8" w:space="0"/>
                  </w:tcBorders>
                  <w:shd w:val="clear" w:color="auto" w:fill="auto"/>
                  <w:noWrap/>
                  <w:vAlign w:val="center"/>
                </w:tcPr>
                <w:p w14:paraId="1D4DA700">
                  <w:pPr>
                    <w:keepNext w:val="0"/>
                    <w:keepLines w:val="0"/>
                    <w:widowControl/>
                    <w:suppressLineNumbers w:val="0"/>
                    <w:jc w:val="center"/>
                    <w:textAlignment w:val="center"/>
                    <w:rPr>
                      <w:rFonts w:hint="eastAsia" w:ascii="宋体" w:hAnsi="宋体" w:eastAsia="宋体" w:cs="宋体"/>
                      <w:b/>
                      <w:bCs/>
                      <w:i w:val="0"/>
                      <w:iCs w:val="0"/>
                      <w:color w:val="auto"/>
                      <w:sz w:val="18"/>
                      <w:szCs w:val="18"/>
                      <w:u w:val="none"/>
                    </w:rPr>
                  </w:pPr>
                </w:p>
              </w:tc>
              <w:tc>
                <w:tcPr>
                  <w:tcW w:w="1299" w:type="pct"/>
                  <w:tcBorders>
                    <w:top w:val="single" w:color="000000" w:sz="12" w:space="0"/>
                    <w:left w:val="single" w:color="000000" w:sz="8" w:space="0"/>
                    <w:bottom w:val="single" w:color="000000" w:sz="8" w:space="0"/>
                    <w:right w:val="single" w:color="000000" w:sz="8" w:space="0"/>
                  </w:tcBorders>
                  <w:shd w:val="clear" w:color="auto" w:fill="auto"/>
                  <w:noWrap/>
                  <w:vAlign w:val="center"/>
                </w:tcPr>
                <w:p w14:paraId="1E1AAE1A">
                  <w:pPr>
                    <w:keepNext w:val="0"/>
                    <w:keepLines w:val="0"/>
                    <w:widowControl/>
                    <w:suppressLineNumbers w:val="0"/>
                    <w:jc w:val="center"/>
                    <w:textAlignment w:val="center"/>
                    <w:rPr>
                      <w:rFonts w:hint="eastAsia" w:ascii="宋体" w:hAnsi="宋体" w:eastAsia="宋体" w:cs="宋体"/>
                      <w:b/>
                      <w:bCs/>
                      <w:i w:val="0"/>
                      <w:iCs w:val="0"/>
                      <w:color w:val="auto"/>
                      <w:sz w:val="18"/>
                      <w:szCs w:val="18"/>
                      <w:u w:val="none"/>
                    </w:rPr>
                  </w:pPr>
                </w:p>
              </w:tc>
              <w:tc>
                <w:tcPr>
                  <w:tcW w:w="939" w:type="pct"/>
                  <w:tcBorders>
                    <w:top w:val="single" w:color="000000" w:sz="12" w:space="0"/>
                    <w:left w:val="single" w:color="000000" w:sz="8" w:space="0"/>
                    <w:bottom w:val="single" w:color="000000" w:sz="8" w:space="0"/>
                    <w:right w:val="single" w:color="000000" w:sz="8" w:space="0"/>
                  </w:tcBorders>
                  <w:shd w:val="clear" w:color="auto" w:fill="auto"/>
                  <w:noWrap/>
                  <w:vAlign w:val="center"/>
                </w:tcPr>
                <w:p w14:paraId="0C46D71D">
                  <w:pPr>
                    <w:keepNext w:val="0"/>
                    <w:keepLines w:val="0"/>
                    <w:widowControl/>
                    <w:suppressLineNumbers w:val="0"/>
                    <w:jc w:val="center"/>
                    <w:textAlignment w:val="center"/>
                    <w:rPr>
                      <w:rFonts w:hint="eastAsia" w:ascii="宋体" w:hAnsi="宋体" w:eastAsia="宋体" w:cs="宋体"/>
                      <w:b/>
                      <w:bCs/>
                      <w:i w:val="0"/>
                      <w:iCs w:val="0"/>
                      <w:color w:val="auto"/>
                      <w:sz w:val="18"/>
                      <w:szCs w:val="18"/>
                      <w:u w:val="none"/>
                    </w:rPr>
                  </w:pPr>
                </w:p>
              </w:tc>
              <w:tc>
                <w:tcPr>
                  <w:tcW w:w="560" w:type="pct"/>
                  <w:tcBorders>
                    <w:top w:val="single" w:color="000000" w:sz="12" w:space="0"/>
                    <w:left w:val="single" w:color="000000" w:sz="8" w:space="0"/>
                    <w:bottom w:val="single" w:color="000000" w:sz="8" w:space="0"/>
                    <w:right w:val="single" w:color="000000" w:sz="8" w:space="0"/>
                  </w:tcBorders>
                  <w:shd w:val="clear" w:color="auto" w:fill="auto"/>
                  <w:vAlign w:val="center"/>
                </w:tcPr>
                <w:p w14:paraId="61340B3D">
                  <w:pPr>
                    <w:keepNext w:val="0"/>
                    <w:keepLines w:val="0"/>
                    <w:widowControl/>
                    <w:suppressLineNumbers w:val="0"/>
                    <w:jc w:val="center"/>
                    <w:textAlignment w:val="center"/>
                    <w:rPr>
                      <w:rFonts w:hint="eastAsia" w:ascii="宋体" w:hAnsi="宋体" w:eastAsia="宋体" w:cs="宋体"/>
                      <w:b/>
                      <w:bCs/>
                      <w:i w:val="0"/>
                      <w:iCs w:val="0"/>
                      <w:color w:val="auto"/>
                      <w:sz w:val="18"/>
                      <w:szCs w:val="18"/>
                      <w:u w:val="none"/>
                    </w:rPr>
                  </w:pPr>
                </w:p>
              </w:tc>
              <w:tc>
                <w:tcPr>
                  <w:tcW w:w="905" w:type="pct"/>
                  <w:tcBorders>
                    <w:top w:val="single" w:color="000000" w:sz="12" w:space="0"/>
                    <w:left w:val="single" w:color="000000" w:sz="8" w:space="0"/>
                    <w:bottom w:val="single" w:color="000000" w:sz="8" w:space="0"/>
                    <w:right w:val="nil"/>
                  </w:tcBorders>
                  <w:shd w:val="clear" w:color="auto" w:fill="auto"/>
                  <w:vAlign w:val="center"/>
                </w:tcPr>
                <w:p w14:paraId="6DB05DF7">
                  <w:pPr>
                    <w:keepNext w:val="0"/>
                    <w:keepLines w:val="0"/>
                    <w:widowControl/>
                    <w:suppressLineNumbers w:val="0"/>
                    <w:jc w:val="center"/>
                    <w:textAlignment w:val="center"/>
                    <w:rPr>
                      <w:rFonts w:hint="default" w:ascii="Times New Roman" w:hAnsi="Times New Roman" w:eastAsia="宋体" w:cs="Times New Roman"/>
                      <w:b/>
                      <w:bCs/>
                      <w:i w:val="0"/>
                      <w:iCs w:val="0"/>
                      <w:color w:val="auto"/>
                      <w:sz w:val="18"/>
                      <w:szCs w:val="18"/>
                      <w:u w:val="none"/>
                    </w:rPr>
                  </w:pPr>
                </w:p>
              </w:tc>
            </w:tr>
            <w:tr w14:paraId="5C492A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502" w:type="pct"/>
                  <w:tcBorders>
                    <w:top w:val="single" w:color="000000" w:sz="8" w:space="0"/>
                    <w:left w:val="nil"/>
                    <w:bottom w:val="single" w:color="000000" w:sz="8" w:space="0"/>
                    <w:right w:val="single" w:color="000000" w:sz="8" w:space="0"/>
                  </w:tcBorders>
                  <w:shd w:val="clear" w:color="auto" w:fill="auto"/>
                  <w:vAlign w:val="center"/>
                </w:tcPr>
                <w:p w14:paraId="001E7B6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791" w:type="pct"/>
                  <w:vMerge w:val="restart"/>
                  <w:tcBorders>
                    <w:top w:val="single" w:color="000000" w:sz="8" w:space="0"/>
                    <w:left w:val="single" w:color="000000" w:sz="8" w:space="0"/>
                    <w:bottom w:val="nil"/>
                    <w:right w:val="single" w:color="000000" w:sz="8" w:space="0"/>
                  </w:tcBorders>
                  <w:shd w:val="clear" w:color="auto" w:fill="auto"/>
                  <w:noWrap/>
                  <w:vAlign w:val="center"/>
                </w:tcPr>
                <w:p w14:paraId="0FEB91D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299"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71D966B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939"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1AF6DC0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560"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43FB28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905" w:type="pct"/>
                  <w:tcBorders>
                    <w:top w:val="single" w:color="000000" w:sz="8" w:space="0"/>
                    <w:left w:val="single" w:color="000000" w:sz="8" w:space="0"/>
                    <w:bottom w:val="single" w:color="000000" w:sz="8" w:space="0"/>
                    <w:right w:val="nil"/>
                  </w:tcBorders>
                  <w:shd w:val="clear" w:color="auto" w:fill="auto"/>
                  <w:vAlign w:val="center"/>
                </w:tcPr>
                <w:p w14:paraId="35D87F6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r>
            <w:tr w14:paraId="35971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502" w:type="pct"/>
                  <w:tcBorders>
                    <w:top w:val="single" w:color="000000" w:sz="8" w:space="0"/>
                    <w:left w:val="nil"/>
                    <w:bottom w:val="single" w:color="000000" w:sz="8" w:space="0"/>
                    <w:right w:val="single" w:color="000000" w:sz="8" w:space="0"/>
                  </w:tcBorders>
                  <w:shd w:val="clear" w:color="auto" w:fill="auto"/>
                  <w:vAlign w:val="center"/>
                </w:tcPr>
                <w:p w14:paraId="0E45254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791" w:type="pct"/>
                  <w:vMerge w:val="continue"/>
                  <w:tcBorders>
                    <w:top w:val="single" w:color="000000" w:sz="8" w:space="0"/>
                    <w:left w:val="single" w:color="000000" w:sz="8" w:space="0"/>
                    <w:bottom w:val="nil"/>
                    <w:right w:val="single" w:color="000000" w:sz="8" w:space="0"/>
                  </w:tcBorders>
                  <w:shd w:val="clear" w:color="auto" w:fill="auto"/>
                  <w:noWrap/>
                  <w:vAlign w:val="center"/>
                </w:tcPr>
                <w:p w14:paraId="2C27DA3E">
                  <w:pPr>
                    <w:jc w:val="center"/>
                    <w:rPr>
                      <w:rFonts w:hint="eastAsia" w:ascii="宋体" w:hAnsi="宋体" w:eastAsia="宋体" w:cs="宋体"/>
                      <w:i w:val="0"/>
                      <w:iCs w:val="0"/>
                      <w:color w:val="auto"/>
                      <w:sz w:val="18"/>
                      <w:szCs w:val="18"/>
                      <w:u w:val="none"/>
                    </w:rPr>
                  </w:pPr>
                </w:p>
              </w:tc>
              <w:tc>
                <w:tcPr>
                  <w:tcW w:w="1299"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2574166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939"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096E7A3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560"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35D2CE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905" w:type="pct"/>
                  <w:tcBorders>
                    <w:top w:val="single" w:color="000000" w:sz="8" w:space="0"/>
                    <w:left w:val="single" w:color="000000" w:sz="8" w:space="0"/>
                    <w:bottom w:val="single" w:color="000000" w:sz="8" w:space="0"/>
                    <w:right w:val="nil"/>
                  </w:tcBorders>
                  <w:shd w:val="clear" w:color="auto" w:fill="auto"/>
                  <w:vAlign w:val="center"/>
                </w:tcPr>
                <w:p w14:paraId="6576EEE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r>
            <w:tr w14:paraId="371BA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2" w:type="pct"/>
                  <w:tcBorders>
                    <w:top w:val="single" w:color="000000" w:sz="8" w:space="0"/>
                    <w:left w:val="nil"/>
                    <w:bottom w:val="single" w:color="000000" w:sz="8" w:space="0"/>
                    <w:right w:val="single" w:color="000000" w:sz="8" w:space="0"/>
                  </w:tcBorders>
                  <w:shd w:val="clear" w:color="auto" w:fill="auto"/>
                  <w:vAlign w:val="center"/>
                </w:tcPr>
                <w:p w14:paraId="6CE1DCC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791" w:type="pct"/>
                  <w:vMerge w:val="continue"/>
                  <w:tcBorders>
                    <w:top w:val="single" w:color="000000" w:sz="8" w:space="0"/>
                    <w:left w:val="single" w:color="000000" w:sz="8" w:space="0"/>
                    <w:bottom w:val="nil"/>
                    <w:right w:val="single" w:color="000000" w:sz="8" w:space="0"/>
                  </w:tcBorders>
                  <w:shd w:val="clear" w:color="auto" w:fill="auto"/>
                  <w:noWrap/>
                  <w:vAlign w:val="center"/>
                </w:tcPr>
                <w:p w14:paraId="4C0AECD8">
                  <w:pPr>
                    <w:jc w:val="center"/>
                    <w:rPr>
                      <w:rFonts w:hint="eastAsia" w:ascii="宋体" w:hAnsi="宋体" w:eastAsia="宋体" w:cs="宋体"/>
                      <w:i w:val="0"/>
                      <w:iCs w:val="0"/>
                      <w:color w:val="auto"/>
                      <w:sz w:val="18"/>
                      <w:szCs w:val="18"/>
                      <w:u w:val="none"/>
                    </w:rPr>
                  </w:pPr>
                </w:p>
              </w:tc>
              <w:tc>
                <w:tcPr>
                  <w:tcW w:w="1299"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60B460F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939"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598DB62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560"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619835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905" w:type="pct"/>
                  <w:tcBorders>
                    <w:top w:val="single" w:color="000000" w:sz="8" w:space="0"/>
                    <w:left w:val="single" w:color="000000" w:sz="8" w:space="0"/>
                    <w:bottom w:val="single" w:color="000000" w:sz="8" w:space="0"/>
                    <w:right w:val="nil"/>
                  </w:tcBorders>
                  <w:shd w:val="clear" w:color="auto" w:fill="auto"/>
                  <w:vAlign w:val="center"/>
                </w:tcPr>
                <w:p w14:paraId="76E1BC7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r>
            <w:tr w14:paraId="546E2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2" w:type="pct"/>
                  <w:tcBorders>
                    <w:top w:val="single" w:color="000000" w:sz="8" w:space="0"/>
                    <w:left w:val="nil"/>
                    <w:bottom w:val="single" w:color="000000" w:sz="8" w:space="0"/>
                    <w:right w:val="single" w:color="000000" w:sz="8" w:space="0"/>
                  </w:tcBorders>
                  <w:shd w:val="clear" w:color="auto" w:fill="auto"/>
                  <w:vAlign w:val="center"/>
                </w:tcPr>
                <w:p w14:paraId="74F2085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791" w:type="pct"/>
                  <w:vMerge w:val="continue"/>
                  <w:tcBorders>
                    <w:top w:val="single" w:color="000000" w:sz="8" w:space="0"/>
                    <w:left w:val="single" w:color="000000" w:sz="8" w:space="0"/>
                    <w:bottom w:val="nil"/>
                    <w:right w:val="single" w:color="000000" w:sz="8" w:space="0"/>
                  </w:tcBorders>
                  <w:shd w:val="clear" w:color="auto" w:fill="auto"/>
                  <w:noWrap/>
                  <w:vAlign w:val="center"/>
                </w:tcPr>
                <w:p w14:paraId="3CF0149F">
                  <w:pPr>
                    <w:jc w:val="center"/>
                    <w:rPr>
                      <w:rFonts w:hint="eastAsia" w:ascii="宋体" w:hAnsi="宋体" w:eastAsia="宋体" w:cs="宋体"/>
                      <w:i w:val="0"/>
                      <w:iCs w:val="0"/>
                      <w:color w:val="auto"/>
                      <w:sz w:val="18"/>
                      <w:szCs w:val="18"/>
                      <w:u w:val="none"/>
                    </w:rPr>
                  </w:pPr>
                </w:p>
              </w:tc>
              <w:tc>
                <w:tcPr>
                  <w:tcW w:w="1299"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4434A18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939"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0EA9B66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560"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3621AB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905" w:type="pct"/>
                  <w:tcBorders>
                    <w:top w:val="single" w:color="000000" w:sz="8" w:space="0"/>
                    <w:left w:val="single" w:color="000000" w:sz="8" w:space="0"/>
                    <w:bottom w:val="single" w:color="000000" w:sz="8" w:space="0"/>
                    <w:right w:val="nil"/>
                  </w:tcBorders>
                  <w:shd w:val="clear" w:color="auto" w:fill="auto"/>
                  <w:vAlign w:val="center"/>
                </w:tcPr>
                <w:p w14:paraId="2FDCD8A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r>
            <w:tr w14:paraId="7802E4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2" w:type="pct"/>
                  <w:tcBorders>
                    <w:top w:val="single" w:color="000000" w:sz="8" w:space="0"/>
                    <w:left w:val="nil"/>
                    <w:bottom w:val="single" w:color="000000" w:sz="8" w:space="0"/>
                    <w:right w:val="single" w:color="000000" w:sz="8" w:space="0"/>
                  </w:tcBorders>
                  <w:shd w:val="clear" w:color="auto" w:fill="auto"/>
                  <w:vAlign w:val="center"/>
                </w:tcPr>
                <w:p w14:paraId="5ACE69C1">
                  <w:pPr>
                    <w:keepNext w:val="0"/>
                    <w:keepLines w:val="0"/>
                    <w:widowControl/>
                    <w:suppressLineNumbers w:val="0"/>
                    <w:jc w:val="center"/>
                    <w:textAlignment w:val="center"/>
                    <w:rPr>
                      <w:rFonts w:hint="eastAsia" w:ascii="Times New Roman" w:hAnsi="Times New Roman" w:eastAsia="宋体" w:cs="Times New Roman"/>
                      <w:i w:val="0"/>
                      <w:iCs w:val="0"/>
                      <w:color w:val="auto"/>
                      <w:sz w:val="18"/>
                      <w:szCs w:val="18"/>
                      <w:u w:val="none"/>
                      <w:lang w:val="en-US" w:eastAsia="zh-CN"/>
                    </w:rPr>
                  </w:pPr>
                </w:p>
              </w:tc>
              <w:tc>
                <w:tcPr>
                  <w:tcW w:w="791" w:type="pct"/>
                  <w:vMerge w:val="continue"/>
                  <w:tcBorders>
                    <w:top w:val="single" w:color="000000" w:sz="8" w:space="0"/>
                    <w:left w:val="single" w:color="000000" w:sz="8" w:space="0"/>
                    <w:bottom w:val="nil"/>
                    <w:right w:val="single" w:color="000000" w:sz="8" w:space="0"/>
                  </w:tcBorders>
                  <w:shd w:val="clear" w:color="auto" w:fill="auto"/>
                  <w:noWrap/>
                  <w:vAlign w:val="center"/>
                </w:tcPr>
                <w:p w14:paraId="78D37A80">
                  <w:pPr>
                    <w:jc w:val="center"/>
                    <w:rPr>
                      <w:rFonts w:hint="eastAsia" w:ascii="宋体" w:hAnsi="宋体" w:eastAsia="宋体" w:cs="宋体"/>
                      <w:i w:val="0"/>
                      <w:iCs w:val="0"/>
                      <w:color w:val="auto"/>
                      <w:sz w:val="18"/>
                      <w:szCs w:val="18"/>
                      <w:u w:val="none"/>
                    </w:rPr>
                  </w:pPr>
                </w:p>
              </w:tc>
              <w:tc>
                <w:tcPr>
                  <w:tcW w:w="1299"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28464F1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939"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798FB12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560"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044006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905" w:type="pct"/>
                  <w:tcBorders>
                    <w:top w:val="single" w:color="000000" w:sz="8" w:space="0"/>
                    <w:left w:val="single" w:color="000000" w:sz="8" w:space="0"/>
                    <w:bottom w:val="single" w:color="000000" w:sz="8" w:space="0"/>
                    <w:right w:val="nil"/>
                  </w:tcBorders>
                  <w:shd w:val="clear" w:color="auto" w:fill="auto"/>
                  <w:vAlign w:val="center"/>
                </w:tcPr>
                <w:p w14:paraId="2037963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r>
            <w:tr w14:paraId="184BAF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59" w:type="dxa"/>
                  <w:tcBorders>
                    <w:top w:val="single" w:color="000000" w:sz="8" w:space="0"/>
                    <w:left w:val="nil"/>
                    <w:bottom w:val="single" w:color="000000" w:sz="8" w:space="0"/>
                    <w:right w:val="single" w:color="000000" w:sz="8" w:space="0"/>
                  </w:tcBorders>
                  <w:shd w:val="clear" w:color="auto" w:fill="auto"/>
                  <w:vAlign w:val="center"/>
                </w:tcPr>
                <w:p w14:paraId="5A0F99B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791" w:type="pct"/>
                  <w:vMerge w:val="continue"/>
                  <w:tcBorders>
                    <w:top w:val="single" w:color="000000" w:sz="8" w:space="0"/>
                    <w:left w:val="single" w:color="000000" w:sz="8" w:space="0"/>
                    <w:bottom w:val="nil"/>
                    <w:right w:val="single" w:color="000000" w:sz="8" w:space="0"/>
                  </w:tcBorders>
                  <w:shd w:val="clear" w:color="auto" w:fill="auto"/>
                  <w:noWrap/>
                  <w:vAlign w:val="center"/>
                </w:tcPr>
                <w:p w14:paraId="455C07F4">
                  <w:pPr>
                    <w:jc w:val="center"/>
                    <w:rPr>
                      <w:rFonts w:hint="eastAsia" w:ascii="宋体" w:hAnsi="宋体" w:eastAsia="宋体" w:cs="宋体"/>
                      <w:i w:val="0"/>
                      <w:iCs w:val="0"/>
                      <w:color w:val="auto"/>
                      <w:sz w:val="18"/>
                      <w:szCs w:val="18"/>
                      <w:u w:val="none"/>
                    </w:rPr>
                  </w:pPr>
                </w:p>
              </w:tc>
              <w:tc>
                <w:tcPr>
                  <w:tcW w:w="1299"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0FCF9C3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939"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33444CF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560"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9EB195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905" w:type="pct"/>
                  <w:tcBorders>
                    <w:top w:val="single" w:color="000000" w:sz="8" w:space="0"/>
                    <w:left w:val="single" w:color="000000" w:sz="8" w:space="0"/>
                    <w:bottom w:val="single" w:color="000000" w:sz="8" w:space="0"/>
                    <w:right w:val="nil"/>
                  </w:tcBorders>
                  <w:shd w:val="clear" w:color="auto" w:fill="auto"/>
                  <w:vAlign w:val="center"/>
                </w:tcPr>
                <w:p w14:paraId="03FE0E2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r>
            <w:tr w14:paraId="61A0C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59" w:type="dxa"/>
                  <w:tcBorders>
                    <w:top w:val="single" w:color="000000" w:sz="8" w:space="0"/>
                    <w:left w:val="nil"/>
                    <w:bottom w:val="single" w:color="000000" w:sz="8" w:space="0"/>
                    <w:right w:val="single" w:color="000000" w:sz="8" w:space="0"/>
                  </w:tcBorders>
                  <w:shd w:val="clear" w:color="auto" w:fill="auto"/>
                  <w:vAlign w:val="center"/>
                </w:tcPr>
                <w:p w14:paraId="32C55F8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791"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4E8FACE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299"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0BD8787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939"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461AA5C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560"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A56DBF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905" w:type="pct"/>
                  <w:tcBorders>
                    <w:top w:val="single" w:color="000000" w:sz="8" w:space="0"/>
                    <w:left w:val="single" w:color="000000" w:sz="8" w:space="0"/>
                    <w:bottom w:val="single" w:color="000000" w:sz="8" w:space="0"/>
                    <w:right w:val="nil"/>
                  </w:tcBorders>
                  <w:shd w:val="clear" w:color="auto" w:fill="auto"/>
                  <w:vAlign w:val="center"/>
                </w:tcPr>
                <w:p w14:paraId="4E7CCF7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r>
            <w:tr w14:paraId="048C1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59" w:type="dxa"/>
                  <w:tcBorders>
                    <w:top w:val="single" w:color="000000" w:sz="8" w:space="0"/>
                    <w:left w:val="nil"/>
                    <w:bottom w:val="single" w:color="000000" w:sz="8" w:space="0"/>
                    <w:right w:val="single" w:color="000000" w:sz="8" w:space="0"/>
                  </w:tcBorders>
                  <w:shd w:val="clear" w:color="auto" w:fill="auto"/>
                  <w:vAlign w:val="center"/>
                </w:tcPr>
                <w:p w14:paraId="7784A4A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791"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6A5DB52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1299"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76C1541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939"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207A864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560"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6C41DE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905" w:type="pct"/>
                  <w:tcBorders>
                    <w:top w:val="single" w:color="000000" w:sz="8" w:space="0"/>
                    <w:left w:val="single" w:color="000000" w:sz="8" w:space="0"/>
                    <w:bottom w:val="single" w:color="000000" w:sz="8" w:space="0"/>
                    <w:right w:val="nil"/>
                  </w:tcBorders>
                  <w:shd w:val="clear" w:color="auto" w:fill="auto"/>
                  <w:vAlign w:val="center"/>
                </w:tcPr>
                <w:p w14:paraId="6DEB20E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r>
            <w:tr w14:paraId="77733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59" w:type="dxa"/>
                  <w:tcBorders>
                    <w:top w:val="single" w:color="000000" w:sz="8" w:space="0"/>
                    <w:left w:val="nil"/>
                    <w:bottom w:val="single" w:color="000000" w:sz="8" w:space="0"/>
                    <w:right w:val="single" w:color="000000" w:sz="8" w:space="0"/>
                  </w:tcBorders>
                  <w:shd w:val="clear" w:color="auto" w:fill="auto"/>
                  <w:vAlign w:val="center"/>
                </w:tcPr>
                <w:p w14:paraId="6717ECF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791"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3EC4FDFF">
                  <w:pPr>
                    <w:jc w:val="center"/>
                    <w:rPr>
                      <w:rFonts w:hint="default" w:ascii="Times New Roman" w:hAnsi="Times New Roman" w:eastAsia="宋体" w:cs="Times New Roman"/>
                      <w:i w:val="0"/>
                      <w:iCs w:val="0"/>
                      <w:color w:val="auto"/>
                      <w:sz w:val="18"/>
                      <w:szCs w:val="18"/>
                      <w:u w:val="none"/>
                    </w:rPr>
                  </w:pPr>
                </w:p>
              </w:tc>
              <w:tc>
                <w:tcPr>
                  <w:tcW w:w="1299"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52AE46E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939"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4748C82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560"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E66166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905" w:type="pct"/>
                  <w:tcBorders>
                    <w:top w:val="single" w:color="000000" w:sz="8" w:space="0"/>
                    <w:left w:val="single" w:color="000000" w:sz="8" w:space="0"/>
                    <w:bottom w:val="single" w:color="000000" w:sz="8" w:space="0"/>
                    <w:right w:val="nil"/>
                  </w:tcBorders>
                  <w:shd w:val="clear" w:color="auto" w:fill="auto"/>
                  <w:vAlign w:val="center"/>
                </w:tcPr>
                <w:p w14:paraId="3A9B017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r>
            <w:tr w14:paraId="044CD8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4094" w:type="pct"/>
                  <w:gridSpan w:val="5"/>
                  <w:tcBorders>
                    <w:top w:val="single" w:color="000000" w:sz="8" w:space="0"/>
                    <w:left w:val="nil"/>
                    <w:bottom w:val="single" w:color="000000" w:sz="12" w:space="0"/>
                    <w:right w:val="single" w:color="000000" w:sz="8" w:space="0"/>
                  </w:tcBorders>
                  <w:shd w:val="clear" w:color="auto" w:fill="auto"/>
                  <w:vAlign w:val="center"/>
                </w:tcPr>
                <w:p w14:paraId="5B49C36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905" w:type="pct"/>
                  <w:tcBorders>
                    <w:top w:val="single" w:color="000000" w:sz="8" w:space="0"/>
                    <w:left w:val="single" w:color="000000" w:sz="8" w:space="0"/>
                    <w:bottom w:val="single" w:color="000000" w:sz="12" w:space="0"/>
                    <w:right w:val="nil"/>
                  </w:tcBorders>
                  <w:shd w:val="clear" w:color="auto" w:fill="auto"/>
                  <w:vAlign w:val="center"/>
                </w:tcPr>
                <w:p w14:paraId="042F9DB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r>
          </w:tbl>
          <w:p w14:paraId="48F5EE81">
            <w:pPr>
              <w:spacing w:line="500" w:lineRule="exact"/>
              <w:ind w:firstLine="420" w:firstLineChars="200"/>
              <w:rPr>
                <w:color w:val="auto"/>
                <w:szCs w:val="21"/>
              </w:rPr>
            </w:pPr>
            <w:r>
              <w:rPr>
                <w:rFonts w:hint="eastAsia"/>
                <w:color w:val="auto"/>
                <w:szCs w:val="21"/>
              </w:rPr>
              <w:t>根据《建设项目环境风险评价技术导则》（</w:t>
            </w:r>
            <w:r>
              <w:rPr>
                <w:color w:val="auto"/>
                <w:szCs w:val="21"/>
              </w:rPr>
              <w:t>H</w:t>
            </w:r>
            <w:r>
              <w:rPr>
                <w:rFonts w:hint="eastAsia"/>
                <w:color w:val="auto"/>
                <w:szCs w:val="21"/>
                <w:lang w:val="en-US" w:eastAsia="zh-CN"/>
              </w:rPr>
              <w:t xml:space="preserve">J </w:t>
            </w:r>
            <w:r>
              <w:rPr>
                <w:color w:val="auto"/>
                <w:szCs w:val="21"/>
              </w:rPr>
              <w:t>169-2018</w:t>
            </w:r>
            <w:r>
              <w:rPr>
                <w:rFonts w:hint="eastAsia"/>
                <w:color w:val="auto"/>
                <w:szCs w:val="21"/>
              </w:rPr>
              <w:t>）附录</w:t>
            </w:r>
            <w:r>
              <w:rPr>
                <w:color w:val="auto"/>
                <w:szCs w:val="21"/>
              </w:rPr>
              <w:t>C</w:t>
            </w:r>
            <w:r>
              <w:rPr>
                <w:rFonts w:hint="eastAsia"/>
                <w:color w:val="auto"/>
                <w:szCs w:val="21"/>
              </w:rPr>
              <w:t>，当</w:t>
            </w:r>
            <w:r>
              <w:rPr>
                <w:color w:val="auto"/>
                <w:szCs w:val="21"/>
              </w:rPr>
              <w:t>Q&lt;1</w:t>
            </w:r>
            <w:r>
              <w:rPr>
                <w:rFonts w:hint="eastAsia"/>
                <w:color w:val="auto"/>
                <w:szCs w:val="21"/>
              </w:rPr>
              <w:t>时，该项目环境风险潜势为</w:t>
            </w:r>
            <w:r>
              <w:rPr>
                <w:color w:val="auto"/>
                <w:szCs w:val="21"/>
              </w:rPr>
              <w:t>I</w:t>
            </w:r>
            <w:r>
              <w:rPr>
                <w:rFonts w:hint="eastAsia"/>
                <w:color w:val="auto"/>
                <w:szCs w:val="21"/>
              </w:rPr>
              <w:t>，因此，本项目环境风险评价等级确定为简单分析。</w:t>
            </w:r>
          </w:p>
          <w:p w14:paraId="26FC1044">
            <w:pPr>
              <w:spacing w:line="500" w:lineRule="exact"/>
              <w:ind w:firstLine="420" w:firstLineChars="200"/>
              <w:rPr>
                <w:color w:val="auto"/>
                <w:szCs w:val="21"/>
              </w:rPr>
            </w:pPr>
            <w:r>
              <w:rPr>
                <w:rFonts w:hint="eastAsia"/>
                <w:color w:val="auto"/>
                <w:szCs w:val="21"/>
              </w:rPr>
              <w:t>因此，本项目环境风险评价按照简单分析进行评价。</w:t>
            </w:r>
          </w:p>
          <w:p w14:paraId="096FC1BD">
            <w:pPr>
              <w:spacing w:line="500" w:lineRule="exact"/>
              <w:ind w:firstLine="422" w:firstLineChars="200"/>
              <w:rPr>
                <w:b/>
                <w:color w:val="auto"/>
                <w:szCs w:val="21"/>
              </w:rPr>
            </w:pPr>
            <w:r>
              <w:rPr>
                <w:rFonts w:hint="eastAsia"/>
                <w:b/>
                <w:color w:val="auto"/>
                <w:szCs w:val="21"/>
              </w:rPr>
              <w:t>（2）环境风险识别</w:t>
            </w:r>
          </w:p>
          <w:p w14:paraId="40EDD23E">
            <w:pPr>
              <w:pStyle w:val="52"/>
              <w:ind w:firstLine="420"/>
              <w:rPr>
                <w:color w:val="auto"/>
                <w:sz w:val="21"/>
              </w:rPr>
            </w:pPr>
            <w:r>
              <w:rPr>
                <w:rFonts w:hint="eastAsia"/>
                <w:color w:val="auto"/>
                <w:sz w:val="21"/>
              </w:rPr>
              <w:t>本项目主要风险单元为实验室、钢瓶间、废气废水处理设施、危废仓库等。实验试剂在使用过程中可能发生洒落、遗漏等事故；危险废物在收集、储存和运输过程中可能发生洒落、遗漏等事故；废气处理设备出现故障，造成废气未经处理直接排放。识别结果见下表。</w:t>
            </w:r>
          </w:p>
          <w:p w14:paraId="7EA76D76">
            <w:pPr>
              <w:snapToGrid w:val="0"/>
              <w:spacing w:line="500" w:lineRule="exact"/>
              <w:jc w:val="center"/>
              <w:rPr>
                <w:b/>
                <w:color w:val="auto"/>
                <w:szCs w:val="21"/>
              </w:rPr>
            </w:pPr>
            <w:r>
              <w:rPr>
                <w:rFonts w:hint="eastAsia"/>
                <w:b/>
                <w:color w:val="auto"/>
                <w:szCs w:val="21"/>
              </w:rPr>
              <w:t>表4-13 本项目环境风险识别表</w:t>
            </w:r>
          </w:p>
          <w:tbl>
            <w:tblPr>
              <w:tblStyle w:val="21"/>
              <w:tblW w:w="4875" w:type="pct"/>
              <w:tblInd w:w="108"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31"/>
              <w:gridCol w:w="1147"/>
              <w:gridCol w:w="1734"/>
              <w:gridCol w:w="1450"/>
              <w:gridCol w:w="1316"/>
              <w:gridCol w:w="1577"/>
            </w:tblGrid>
            <w:tr w14:paraId="55ECC4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676" w:type="pct"/>
                  <w:tcBorders>
                    <w:top w:val="single" w:color="auto" w:sz="12" w:space="0"/>
                    <w:left w:val="nil"/>
                    <w:bottom w:val="single" w:color="auto" w:sz="4" w:space="0"/>
                    <w:right w:val="single" w:color="auto" w:sz="4" w:space="0"/>
                  </w:tcBorders>
                  <w:vAlign w:val="center"/>
                </w:tcPr>
                <w:p w14:paraId="781F4478">
                  <w:pPr>
                    <w:jc w:val="center"/>
                    <w:rPr>
                      <w:color w:val="auto"/>
                      <w:sz w:val="18"/>
                      <w:szCs w:val="18"/>
                    </w:rPr>
                  </w:pPr>
                </w:p>
              </w:tc>
              <w:tc>
                <w:tcPr>
                  <w:tcW w:w="686" w:type="pct"/>
                  <w:tcBorders>
                    <w:top w:val="single" w:color="auto" w:sz="12" w:space="0"/>
                    <w:left w:val="nil"/>
                    <w:bottom w:val="single" w:color="auto" w:sz="4" w:space="0"/>
                    <w:right w:val="single" w:color="auto" w:sz="4" w:space="0"/>
                  </w:tcBorders>
                  <w:vAlign w:val="center"/>
                </w:tcPr>
                <w:p w14:paraId="6292B27E">
                  <w:pPr>
                    <w:jc w:val="center"/>
                    <w:rPr>
                      <w:color w:val="auto"/>
                      <w:sz w:val="18"/>
                      <w:szCs w:val="18"/>
                    </w:rPr>
                  </w:pPr>
                </w:p>
              </w:tc>
              <w:tc>
                <w:tcPr>
                  <w:tcW w:w="1037" w:type="pct"/>
                  <w:tcBorders>
                    <w:top w:val="single" w:color="auto" w:sz="12" w:space="0"/>
                    <w:left w:val="nil"/>
                    <w:bottom w:val="single" w:color="auto" w:sz="4" w:space="0"/>
                    <w:right w:val="single" w:color="auto" w:sz="4" w:space="0"/>
                  </w:tcBorders>
                  <w:vAlign w:val="center"/>
                </w:tcPr>
                <w:p w14:paraId="30D67234">
                  <w:pPr>
                    <w:jc w:val="center"/>
                    <w:rPr>
                      <w:color w:val="auto"/>
                      <w:sz w:val="18"/>
                      <w:szCs w:val="18"/>
                    </w:rPr>
                  </w:pPr>
                </w:p>
              </w:tc>
              <w:tc>
                <w:tcPr>
                  <w:tcW w:w="867" w:type="pct"/>
                  <w:tcBorders>
                    <w:top w:val="single" w:color="auto" w:sz="12" w:space="0"/>
                    <w:left w:val="nil"/>
                    <w:bottom w:val="single" w:color="auto" w:sz="4" w:space="0"/>
                    <w:right w:val="single" w:color="auto" w:sz="4" w:space="0"/>
                  </w:tcBorders>
                  <w:vAlign w:val="center"/>
                </w:tcPr>
                <w:p w14:paraId="2DE7F3FB">
                  <w:pPr>
                    <w:jc w:val="center"/>
                    <w:rPr>
                      <w:color w:val="auto"/>
                      <w:sz w:val="18"/>
                      <w:szCs w:val="18"/>
                    </w:rPr>
                  </w:pPr>
                </w:p>
              </w:tc>
              <w:tc>
                <w:tcPr>
                  <w:tcW w:w="787" w:type="pct"/>
                  <w:tcBorders>
                    <w:top w:val="single" w:color="auto" w:sz="12" w:space="0"/>
                    <w:left w:val="nil"/>
                    <w:bottom w:val="single" w:color="auto" w:sz="4" w:space="0"/>
                    <w:right w:val="single" w:color="auto" w:sz="4" w:space="0"/>
                  </w:tcBorders>
                  <w:vAlign w:val="center"/>
                </w:tcPr>
                <w:p w14:paraId="3687BBC7">
                  <w:pPr>
                    <w:jc w:val="center"/>
                    <w:rPr>
                      <w:color w:val="auto"/>
                      <w:sz w:val="18"/>
                      <w:szCs w:val="18"/>
                    </w:rPr>
                  </w:pPr>
                </w:p>
              </w:tc>
              <w:tc>
                <w:tcPr>
                  <w:tcW w:w="943" w:type="pct"/>
                  <w:tcBorders>
                    <w:top w:val="single" w:color="auto" w:sz="12" w:space="0"/>
                    <w:left w:val="nil"/>
                    <w:bottom w:val="single" w:color="auto" w:sz="4" w:space="0"/>
                    <w:right w:val="nil"/>
                  </w:tcBorders>
                  <w:vAlign w:val="center"/>
                </w:tcPr>
                <w:p w14:paraId="103B81BC">
                  <w:pPr>
                    <w:jc w:val="center"/>
                    <w:rPr>
                      <w:color w:val="auto"/>
                      <w:sz w:val="18"/>
                      <w:szCs w:val="18"/>
                    </w:rPr>
                  </w:pPr>
                </w:p>
              </w:tc>
            </w:tr>
            <w:tr w14:paraId="3EDA8E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676" w:type="pct"/>
                  <w:tcBorders>
                    <w:top w:val="single" w:color="auto" w:sz="4" w:space="0"/>
                    <w:left w:val="nil"/>
                    <w:bottom w:val="single" w:color="auto" w:sz="4" w:space="0"/>
                    <w:right w:val="single" w:color="auto" w:sz="4" w:space="0"/>
                  </w:tcBorders>
                  <w:vAlign w:val="center"/>
                </w:tcPr>
                <w:p w14:paraId="77493BA2">
                  <w:pPr>
                    <w:jc w:val="center"/>
                    <w:rPr>
                      <w:color w:val="auto"/>
                      <w:sz w:val="18"/>
                      <w:szCs w:val="18"/>
                    </w:rPr>
                  </w:pPr>
                </w:p>
              </w:tc>
              <w:tc>
                <w:tcPr>
                  <w:tcW w:w="686" w:type="pct"/>
                  <w:tcBorders>
                    <w:top w:val="single" w:color="auto" w:sz="4" w:space="0"/>
                    <w:left w:val="nil"/>
                    <w:bottom w:val="single" w:color="auto" w:sz="4" w:space="0"/>
                    <w:right w:val="single" w:color="auto" w:sz="4" w:space="0"/>
                  </w:tcBorders>
                  <w:vAlign w:val="center"/>
                </w:tcPr>
                <w:p w14:paraId="4F819E87">
                  <w:pPr>
                    <w:jc w:val="center"/>
                    <w:rPr>
                      <w:color w:val="auto"/>
                      <w:sz w:val="18"/>
                      <w:szCs w:val="18"/>
                    </w:rPr>
                  </w:pPr>
                </w:p>
              </w:tc>
              <w:tc>
                <w:tcPr>
                  <w:tcW w:w="1037" w:type="pct"/>
                  <w:tcBorders>
                    <w:top w:val="single" w:color="auto" w:sz="4" w:space="0"/>
                    <w:left w:val="nil"/>
                    <w:bottom w:val="single" w:color="auto" w:sz="4" w:space="0"/>
                    <w:right w:val="single" w:color="auto" w:sz="4" w:space="0"/>
                  </w:tcBorders>
                  <w:vAlign w:val="center"/>
                </w:tcPr>
                <w:p w14:paraId="3AAB7171">
                  <w:pPr>
                    <w:jc w:val="center"/>
                    <w:rPr>
                      <w:color w:val="auto"/>
                      <w:sz w:val="18"/>
                      <w:szCs w:val="18"/>
                    </w:rPr>
                  </w:pPr>
                </w:p>
              </w:tc>
              <w:tc>
                <w:tcPr>
                  <w:tcW w:w="867" w:type="pct"/>
                  <w:tcBorders>
                    <w:top w:val="single" w:color="auto" w:sz="4" w:space="0"/>
                    <w:left w:val="nil"/>
                    <w:bottom w:val="single" w:color="auto" w:sz="4" w:space="0"/>
                    <w:right w:val="single" w:color="auto" w:sz="4" w:space="0"/>
                  </w:tcBorders>
                  <w:vAlign w:val="center"/>
                </w:tcPr>
                <w:p w14:paraId="5E2BD211">
                  <w:pPr>
                    <w:jc w:val="center"/>
                    <w:rPr>
                      <w:color w:val="auto"/>
                      <w:sz w:val="18"/>
                      <w:szCs w:val="18"/>
                    </w:rPr>
                  </w:pPr>
                </w:p>
              </w:tc>
              <w:tc>
                <w:tcPr>
                  <w:tcW w:w="787" w:type="pct"/>
                  <w:tcBorders>
                    <w:top w:val="single" w:color="auto" w:sz="4" w:space="0"/>
                    <w:left w:val="nil"/>
                    <w:bottom w:val="single" w:color="auto" w:sz="4" w:space="0"/>
                    <w:right w:val="single" w:color="auto" w:sz="4" w:space="0"/>
                  </w:tcBorders>
                  <w:vAlign w:val="center"/>
                </w:tcPr>
                <w:p w14:paraId="5226C418">
                  <w:pPr>
                    <w:jc w:val="center"/>
                    <w:rPr>
                      <w:color w:val="auto"/>
                      <w:sz w:val="18"/>
                      <w:szCs w:val="18"/>
                    </w:rPr>
                  </w:pPr>
                </w:p>
              </w:tc>
              <w:tc>
                <w:tcPr>
                  <w:tcW w:w="943" w:type="pct"/>
                  <w:tcBorders>
                    <w:top w:val="single" w:color="auto" w:sz="4" w:space="0"/>
                    <w:left w:val="nil"/>
                    <w:bottom w:val="single" w:color="auto" w:sz="4" w:space="0"/>
                    <w:right w:val="nil"/>
                  </w:tcBorders>
                  <w:vAlign w:val="center"/>
                </w:tcPr>
                <w:p w14:paraId="343DB877">
                  <w:pPr>
                    <w:jc w:val="center"/>
                    <w:rPr>
                      <w:color w:val="auto"/>
                      <w:sz w:val="18"/>
                      <w:szCs w:val="18"/>
                    </w:rPr>
                  </w:pPr>
                </w:p>
              </w:tc>
            </w:tr>
            <w:tr w14:paraId="09A68B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676" w:type="pct"/>
                  <w:tcBorders>
                    <w:top w:val="single" w:color="auto" w:sz="4" w:space="0"/>
                    <w:left w:val="nil"/>
                    <w:bottom w:val="single" w:color="auto" w:sz="4" w:space="0"/>
                    <w:right w:val="single" w:color="auto" w:sz="4" w:space="0"/>
                  </w:tcBorders>
                  <w:vAlign w:val="center"/>
                </w:tcPr>
                <w:p w14:paraId="7F70CB7B">
                  <w:pPr>
                    <w:jc w:val="center"/>
                    <w:rPr>
                      <w:color w:val="auto"/>
                      <w:sz w:val="18"/>
                      <w:szCs w:val="18"/>
                    </w:rPr>
                  </w:pPr>
                </w:p>
              </w:tc>
              <w:tc>
                <w:tcPr>
                  <w:tcW w:w="686" w:type="pct"/>
                  <w:tcBorders>
                    <w:top w:val="single" w:color="auto" w:sz="4" w:space="0"/>
                    <w:left w:val="nil"/>
                    <w:bottom w:val="single" w:color="auto" w:sz="4" w:space="0"/>
                    <w:right w:val="single" w:color="auto" w:sz="4" w:space="0"/>
                  </w:tcBorders>
                  <w:vAlign w:val="center"/>
                </w:tcPr>
                <w:p w14:paraId="20B1821F">
                  <w:pPr>
                    <w:jc w:val="center"/>
                    <w:rPr>
                      <w:color w:val="auto"/>
                      <w:sz w:val="18"/>
                      <w:szCs w:val="18"/>
                    </w:rPr>
                  </w:pPr>
                </w:p>
              </w:tc>
              <w:tc>
                <w:tcPr>
                  <w:tcW w:w="1037" w:type="pct"/>
                  <w:tcBorders>
                    <w:top w:val="single" w:color="auto" w:sz="4" w:space="0"/>
                    <w:left w:val="nil"/>
                    <w:bottom w:val="single" w:color="auto" w:sz="4" w:space="0"/>
                    <w:right w:val="single" w:color="auto" w:sz="4" w:space="0"/>
                  </w:tcBorders>
                  <w:vAlign w:val="center"/>
                </w:tcPr>
                <w:p w14:paraId="6789D761">
                  <w:pPr>
                    <w:jc w:val="center"/>
                    <w:rPr>
                      <w:color w:val="auto"/>
                      <w:sz w:val="18"/>
                      <w:szCs w:val="18"/>
                    </w:rPr>
                  </w:pPr>
                </w:p>
              </w:tc>
              <w:tc>
                <w:tcPr>
                  <w:tcW w:w="867" w:type="pct"/>
                  <w:tcBorders>
                    <w:top w:val="single" w:color="auto" w:sz="4" w:space="0"/>
                    <w:left w:val="nil"/>
                    <w:bottom w:val="single" w:color="auto" w:sz="4" w:space="0"/>
                    <w:right w:val="single" w:color="auto" w:sz="4" w:space="0"/>
                  </w:tcBorders>
                  <w:vAlign w:val="center"/>
                </w:tcPr>
                <w:p w14:paraId="2CD49AD2">
                  <w:pPr>
                    <w:jc w:val="center"/>
                    <w:rPr>
                      <w:color w:val="auto"/>
                      <w:sz w:val="18"/>
                      <w:szCs w:val="18"/>
                    </w:rPr>
                  </w:pPr>
                </w:p>
              </w:tc>
              <w:tc>
                <w:tcPr>
                  <w:tcW w:w="787" w:type="pct"/>
                  <w:tcBorders>
                    <w:top w:val="single" w:color="auto" w:sz="4" w:space="0"/>
                    <w:left w:val="nil"/>
                    <w:bottom w:val="single" w:color="auto" w:sz="4" w:space="0"/>
                    <w:right w:val="single" w:color="auto" w:sz="4" w:space="0"/>
                  </w:tcBorders>
                  <w:vAlign w:val="center"/>
                </w:tcPr>
                <w:p w14:paraId="2E9F95C3">
                  <w:pPr>
                    <w:jc w:val="center"/>
                    <w:rPr>
                      <w:color w:val="auto"/>
                      <w:sz w:val="18"/>
                      <w:szCs w:val="18"/>
                    </w:rPr>
                  </w:pPr>
                </w:p>
              </w:tc>
              <w:tc>
                <w:tcPr>
                  <w:tcW w:w="943" w:type="pct"/>
                  <w:tcBorders>
                    <w:top w:val="single" w:color="auto" w:sz="4" w:space="0"/>
                    <w:left w:val="nil"/>
                    <w:bottom w:val="single" w:color="auto" w:sz="4" w:space="0"/>
                    <w:right w:val="nil"/>
                  </w:tcBorders>
                  <w:vAlign w:val="center"/>
                </w:tcPr>
                <w:p w14:paraId="3CE464A1">
                  <w:pPr>
                    <w:jc w:val="center"/>
                    <w:rPr>
                      <w:color w:val="auto"/>
                      <w:sz w:val="18"/>
                      <w:szCs w:val="18"/>
                    </w:rPr>
                  </w:pPr>
                </w:p>
              </w:tc>
            </w:tr>
            <w:tr w14:paraId="44CAB6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676" w:type="pct"/>
                  <w:tcBorders>
                    <w:top w:val="single" w:color="auto" w:sz="4" w:space="0"/>
                    <w:left w:val="nil"/>
                    <w:bottom w:val="single" w:color="auto" w:sz="4" w:space="0"/>
                    <w:right w:val="single" w:color="auto" w:sz="4" w:space="0"/>
                  </w:tcBorders>
                  <w:vAlign w:val="center"/>
                </w:tcPr>
                <w:p w14:paraId="61A1C205">
                  <w:pPr>
                    <w:jc w:val="center"/>
                    <w:rPr>
                      <w:color w:val="auto"/>
                      <w:sz w:val="18"/>
                      <w:szCs w:val="18"/>
                    </w:rPr>
                  </w:pPr>
                </w:p>
              </w:tc>
              <w:tc>
                <w:tcPr>
                  <w:tcW w:w="686" w:type="pct"/>
                  <w:tcBorders>
                    <w:top w:val="single" w:color="auto" w:sz="4" w:space="0"/>
                    <w:left w:val="nil"/>
                    <w:bottom w:val="single" w:color="auto" w:sz="4" w:space="0"/>
                    <w:right w:val="single" w:color="auto" w:sz="4" w:space="0"/>
                  </w:tcBorders>
                  <w:vAlign w:val="center"/>
                </w:tcPr>
                <w:p w14:paraId="159D14DB">
                  <w:pPr>
                    <w:jc w:val="center"/>
                    <w:rPr>
                      <w:color w:val="auto"/>
                      <w:sz w:val="18"/>
                      <w:szCs w:val="18"/>
                    </w:rPr>
                  </w:pPr>
                </w:p>
              </w:tc>
              <w:tc>
                <w:tcPr>
                  <w:tcW w:w="1037" w:type="pct"/>
                  <w:tcBorders>
                    <w:top w:val="single" w:color="auto" w:sz="4" w:space="0"/>
                    <w:left w:val="nil"/>
                    <w:bottom w:val="single" w:color="auto" w:sz="4" w:space="0"/>
                    <w:right w:val="single" w:color="auto" w:sz="4" w:space="0"/>
                  </w:tcBorders>
                  <w:vAlign w:val="center"/>
                </w:tcPr>
                <w:p w14:paraId="4635E3A2">
                  <w:pPr>
                    <w:jc w:val="center"/>
                    <w:rPr>
                      <w:color w:val="auto"/>
                      <w:sz w:val="18"/>
                      <w:szCs w:val="18"/>
                    </w:rPr>
                  </w:pPr>
                </w:p>
              </w:tc>
              <w:tc>
                <w:tcPr>
                  <w:tcW w:w="867" w:type="pct"/>
                  <w:tcBorders>
                    <w:top w:val="single" w:color="auto" w:sz="4" w:space="0"/>
                    <w:left w:val="nil"/>
                    <w:bottom w:val="single" w:color="auto" w:sz="4" w:space="0"/>
                    <w:right w:val="single" w:color="auto" w:sz="4" w:space="0"/>
                  </w:tcBorders>
                  <w:vAlign w:val="center"/>
                </w:tcPr>
                <w:p w14:paraId="1C6AA208">
                  <w:pPr>
                    <w:jc w:val="center"/>
                    <w:rPr>
                      <w:color w:val="auto"/>
                      <w:sz w:val="18"/>
                      <w:szCs w:val="18"/>
                    </w:rPr>
                  </w:pPr>
                </w:p>
              </w:tc>
              <w:tc>
                <w:tcPr>
                  <w:tcW w:w="787" w:type="pct"/>
                  <w:tcBorders>
                    <w:top w:val="single" w:color="auto" w:sz="4" w:space="0"/>
                    <w:left w:val="nil"/>
                    <w:bottom w:val="single" w:color="auto" w:sz="4" w:space="0"/>
                    <w:right w:val="single" w:color="auto" w:sz="4" w:space="0"/>
                  </w:tcBorders>
                  <w:vAlign w:val="center"/>
                </w:tcPr>
                <w:p w14:paraId="41D6E120">
                  <w:pPr>
                    <w:jc w:val="center"/>
                    <w:rPr>
                      <w:color w:val="auto"/>
                      <w:sz w:val="18"/>
                      <w:szCs w:val="18"/>
                    </w:rPr>
                  </w:pPr>
                </w:p>
              </w:tc>
              <w:tc>
                <w:tcPr>
                  <w:tcW w:w="943" w:type="pct"/>
                  <w:tcBorders>
                    <w:top w:val="single" w:color="auto" w:sz="4" w:space="0"/>
                    <w:left w:val="nil"/>
                    <w:bottom w:val="single" w:color="auto" w:sz="4" w:space="0"/>
                    <w:right w:val="nil"/>
                  </w:tcBorders>
                  <w:vAlign w:val="center"/>
                </w:tcPr>
                <w:p w14:paraId="6B8768C1">
                  <w:pPr>
                    <w:jc w:val="center"/>
                    <w:rPr>
                      <w:color w:val="auto"/>
                      <w:sz w:val="18"/>
                      <w:szCs w:val="18"/>
                    </w:rPr>
                  </w:pPr>
                </w:p>
              </w:tc>
            </w:tr>
            <w:tr w14:paraId="03A73B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676" w:type="pct"/>
                  <w:tcBorders>
                    <w:top w:val="single" w:color="auto" w:sz="4" w:space="0"/>
                    <w:left w:val="nil"/>
                    <w:bottom w:val="single" w:color="auto" w:sz="4" w:space="0"/>
                    <w:right w:val="single" w:color="auto" w:sz="4" w:space="0"/>
                  </w:tcBorders>
                  <w:vAlign w:val="center"/>
                </w:tcPr>
                <w:p w14:paraId="1CB31C92">
                  <w:pPr>
                    <w:jc w:val="center"/>
                    <w:rPr>
                      <w:color w:val="auto"/>
                      <w:sz w:val="18"/>
                      <w:szCs w:val="18"/>
                    </w:rPr>
                  </w:pPr>
                </w:p>
              </w:tc>
              <w:tc>
                <w:tcPr>
                  <w:tcW w:w="686" w:type="pct"/>
                  <w:tcBorders>
                    <w:top w:val="single" w:color="auto" w:sz="4" w:space="0"/>
                    <w:left w:val="nil"/>
                    <w:bottom w:val="single" w:color="auto" w:sz="4" w:space="0"/>
                    <w:right w:val="single" w:color="auto" w:sz="4" w:space="0"/>
                  </w:tcBorders>
                  <w:vAlign w:val="center"/>
                </w:tcPr>
                <w:p w14:paraId="24299512">
                  <w:pPr>
                    <w:jc w:val="center"/>
                    <w:rPr>
                      <w:color w:val="auto"/>
                      <w:sz w:val="18"/>
                      <w:szCs w:val="18"/>
                    </w:rPr>
                  </w:pPr>
                </w:p>
              </w:tc>
              <w:tc>
                <w:tcPr>
                  <w:tcW w:w="1037" w:type="pct"/>
                  <w:tcBorders>
                    <w:top w:val="single" w:color="auto" w:sz="4" w:space="0"/>
                    <w:left w:val="nil"/>
                    <w:bottom w:val="single" w:color="auto" w:sz="4" w:space="0"/>
                    <w:right w:val="single" w:color="auto" w:sz="4" w:space="0"/>
                  </w:tcBorders>
                  <w:vAlign w:val="center"/>
                </w:tcPr>
                <w:p w14:paraId="16F6A5FA">
                  <w:pPr>
                    <w:jc w:val="center"/>
                    <w:rPr>
                      <w:color w:val="auto"/>
                      <w:sz w:val="18"/>
                      <w:szCs w:val="18"/>
                    </w:rPr>
                  </w:pPr>
                </w:p>
              </w:tc>
              <w:tc>
                <w:tcPr>
                  <w:tcW w:w="1450" w:type="dxa"/>
                  <w:tcBorders>
                    <w:top w:val="single" w:color="auto" w:sz="4" w:space="0"/>
                    <w:left w:val="nil"/>
                    <w:bottom w:val="single" w:color="auto" w:sz="4" w:space="0"/>
                    <w:right w:val="single" w:color="auto" w:sz="4" w:space="0"/>
                  </w:tcBorders>
                  <w:vAlign w:val="center"/>
                </w:tcPr>
                <w:p w14:paraId="3FF2BCD4">
                  <w:pPr>
                    <w:jc w:val="center"/>
                    <w:rPr>
                      <w:color w:val="auto"/>
                      <w:sz w:val="18"/>
                      <w:szCs w:val="18"/>
                    </w:rPr>
                  </w:pPr>
                </w:p>
              </w:tc>
              <w:tc>
                <w:tcPr>
                  <w:tcW w:w="1316" w:type="dxa"/>
                  <w:tcBorders>
                    <w:top w:val="single" w:color="auto" w:sz="4" w:space="0"/>
                    <w:left w:val="nil"/>
                    <w:bottom w:val="single" w:color="auto" w:sz="4" w:space="0"/>
                    <w:right w:val="single" w:color="auto" w:sz="4" w:space="0"/>
                  </w:tcBorders>
                  <w:vAlign w:val="center"/>
                </w:tcPr>
                <w:p w14:paraId="09790186">
                  <w:pPr>
                    <w:jc w:val="center"/>
                    <w:rPr>
                      <w:color w:val="auto"/>
                      <w:sz w:val="18"/>
                      <w:szCs w:val="18"/>
                    </w:rPr>
                  </w:pPr>
                </w:p>
              </w:tc>
              <w:tc>
                <w:tcPr>
                  <w:tcW w:w="1577" w:type="dxa"/>
                  <w:tcBorders>
                    <w:top w:val="single" w:color="auto" w:sz="4" w:space="0"/>
                    <w:left w:val="nil"/>
                    <w:bottom w:val="single" w:color="auto" w:sz="4" w:space="0"/>
                    <w:right w:val="nil"/>
                  </w:tcBorders>
                  <w:vAlign w:val="center"/>
                </w:tcPr>
                <w:p w14:paraId="51721692">
                  <w:pPr>
                    <w:jc w:val="center"/>
                    <w:rPr>
                      <w:color w:val="auto"/>
                      <w:sz w:val="18"/>
                      <w:szCs w:val="18"/>
                    </w:rPr>
                  </w:pPr>
                </w:p>
              </w:tc>
            </w:tr>
            <w:tr w14:paraId="624800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1" w:hRule="atLeast"/>
              </w:trPr>
              <w:tc>
                <w:tcPr>
                  <w:tcW w:w="676" w:type="pct"/>
                  <w:tcBorders>
                    <w:top w:val="single" w:color="auto" w:sz="4" w:space="0"/>
                    <w:left w:val="nil"/>
                    <w:bottom w:val="single" w:color="auto" w:sz="4" w:space="0"/>
                    <w:right w:val="single" w:color="auto" w:sz="4" w:space="0"/>
                  </w:tcBorders>
                  <w:vAlign w:val="center"/>
                </w:tcPr>
                <w:p w14:paraId="2FB67646">
                  <w:pPr>
                    <w:jc w:val="center"/>
                    <w:rPr>
                      <w:color w:val="auto"/>
                      <w:sz w:val="18"/>
                      <w:szCs w:val="18"/>
                    </w:rPr>
                  </w:pPr>
                </w:p>
              </w:tc>
              <w:tc>
                <w:tcPr>
                  <w:tcW w:w="686" w:type="pct"/>
                  <w:tcBorders>
                    <w:top w:val="single" w:color="auto" w:sz="4" w:space="0"/>
                    <w:left w:val="nil"/>
                    <w:bottom w:val="single" w:color="auto" w:sz="4" w:space="0"/>
                    <w:right w:val="single" w:color="auto" w:sz="4" w:space="0"/>
                  </w:tcBorders>
                  <w:vAlign w:val="center"/>
                </w:tcPr>
                <w:p w14:paraId="05E430B4">
                  <w:pPr>
                    <w:jc w:val="center"/>
                    <w:rPr>
                      <w:color w:val="auto"/>
                      <w:sz w:val="18"/>
                      <w:szCs w:val="18"/>
                    </w:rPr>
                  </w:pPr>
                </w:p>
              </w:tc>
              <w:tc>
                <w:tcPr>
                  <w:tcW w:w="1037" w:type="pct"/>
                  <w:tcBorders>
                    <w:top w:val="single" w:color="auto" w:sz="4" w:space="0"/>
                    <w:left w:val="nil"/>
                    <w:bottom w:val="single" w:color="auto" w:sz="4" w:space="0"/>
                    <w:right w:val="single" w:color="auto" w:sz="4" w:space="0"/>
                  </w:tcBorders>
                  <w:vAlign w:val="center"/>
                </w:tcPr>
                <w:p w14:paraId="1E2D11A1">
                  <w:pPr>
                    <w:jc w:val="center"/>
                    <w:rPr>
                      <w:color w:val="auto"/>
                      <w:sz w:val="18"/>
                      <w:szCs w:val="18"/>
                    </w:rPr>
                  </w:pPr>
                </w:p>
              </w:tc>
              <w:tc>
                <w:tcPr>
                  <w:tcW w:w="867" w:type="pct"/>
                  <w:tcBorders>
                    <w:top w:val="single" w:color="auto" w:sz="4" w:space="0"/>
                    <w:left w:val="nil"/>
                    <w:bottom w:val="single" w:color="auto" w:sz="4" w:space="0"/>
                    <w:right w:val="single" w:color="auto" w:sz="4" w:space="0"/>
                  </w:tcBorders>
                  <w:vAlign w:val="center"/>
                </w:tcPr>
                <w:p w14:paraId="420A15B8">
                  <w:pPr>
                    <w:jc w:val="center"/>
                    <w:rPr>
                      <w:color w:val="auto"/>
                      <w:sz w:val="18"/>
                      <w:szCs w:val="18"/>
                    </w:rPr>
                  </w:pPr>
                </w:p>
              </w:tc>
              <w:tc>
                <w:tcPr>
                  <w:tcW w:w="787" w:type="pct"/>
                  <w:tcBorders>
                    <w:top w:val="single" w:color="auto" w:sz="4" w:space="0"/>
                    <w:left w:val="nil"/>
                    <w:bottom w:val="single" w:color="auto" w:sz="4" w:space="0"/>
                    <w:right w:val="single" w:color="auto" w:sz="4" w:space="0"/>
                  </w:tcBorders>
                  <w:vAlign w:val="center"/>
                </w:tcPr>
                <w:p w14:paraId="17F01195">
                  <w:pPr>
                    <w:jc w:val="center"/>
                    <w:rPr>
                      <w:color w:val="auto"/>
                      <w:sz w:val="18"/>
                      <w:szCs w:val="18"/>
                    </w:rPr>
                  </w:pPr>
                </w:p>
              </w:tc>
              <w:tc>
                <w:tcPr>
                  <w:tcW w:w="943" w:type="pct"/>
                  <w:tcBorders>
                    <w:top w:val="single" w:color="auto" w:sz="4" w:space="0"/>
                    <w:left w:val="nil"/>
                    <w:bottom w:val="single" w:color="auto" w:sz="4" w:space="0"/>
                    <w:right w:val="nil"/>
                  </w:tcBorders>
                  <w:vAlign w:val="center"/>
                </w:tcPr>
                <w:p w14:paraId="6FDF3D85">
                  <w:pPr>
                    <w:jc w:val="center"/>
                    <w:rPr>
                      <w:color w:val="auto"/>
                      <w:sz w:val="18"/>
                      <w:szCs w:val="18"/>
                    </w:rPr>
                  </w:pPr>
                </w:p>
              </w:tc>
            </w:tr>
          </w:tbl>
          <w:p w14:paraId="2F08BEBF">
            <w:pPr>
              <w:spacing w:line="500" w:lineRule="exact"/>
              <w:ind w:firstLine="422" w:firstLineChars="200"/>
              <w:rPr>
                <w:b/>
                <w:color w:val="auto"/>
                <w:szCs w:val="21"/>
              </w:rPr>
            </w:pPr>
            <w:r>
              <w:rPr>
                <w:rFonts w:hint="eastAsia"/>
                <w:b/>
                <w:color w:val="auto"/>
                <w:szCs w:val="21"/>
              </w:rPr>
              <w:t>（3）环境风险影响分析</w:t>
            </w:r>
          </w:p>
          <w:p w14:paraId="7D8A6825">
            <w:pPr>
              <w:spacing w:line="500" w:lineRule="exact"/>
              <w:ind w:firstLine="420"/>
              <w:rPr>
                <w:color w:val="auto"/>
                <w:szCs w:val="21"/>
              </w:rPr>
            </w:pPr>
            <w:r>
              <w:rPr>
                <w:rFonts w:hint="eastAsia"/>
                <w:color w:val="auto"/>
                <w:szCs w:val="21"/>
              </w:rPr>
              <w:t>根据环境风险类型，实验使用的试剂、暂存危险废物、废气废水处理设施均具有潜在的危害，在贮存、运输和生产过程中可能发生泄漏和火灾爆炸，从而引发伴生/次生污染物排放污染环境。</w:t>
            </w:r>
          </w:p>
          <w:p w14:paraId="2FA3250B">
            <w:pPr>
              <w:snapToGrid w:val="0"/>
              <w:spacing w:line="500" w:lineRule="exact"/>
              <w:jc w:val="center"/>
              <w:rPr>
                <w:b/>
                <w:color w:val="auto"/>
                <w:szCs w:val="21"/>
              </w:rPr>
            </w:pPr>
            <w:r>
              <w:rPr>
                <w:rFonts w:hint="eastAsia"/>
                <w:b/>
                <w:color w:val="auto"/>
                <w:szCs w:val="21"/>
              </w:rPr>
              <w:t>表4-14项目环境风险事故时各环境要素危害后果一览表</w:t>
            </w:r>
          </w:p>
          <w:tbl>
            <w:tblPr>
              <w:tblStyle w:val="21"/>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832"/>
              <w:gridCol w:w="1253"/>
              <w:gridCol w:w="1569"/>
              <w:gridCol w:w="1168"/>
              <w:gridCol w:w="1605"/>
              <w:gridCol w:w="1108"/>
              <w:gridCol w:w="1034"/>
            </w:tblGrid>
            <w:tr w14:paraId="786245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80" w:hRule="atLeast"/>
                <w:jc w:val="center"/>
              </w:trPr>
              <w:tc>
                <w:tcPr>
                  <w:tcW w:w="486" w:type="pct"/>
                  <w:vMerge w:val="restart"/>
                  <w:tcBorders>
                    <w:top w:val="single" w:color="auto" w:sz="12" w:space="0"/>
                    <w:left w:val="nil"/>
                    <w:bottom w:val="single" w:color="auto" w:sz="4" w:space="0"/>
                    <w:right w:val="single" w:color="auto" w:sz="4" w:space="0"/>
                  </w:tcBorders>
                  <w:vAlign w:val="center"/>
                </w:tcPr>
                <w:p w14:paraId="20D0E692">
                  <w:pPr>
                    <w:jc w:val="center"/>
                    <w:rPr>
                      <w:color w:val="auto"/>
                      <w:sz w:val="18"/>
                      <w:szCs w:val="18"/>
                    </w:rPr>
                  </w:pPr>
                </w:p>
              </w:tc>
              <w:tc>
                <w:tcPr>
                  <w:tcW w:w="731" w:type="pct"/>
                  <w:vMerge w:val="restart"/>
                  <w:tcBorders>
                    <w:top w:val="single" w:color="auto" w:sz="12" w:space="0"/>
                    <w:left w:val="nil"/>
                    <w:bottom w:val="single" w:color="auto" w:sz="4" w:space="0"/>
                    <w:right w:val="single" w:color="auto" w:sz="4" w:space="0"/>
                  </w:tcBorders>
                  <w:vAlign w:val="center"/>
                </w:tcPr>
                <w:p w14:paraId="092A4523">
                  <w:pPr>
                    <w:jc w:val="center"/>
                    <w:rPr>
                      <w:color w:val="auto"/>
                      <w:sz w:val="18"/>
                      <w:szCs w:val="18"/>
                    </w:rPr>
                  </w:pPr>
                </w:p>
              </w:tc>
              <w:tc>
                <w:tcPr>
                  <w:tcW w:w="915" w:type="pct"/>
                  <w:vMerge w:val="restart"/>
                  <w:tcBorders>
                    <w:top w:val="single" w:color="auto" w:sz="12" w:space="0"/>
                    <w:left w:val="nil"/>
                    <w:bottom w:val="single" w:color="auto" w:sz="4" w:space="0"/>
                    <w:right w:val="single" w:color="auto" w:sz="4" w:space="0"/>
                  </w:tcBorders>
                  <w:vAlign w:val="center"/>
                </w:tcPr>
                <w:p w14:paraId="35AAF7E1">
                  <w:pPr>
                    <w:jc w:val="center"/>
                    <w:rPr>
                      <w:color w:val="auto"/>
                      <w:sz w:val="18"/>
                      <w:szCs w:val="18"/>
                    </w:rPr>
                  </w:pPr>
                </w:p>
              </w:tc>
              <w:tc>
                <w:tcPr>
                  <w:tcW w:w="681" w:type="pct"/>
                  <w:vMerge w:val="restart"/>
                  <w:tcBorders>
                    <w:top w:val="single" w:color="auto" w:sz="12" w:space="0"/>
                    <w:left w:val="nil"/>
                    <w:bottom w:val="single" w:color="auto" w:sz="4" w:space="0"/>
                    <w:right w:val="single" w:color="auto" w:sz="4" w:space="0"/>
                  </w:tcBorders>
                  <w:vAlign w:val="center"/>
                </w:tcPr>
                <w:p w14:paraId="7AF433FF">
                  <w:pPr>
                    <w:jc w:val="center"/>
                    <w:rPr>
                      <w:color w:val="auto"/>
                      <w:sz w:val="18"/>
                      <w:szCs w:val="18"/>
                    </w:rPr>
                  </w:pPr>
                </w:p>
              </w:tc>
              <w:tc>
                <w:tcPr>
                  <w:tcW w:w="2185" w:type="pct"/>
                  <w:gridSpan w:val="3"/>
                  <w:tcBorders>
                    <w:top w:val="single" w:color="auto" w:sz="12" w:space="0"/>
                    <w:left w:val="nil"/>
                    <w:bottom w:val="single" w:color="auto" w:sz="4" w:space="0"/>
                    <w:right w:val="nil"/>
                  </w:tcBorders>
                  <w:vAlign w:val="center"/>
                </w:tcPr>
                <w:p w14:paraId="057BC5DC">
                  <w:pPr>
                    <w:jc w:val="center"/>
                    <w:rPr>
                      <w:color w:val="auto"/>
                      <w:sz w:val="18"/>
                      <w:szCs w:val="18"/>
                    </w:rPr>
                  </w:pPr>
                </w:p>
              </w:tc>
            </w:tr>
            <w:tr w14:paraId="2F7F54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50" w:hRule="atLeast"/>
                <w:jc w:val="center"/>
              </w:trPr>
              <w:tc>
                <w:tcPr>
                  <w:tcW w:w="0" w:type="auto"/>
                  <w:vMerge w:val="continue"/>
                  <w:tcBorders>
                    <w:top w:val="single" w:color="auto" w:sz="12" w:space="0"/>
                    <w:left w:val="nil"/>
                    <w:bottom w:val="single" w:color="auto" w:sz="4" w:space="0"/>
                    <w:right w:val="single" w:color="auto" w:sz="4" w:space="0"/>
                  </w:tcBorders>
                  <w:vAlign w:val="center"/>
                </w:tcPr>
                <w:p w14:paraId="6D0157B9">
                  <w:pPr>
                    <w:jc w:val="center"/>
                    <w:rPr>
                      <w:color w:val="auto"/>
                      <w:sz w:val="18"/>
                      <w:szCs w:val="18"/>
                    </w:rPr>
                  </w:pPr>
                </w:p>
              </w:tc>
              <w:tc>
                <w:tcPr>
                  <w:tcW w:w="731" w:type="pct"/>
                  <w:vMerge w:val="continue"/>
                  <w:tcBorders>
                    <w:top w:val="single" w:color="auto" w:sz="12" w:space="0"/>
                    <w:left w:val="nil"/>
                    <w:bottom w:val="single" w:color="auto" w:sz="4" w:space="0"/>
                    <w:right w:val="single" w:color="auto" w:sz="4" w:space="0"/>
                  </w:tcBorders>
                  <w:vAlign w:val="center"/>
                </w:tcPr>
                <w:p w14:paraId="678F426D">
                  <w:pPr>
                    <w:jc w:val="center"/>
                    <w:rPr>
                      <w:color w:val="auto"/>
                      <w:sz w:val="18"/>
                      <w:szCs w:val="18"/>
                    </w:rPr>
                  </w:pPr>
                </w:p>
              </w:tc>
              <w:tc>
                <w:tcPr>
                  <w:tcW w:w="915" w:type="pct"/>
                  <w:vMerge w:val="continue"/>
                  <w:tcBorders>
                    <w:top w:val="single" w:color="auto" w:sz="12" w:space="0"/>
                    <w:left w:val="nil"/>
                    <w:bottom w:val="single" w:color="auto" w:sz="4" w:space="0"/>
                    <w:right w:val="single" w:color="auto" w:sz="4" w:space="0"/>
                  </w:tcBorders>
                  <w:vAlign w:val="center"/>
                </w:tcPr>
                <w:p w14:paraId="7DF430ED">
                  <w:pPr>
                    <w:jc w:val="center"/>
                    <w:rPr>
                      <w:color w:val="auto"/>
                      <w:sz w:val="18"/>
                      <w:szCs w:val="18"/>
                    </w:rPr>
                  </w:pPr>
                </w:p>
              </w:tc>
              <w:tc>
                <w:tcPr>
                  <w:tcW w:w="0" w:type="auto"/>
                  <w:vMerge w:val="continue"/>
                  <w:tcBorders>
                    <w:top w:val="single" w:color="auto" w:sz="12" w:space="0"/>
                    <w:left w:val="nil"/>
                    <w:bottom w:val="single" w:color="auto" w:sz="4" w:space="0"/>
                    <w:right w:val="single" w:color="auto" w:sz="4" w:space="0"/>
                  </w:tcBorders>
                  <w:vAlign w:val="center"/>
                </w:tcPr>
                <w:p w14:paraId="1C05F26E">
                  <w:pPr>
                    <w:jc w:val="center"/>
                    <w:rPr>
                      <w:color w:val="auto"/>
                      <w:sz w:val="18"/>
                      <w:szCs w:val="18"/>
                    </w:rPr>
                  </w:pPr>
                </w:p>
              </w:tc>
              <w:tc>
                <w:tcPr>
                  <w:tcW w:w="936" w:type="pct"/>
                  <w:tcBorders>
                    <w:top w:val="single" w:color="auto" w:sz="4" w:space="0"/>
                    <w:left w:val="nil"/>
                    <w:bottom w:val="single" w:color="auto" w:sz="4" w:space="0"/>
                    <w:right w:val="single" w:color="auto" w:sz="4" w:space="0"/>
                  </w:tcBorders>
                  <w:vAlign w:val="center"/>
                </w:tcPr>
                <w:p w14:paraId="2B322307">
                  <w:pPr>
                    <w:jc w:val="center"/>
                    <w:rPr>
                      <w:color w:val="auto"/>
                      <w:sz w:val="18"/>
                      <w:szCs w:val="18"/>
                    </w:rPr>
                  </w:pPr>
                </w:p>
              </w:tc>
              <w:tc>
                <w:tcPr>
                  <w:tcW w:w="646" w:type="pct"/>
                  <w:tcBorders>
                    <w:top w:val="single" w:color="auto" w:sz="4" w:space="0"/>
                    <w:left w:val="nil"/>
                    <w:bottom w:val="single" w:color="auto" w:sz="4" w:space="0"/>
                    <w:right w:val="single" w:color="auto" w:sz="4" w:space="0"/>
                  </w:tcBorders>
                  <w:vAlign w:val="center"/>
                </w:tcPr>
                <w:p w14:paraId="3D769ECE">
                  <w:pPr>
                    <w:jc w:val="center"/>
                    <w:rPr>
                      <w:color w:val="auto"/>
                      <w:sz w:val="18"/>
                      <w:szCs w:val="18"/>
                    </w:rPr>
                  </w:pPr>
                </w:p>
              </w:tc>
              <w:tc>
                <w:tcPr>
                  <w:tcW w:w="602" w:type="pct"/>
                  <w:tcBorders>
                    <w:top w:val="single" w:color="auto" w:sz="4" w:space="0"/>
                    <w:left w:val="nil"/>
                    <w:bottom w:val="single" w:color="auto" w:sz="4" w:space="0"/>
                    <w:right w:val="nil"/>
                  </w:tcBorders>
                  <w:vAlign w:val="center"/>
                </w:tcPr>
                <w:p w14:paraId="0AB727D2">
                  <w:pPr>
                    <w:jc w:val="center"/>
                    <w:rPr>
                      <w:color w:val="auto"/>
                      <w:sz w:val="18"/>
                      <w:szCs w:val="18"/>
                    </w:rPr>
                  </w:pPr>
                </w:p>
              </w:tc>
            </w:tr>
            <w:tr w14:paraId="12B338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561" w:hRule="atLeast"/>
                <w:jc w:val="center"/>
              </w:trPr>
              <w:tc>
                <w:tcPr>
                  <w:tcW w:w="486" w:type="pct"/>
                  <w:tcBorders>
                    <w:top w:val="nil"/>
                    <w:left w:val="nil"/>
                    <w:right w:val="single" w:color="auto" w:sz="4" w:space="0"/>
                  </w:tcBorders>
                  <w:vAlign w:val="center"/>
                </w:tcPr>
                <w:p w14:paraId="42E2D25E">
                  <w:pPr>
                    <w:jc w:val="center"/>
                    <w:rPr>
                      <w:color w:val="auto"/>
                      <w:sz w:val="18"/>
                      <w:szCs w:val="18"/>
                    </w:rPr>
                  </w:pPr>
                </w:p>
              </w:tc>
              <w:tc>
                <w:tcPr>
                  <w:tcW w:w="731" w:type="pct"/>
                  <w:tcBorders>
                    <w:top w:val="single" w:color="auto" w:sz="4" w:space="0"/>
                    <w:left w:val="nil"/>
                    <w:bottom w:val="single" w:color="auto" w:sz="4" w:space="0"/>
                    <w:right w:val="single" w:color="auto" w:sz="4" w:space="0"/>
                  </w:tcBorders>
                  <w:vAlign w:val="center"/>
                </w:tcPr>
                <w:p w14:paraId="12AD35B8">
                  <w:pPr>
                    <w:jc w:val="center"/>
                    <w:rPr>
                      <w:color w:val="auto"/>
                      <w:sz w:val="18"/>
                      <w:szCs w:val="18"/>
                    </w:rPr>
                  </w:pPr>
                </w:p>
              </w:tc>
              <w:tc>
                <w:tcPr>
                  <w:tcW w:w="915" w:type="pct"/>
                  <w:tcBorders>
                    <w:top w:val="single" w:color="auto" w:sz="4" w:space="0"/>
                    <w:left w:val="nil"/>
                    <w:bottom w:val="single" w:color="auto" w:sz="4" w:space="0"/>
                    <w:right w:val="single" w:color="auto" w:sz="4" w:space="0"/>
                  </w:tcBorders>
                  <w:vAlign w:val="center"/>
                </w:tcPr>
                <w:p w14:paraId="19F297F5">
                  <w:pPr>
                    <w:jc w:val="center"/>
                    <w:rPr>
                      <w:color w:val="auto"/>
                      <w:sz w:val="18"/>
                      <w:szCs w:val="18"/>
                    </w:rPr>
                  </w:pPr>
                </w:p>
              </w:tc>
              <w:tc>
                <w:tcPr>
                  <w:tcW w:w="681" w:type="pct"/>
                  <w:tcBorders>
                    <w:top w:val="single" w:color="auto" w:sz="4" w:space="0"/>
                    <w:left w:val="nil"/>
                    <w:bottom w:val="single" w:color="auto" w:sz="4" w:space="0"/>
                    <w:right w:val="single" w:color="auto" w:sz="4" w:space="0"/>
                  </w:tcBorders>
                  <w:vAlign w:val="center"/>
                </w:tcPr>
                <w:p w14:paraId="0ABC49C1">
                  <w:pPr>
                    <w:jc w:val="center"/>
                    <w:rPr>
                      <w:color w:val="auto"/>
                      <w:sz w:val="18"/>
                      <w:szCs w:val="18"/>
                    </w:rPr>
                  </w:pPr>
                </w:p>
              </w:tc>
              <w:tc>
                <w:tcPr>
                  <w:tcW w:w="936" w:type="pct"/>
                  <w:tcBorders>
                    <w:top w:val="nil"/>
                    <w:left w:val="nil"/>
                    <w:right w:val="single" w:color="auto" w:sz="4" w:space="0"/>
                  </w:tcBorders>
                  <w:vAlign w:val="center"/>
                </w:tcPr>
                <w:p w14:paraId="746629FB">
                  <w:pPr>
                    <w:jc w:val="center"/>
                    <w:rPr>
                      <w:color w:val="auto"/>
                      <w:sz w:val="18"/>
                      <w:szCs w:val="18"/>
                    </w:rPr>
                  </w:pPr>
                </w:p>
              </w:tc>
              <w:tc>
                <w:tcPr>
                  <w:tcW w:w="646" w:type="pct"/>
                  <w:tcBorders>
                    <w:top w:val="nil"/>
                    <w:left w:val="nil"/>
                    <w:right w:val="single" w:color="auto" w:sz="4" w:space="0"/>
                  </w:tcBorders>
                  <w:vAlign w:val="center"/>
                </w:tcPr>
                <w:p w14:paraId="0E657D38">
                  <w:pPr>
                    <w:jc w:val="center"/>
                    <w:rPr>
                      <w:color w:val="auto"/>
                      <w:sz w:val="18"/>
                      <w:szCs w:val="18"/>
                    </w:rPr>
                  </w:pPr>
                </w:p>
              </w:tc>
              <w:tc>
                <w:tcPr>
                  <w:tcW w:w="602" w:type="pct"/>
                  <w:tcBorders>
                    <w:top w:val="nil"/>
                    <w:left w:val="nil"/>
                    <w:right w:val="nil"/>
                  </w:tcBorders>
                  <w:vAlign w:val="center"/>
                </w:tcPr>
                <w:p w14:paraId="66818AB5">
                  <w:pPr>
                    <w:jc w:val="center"/>
                    <w:rPr>
                      <w:color w:val="auto"/>
                      <w:sz w:val="18"/>
                      <w:szCs w:val="18"/>
                    </w:rPr>
                  </w:pPr>
                </w:p>
              </w:tc>
            </w:tr>
            <w:tr w14:paraId="7BD311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486" w:type="pct"/>
                  <w:tcBorders>
                    <w:top w:val="single" w:color="auto" w:sz="4" w:space="0"/>
                    <w:left w:val="nil"/>
                    <w:bottom w:val="single" w:color="auto" w:sz="4" w:space="0"/>
                    <w:right w:val="single" w:color="auto" w:sz="4" w:space="0"/>
                  </w:tcBorders>
                  <w:vAlign w:val="center"/>
                </w:tcPr>
                <w:p w14:paraId="009A5554">
                  <w:pPr>
                    <w:jc w:val="center"/>
                    <w:rPr>
                      <w:color w:val="auto"/>
                      <w:sz w:val="18"/>
                      <w:szCs w:val="18"/>
                    </w:rPr>
                  </w:pPr>
                </w:p>
              </w:tc>
              <w:tc>
                <w:tcPr>
                  <w:tcW w:w="731" w:type="pct"/>
                  <w:tcBorders>
                    <w:top w:val="single" w:color="auto" w:sz="4" w:space="0"/>
                    <w:left w:val="nil"/>
                    <w:bottom w:val="single" w:color="auto" w:sz="4" w:space="0"/>
                    <w:right w:val="single" w:color="auto" w:sz="4" w:space="0"/>
                  </w:tcBorders>
                  <w:vAlign w:val="center"/>
                </w:tcPr>
                <w:p w14:paraId="3BC82A78">
                  <w:pPr>
                    <w:jc w:val="center"/>
                    <w:rPr>
                      <w:color w:val="auto"/>
                      <w:sz w:val="18"/>
                      <w:szCs w:val="18"/>
                    </w:rPr>
                  </w:pPr>
                </w:p>
              </w:tc>
              <w:tc>
                <w:tcPr>
                  <w:tcW w:w="915" w:type="pct"/>
                  <w:tcBorders>
                    <w:top w:val="single" w:color="auto" w:sz="4" w:space="0"/>
                    <w:left w:val="nil"/>
                    <w:bottom w:val="single" w:color="auto" w:sz="4" w:space="0"/>
                    <w:right w:val="single" w:color="auto" w:sz="4" w:space="0"/>
                  </w:tcBorders>
                  <w:vAlign w:val="center"/>
                </w:tcPr>
                <w:p w14:paraId="091204DB">
                  <w:pPr>
                    <w:jc w:val="center"/>
                    <w:rPr>
                      <w:color w:val="auto"/>
                      <w:sz w:val="18"/>
                      <w:szCs w:val="18"/>
                    </w:rPr>
                  </w:pPr>
                </w:p>
              </w:tc>
              <w:tc>
                <w:tcPr>
                  <w:tcW w:w="681" w:type="pct"/>
                  <w:tcBorders>
                    <w:top w:val="single" w:color="auto" w:sz="4" w:space="0"/>
                    <w:left w:val="nil"/>
                    <w:bottom w:val="single" w:color="auto" w:sz="4" w:space="0"/>
                    <w:right w:val="single" w:color="auto" w:sz="4" w:space="0"/>
                  </w:tcBorders>
                  <w:vAlign w:val="center"/>
                </w:tcPr>
                <w:p w14:paraId="1350FA89">
                  <w:pPr>
                    <w:jc w:val="center"/>
                    <w:rPr>
                      <w:rFonts w:hint="default" w:eastAsia="宋体"/>
                      <w:color w:val="auto"/>
                      <w:sz w:val="18"/>
                      <w:szCs w:val="18"/>
                      <w:lang w:val="en-US" w:eastAsia="zh-CN"/>
                    </w:rPr>
                  </w:pPr>
                </w:p>
              </w:tc>
              <w:tc>
                <w:tcPr>
                  <w:tcW w:w="936" w:type="pct"/>
                  <w:tcBorders>
                    <w:top w:val="single" w:color="auto" w:sz="4" w:space="0"/>
                    <w:left w:val="nil"/>
                    <w:bottom w:val="single" w:color="auto" w:sz="4" w:space="0"/>
                    <w:right w:val="single" w:color="auto" w:sz="4" w:space="0"/>
                  </w:tcBorders>
                  <w:vAlign w:val="center"/>
                </w:tcPr>
                <w:p w14:paraId="24A81D5B">
                  <w:pPr>
                    <w:jc w:val="center"/>
                    <w:rPr>
                      <w:color w:val="auto"/>
                      <w:sz w:val="18"/>
                      <w:szCs w:val="18"/>
                    </w:rPr>
                  </w:pPr>
                </w:p>
              </w:tc>
              <w:tc>
                <w:tcPr>
                  <w:tcW w:w="646" w:type="pct"/>
                  <w:tcBorders>
                    <w:top w:val="single" w:color="auto" w:sz="4" w:space="0"/>
                    <w:left w:val="nil"/>
                    <w:bottom w:val="single" w:color="auto" w:sz="4" w:space="0"/>
                    <w:right w:val="single" w:color="auto" w:sz="4" w:space="0"/>
                  </w:tcBorders>
                  <w:vAlign w:val="center"/>
                </w:tcPr>
                <w:p w14:paraId="607AFFC0">
                  <w:pPr>
                    <w:jc w:val="center"/>
                    <w:rPr>
                      <w:color w:val="auto"/>
                      <w:sz w:val="18"/>
                      <w:szCs w:val="18"/>
                    </w:rPr>
                  </w:pPr>
                </w:p>
              </w:tc>
              <w:tc>
                <w:tcPr>
                  <w:tcW w:w="602" w:type="pct"/>
                  <w:tcBorders>
                    <w:top w:val="single" w:color="auto" w:sz="4" w:space="0"/>
                    <w:left w:val="nil"/>
                    <w:bottom w:val="single" w:color="auto" w:sz="4" w:space="0"/>
                    <w:right w:val="nil"/>
                  </w:tcBorders>
                  <w:vAlign w:val="center"/>
                </w:tcPr>
                <w:p w14:paraId="69B264D4">
                  <w:pPr>
                    <w:jc w:val="center"/>
                    <w:rPr>
                      <w:color w:val="auto"/>
                      <w:sz w:val="18"/>
                      <w:szCs w:val="18"/>
                    </w:rPr>
                  </w:pPr>
                </w:p>
              </w:tc>
            </w:tr>
            <w:tr w14:paraId="505F48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486" w:type="pct"/>
                  <w:tcBorders>
                    <w:top w:val="single" w:color="auto" w:sz="4" w:space="0"/>
                    <w:left w:val="nil"/>
                    <w:bottom w:val="single" w:color="auto" w:sz="12" w:space="0"/>
                    <w:right w:val="single" w:color="auto" w:sz="4" w:space="0"/>
                  </w:tcBorders>
                  <w:vAlign w:val="center"/>
                </w:tcPr>
                <w:p w14:paraId="6B505877">
                  <w:pPr>
                    <w:jc w:val="center"/>
                    <w:rPr>
                      <w:color w:val="auto"/>
                      <w:sz w:val="18"/>
                      <w:szCs w:val="18"/>
                    </w:rPr>
                  </w:pPr>
                </w:p>
              </w:tc>
              <w:tc>
                <w:tcPr>
                  <w:tcW w:w="731" w:type="pct"/>
                  <w:tcBorders>
                    <w:top w:val="single" w:color="auto" w:sz="4" w:space="0"/>
                    <w:left w:val="nil"/>
                    <w:bottom w:val="single" w:color="auto" w:sz="12" w:space="0"/>
                    <w:right w:val="single" w:color="auto" w:sz="4" w:space="0"/>
                  </w:tcBorders>
                  <w:vAlign w:val="center"/>
                </w:tcPr>
                <w:p w14:paraId="045EAD5E">
                  <w:pPr>
                    <w:jc w:val="center"/>
                    <w:rPr>
                      <w:color w:val="auto"/>
                      <w:sz w:val="18"/>
                      <w:szCs w:val="18"/>
                    </w:rPr>
                  </w:pPr>
                </w:p>
              </w:tc>
              <w:tc>
                <w:tcPr>
                  <w:tcW w:w="915" w:type="pct"/>
                  <w:tcBorders>
                    <w:top w:val="single" w:color="auto" w:sz="4" w:space="0"/>
                    <w:left w:val="nil"/>
                    <w:bottom w:val="single" w:color="auto" w:sz="12" w:space="0"/>
                    <w:right w:val="single" w:color="auto" w:sz="4" w:space="0"/>
                  </w:tcBorders>
                  <w:vAlign w:val="center"/>
                </w:tcPr>
                <w:p w14:paraId="3F2DA46C">
                  <w:pPr>
                    <w:jc w:val="center"/>
                    <w:rPr>
                      <w:color w:val="auto"/>
                      <w:sz w:val="18"/>
                      <w:szCs w:val="18"/>
                    </w:rPr>
                  </w:pPr>
                </w:p>
              </w:tc>
              <w:tc>
                <w:tcPr>
                  <w:tcW w:w="681" w:type="pct"/>
                  <w:tcBorders>
                    <w:top w:val="single" w:color="auto" w:sz="4" w:space="0"/>
                    <w:left w:val="nil"/>
                    <w:bottom w:val="single" w:color="auto" w:sz="12" w:space="0"/>
                    <w:right w:val="single" w:color="auto" w:sz="4" w:space="0"/>
                  </w:tcBorders>
                  <w:vAlign w:val="center"/>
                </w:tcPr>
                <w:p w14:paraId="5509A2B1">
                  <w:pPr>
                    <w:jc w:val="center"/>
                    <w:rPr>
                      <w:color w:val="auto"/>
                      <w:sz w:val="18"/>
                      <w:szCs w:val="18"/>
                    </w:rPr>
                  </w:pPr>
                </w:p>
              </w:tc>
              <w:tc>
                <w:tcPr>
                  <w:tcW w:w="936" w:type="pct"/>
                  <w:tcBorders>
                    <w:top w:val="single" w:color="auto" w:sz="4" w:space="0"/>
                    <w:left w:val="nil"/>
                    <w:bottom w:val="single" w:color="auto" w:sz="12" w:space="0"/>
                    <w:right w:val="single" w:color="auto" w:sz="4" w:space="0"/>
                  </w:tcBorders>
                  <w:vAlign w:val="center"/>
                </w:tcPr>
                <w:p w14:paraId="6DB349DF">
                  <w:pPr>
                    <w:jc w:val="center"/>
                    <w:rPr>
                      <w:color w:val="auto"/>
                      <w:sz w:val="18"/>
                      <w:szCs w:val="18"/>
                    </w:rPr>
                  </w:pPr>
                </w:p>
              </w:tc>
              <w:tc>
                <w:tcPr>
                  <w:tcW w:w="646" w:type="pct"/>
                  <w:tcBorders>
                    <w:top w:val="single" w:color="auto" w:sz="4" w:space="0"/>
                    <w:left w:val="nil"/>
                    <w:bottom w:val="single" w:color="auto" w:sz="12" w:space="0"/>
                    <w:right w:val="single" w:color="auto" w:sz="4" w:space="0"/>
                  </w:tcBorders>
                  <w:vAlign w:val="center"/>
                </w:tcPr>
                <w:p w14:paraId="1225ED98">
                  <w:pPr>
                    <w:jc w:val="center"/>
                    <w:rPr>
                      <w:color w:val="auto"/>
                      <w:sz w:val="18"/>
                      <w:szCs w:val="18"/>
                    </w:rPr>
                  </w:pPr>
                </w:p>
              </w:tc>
              <w:tc>
                <w:tcPr>
                  <w:tcW w:w="602" w:type="pct"/>
                  <w:tcBorders>
                    <w:top w:val="single" w:color="auto" w:sz="4" w:space="0"/>
                    <w:left w:val="nil"/>
                    <w:bottom w:val="single" w:color="auto" w:sz="12" w:space="0"/>
                    <w:right w:val="nil"/>
                  </w:tcBorders>
                  <w:vAlign w:val="center"/>
                </w:tcPr>
                <w:p w14:paraId="5418A42E">
                  <w:pPr>
                    <w:jc w:val="center"/>
                    <w:rPr>
                      <w:color w:val="auto"/>
                      <w:sz w:val="18"/>
                      <w:szCs w:val="18"/>
                    </w:rPr>
                  </w:pPr>
                </w:p>
              </w:tc>
            </w:tr>
          </w:tbl>
          <w:p w14:paraId="41CA4D93">
            <w:pPr>
              <w:spacing w:line="500" w:lineRule="exact"/>
              <w:ind w:firstLine="422" w:firstLineChars="200"/>
              <w:rPr>
                <w:b/>
                <w:color w:val="auto"/>
                <w:szCs w:val="21"/>
              </w:rPr>
            </w:pPr>
            <w:r>
              <w:rPr>
                <w:rFonts w:hint="eastAsia"/>
                <w:b/>
                <w:color w:val="auto"/>
                <w:szCs w:val="21"/>
              </w:rPr>
              <w:t>（4）环境风险防范措施及应急要求</w:t>
            </w:r>
          </w:p>
          <w:p w14:paraId="090EDD3E">
            <w:pPr>
              <w:shd w:val="clear" w:color="auto" w:fill="FFFFFF"/>
              <w:spacing w:line="500" w:lineRule="exact"/>
              <w:ind w:firstLine="420"/>
              <w:rPr>
                <w:color w:val="auto"/>
                <w:szCs w:val="21"/>
              </w:rPr>
            </w:pPr>
            <w:r>
              <w:rPr>
                <w:rFonts w:hint="eastAsia"/>
                <w:color w:val="auto"/>
                <w:szCs w:val="21"/>
              </w:rPr>
              <w:t>①实验试剂、危险废物管理措施</w:t>
            </w:r>
          </w:p>
          <w:p w14:paraId="240A0E27">
            <w:pPr>
              <w:shd w:val="clear" w:color="auto" w:fill="FFFFFF"/>
              <w:spacing w:line="500" w:lineRule="exact"/>
              <w:ind w:firstLine="420"/>
              <w:rPr>
                <w:color w:val="auto"/>
                <w:szCs w:val="21"/>
              </w:rPr>
            </w:pPr>
            <w:r>
              <w:rPr>
                <w:rFonts w:hint="eastAsia"/>
                <w:color w:val="auto"/>
                <w:szCs w:val="21"/>
              </w:rPr>
              <w:t>在实验试剂使用和危险废物的收集、储存、运输、处理处置过程中，若管理不严或处置不当，造成实验试剂、废液的洒落导致环境污染。实验试剂、危险废物应开展以下管理措施。</w:t>
            </w:r>
          </w:p>
          <w:p w14:paraId="33F28466">
            <w:pPr>
              <w:shd w:val="clear" w:color="auto" w:fill="FFFFFF"/>
              <w:spacing w:line="500" w:lineRule="exact"/>
              <w:ind w:firstLine="420"/>
              <w:rPr>
                <w:color w:val="auto"/>
                <w:szCs w:val="21"/>
              </w:rPr>
            </w:pPr>
            <w:r>
              <w:rPr>
                <w:rFonts w:hint="eastAsia"/>
                <w:color w:val="auto"/>
                <w:szCs w:val="21"/>
              </w:rPr>
              <w:t>a、危险废物使用专有容器分类存放，存放于危废仓库，最终由有资质单位定期清运处置；</w:t>
            </w:r>
          </w:p>
          <w:p w14:paraId="2EE0392E">
            <w:pPr>
              <w:shd w:val="clear" w:color="auto" w:fill="FFFFFF"/>
              <w:spacing w:line="500" w:lineRule="exact"/>
              <w:ind w:firstLine="420"/>
              <w:rPr>
                <w:color w:val="auto"/>
                <w:szCs w:val="21"/>
              </w:rPr>
            </w:pPr>
            <w:r>
              <w:rPr>
                <w:rFonts w:hint="eastAsia"/>
                <w:color w:val="auto"/>
                <w:szCs w:val="21"/>
                <w:lang w:val="en-US" w:eastAsia="zh-CN"/>
              </w:rPr>
              <w:t>b</w:t>
            </w:r>
            <w:r>
              <w:rPr>
                <w:rFonts w:hint="eastAsia"/>
                <w:color w:val="auto"/>
                <w:szCs w:val="21"/>
              </w:rPr>
              <w:t>、对操作人员进行教育，严格按操作规程进行操作，严禁违章作业。</w:t>
            </w:r>
          </w:p>
          <w:p w14:paraId="6AFE76EB">
            <w:pPr>
              <w:shd w:val="clear" w:color="auto" w:fill="FFFFFF"/>
              <w:spacing w:line="500" w:lineRule="exact"/>
              <w:ind w:firstLine="420"/>
              <w:rPr>
                <w:color w:val="auto"/>
                <w:szCs w:val="21"/>
              </w:rPr>
            </w:pPr>
            <w:r>
              <w:rPr>
                <w:rFonts w:hint="eastAsia"/>
                <w:color w:val="auto"/>
                <w:szCs w:val="21"/>
                <w:lang w:val="en-US" w:eastAsia="zh-CN"/>
              </w:rPr>
              <w:t>c</w:t>
            </w:r>
            <w:r>
              <w:rPr>
                <w:rFonts w:hint="eastAsia"/>
                <w:color w:val="auto"/>
                <w:szCs w:val="21"/>
              </w:rPr>
              <w:t>、加强通风设施，避免死角造成有害物质的聚集。</w:t>
            </w:r>
          </w:p>
          <w:p w14:paraId="30D60B66">
            <w:pPr>
              <w:shd w:val="clear" w:color="auto" w:fill="FFFFFF"/>
              <w:spacing w:line="500" w:lineRule="exact"/>
              <w:ind w:firstLine="420"/>
              <w:rPr>
                <w:color w:val="auto"/>
                <w:szCs w:val="21"/>
              </w:rPr>
            </w:pPr>
            <w:r>
              <w:rPr>
                <w:rFonts w:hint="eastAsia"/>
                <w:color w:val="auto"/>
                <w:szCs w:val="21"/>
                <w:lang w:val="en-US" w:eastAsia="zh-CN"/>
              </w:rPr>
              <w:t>d</w:t>
            </w:r>
            <w:r>
              <w:rPr>
                <w:rFonts w:hint="eastAsia"/>
                <w:color w:val="auto"/>
                <w:szCs w:val="21"/>
              </w:rPr>
              <w:t>、实验试剂存放于固定区域如安全柜中。实验室实验过程中会涉及实验废液，应单独收集并暂存于危废仓库，委托有资质单位定期清运、无害化处置</w:t>
            </w:r>
          </w:p>
          <w:p w14:paraId="0C7FFCBD">
            <w:pPr>
              <w:shd w:val="clear" w:color="auto" w:fill="FFFFFF"/>
              <w:spacing w:line="500" w:lineRule="exact"/>
              <w:ind w:firstLine="420"/>
              <w:rPr>
                <w:color w:val="auto"/>
                <w:szCs w:val="21"/>
              </w:rPr>
            </w:pPr>
            <w:r>
              <w:rPr>
                <w:rFonts w:hint="eastAsia"/>
                <w:color w:val="auto"/>
                <w:szCs w:val="21"/>
                <w:lang w:val="en-US" w:eastAsia="zh-CN"/>
              </w:rPr>
              <w:t>e</w:t>
            </w:r>
            <w:r>
              <w:rPr>
                <w:rFonts w:hint="eastAsia"/>
                <w:color w:val="auto"/>
                <w:szCs w:val="21"/>
              </w:rPr>
              <w:t>、危废的贮存容器必须有明显标志，具有耐腐蚀、耐压、密封和不与所贮存的废物发生反应等特性。危险废物按照液态、半固态和固态进行分区域储存。各类危险废物储存于相对独立的小分区，并在各小分区之间采用道路相隔。</w:t>
            </w:r>
          </w:p>
          <w:p w14:paraId="633AA54E">
            <w:pPr>
              <w:shd w:val="clear" w:color="auto" w:fill="FFFFFF"/>
              <w:spacing w:line="500" w:lineRule="exact"/>
              <w:ind w:firstLine="420"/>
              <w:rPr>
                <w:color w:val="auto"/>
                <w:szCs w:val="21"/>
              </w:rPr>
            </w:pPr>
            <w:r>
              <w:rPr>
                <w:rFonts w:hint="eastAsia"/>
                <w:color w:val="auto"/>
                <w:szCs w:val="21"/>
                <w:lang w:val="en-US" w:eastAsia="zh-CN"/>
              </w:rPr>
              <w:t>f</w:t>
            </w:r>
            <w:r>
              <w:rPr>
                <w:rFonts w:hint="eastAsia"/>
                <w:color w:val="auto"/>
                <w:szCs w:val="21"/>
              </w:rPr>
              <w:t>、盛装危险废物的容器选取防倾倒泄漏容器。</w:t>
            </w:r>
          </w:p>
          <w:p w14:paraId="5BE48D88">
            <w:pPr>
              <w:shd w:val="clear" w:color="auto" w:fill="FFFFFF"/>
              <w:spacing w:line="500" w:lineRule="exact"/>
              <w:ind w:firstLine="420"/>
              <w:rPr>
                <w:color w:val="auto"/>
                <w:szCs w:val="21"/>
              </w:rPr>
            </w:pPr>
            <w:r>
              <w:rPr>
                <w:rFonts w:hint="eastAsia"/>
                <w:color w:val="auto"/>
                <w:szCs w:val="21"/>
                <w:lang w:val="en-US" w:eastAsia="zh-CN"/>
              </w:rPr>
              <w:t>g</w:t>
            </w:r>
            <w:r>
              <w:rPr>
                <w:rFonts w:hint="eastAsia"/>
                <w:color w:val="auto"/>
                <w:szCs w:val="21"/>
              </w:rPr>
              <w:t>、经常检查贮存容器的质量，发现问题及时解决。</w:t>
            </w:r>
          </w:p>
          <w:p w14:paraId="7C1FD36A">
            <w:pPr>
              <w:shd w:val="clear" w:color="auto" w:fill="FFFFFF"/>
              <w:spacing w:line="500" w:lineRule="exact"/>
              <w:ind w:firstLine="420"/>
              <w:rPr>
                <w:color w:val="auto"/>
                <w:szCs w:val="21"/>
              </w:rPr>
            </w:pPr>
            <w:r>
              <w:rPr>
                <w:rFonts w:hint="eastAsia"/>
                <w:color w:val="auto"/>
                <w:szCs w:val="21"/>
              </w:rPr>
              <w:t>②渗滤（泄漏）液渗漏对地下水及土壤的污染预防及对策</w:t>
            </w:r>
          </w:p>
          <w:p w14:paraId="6BFE8D28">
            <w:pPr>
              <w:shd w:val="clear" w:color="auto" w:fill="FFFFFF"/>
              <w:spacing w:line="500" w:lineRule="exact"/>
              <w:ind w:firstLine="420"/>
              <w:rPr>
                <w:color w:val="auto"/>
                <w:szCs w:val="21"/>
              </w:rPr>
            </w:pPr>
            <w:r>
              <w:rPr>
                <w:rFonts w:hint="eastAsia"/>
                <w:color w:val="auto"/>
                <w:szCs w:val="21"/>
              </w:rPr>
              <w:t>防止渗滤（泄漏）液渗漏污染地下水及土壤是企业污染防治的重要问题。本项目依托的危废仓库采用重点防渗，防渗措施符合《危险废物贮存污染控制标准GB18597-20</w:t>
            </w:r>
            <w:r>
              <w:rPr>
                <w:color w:val="auto"/>
                <w:szCs w:val="21"/>
              </w:rPr>
              <w:t>23</w:t>
            </w:r>
            <w:r>
              <w:rPr>
                <w:rFonts w:hint="eastAsia"/>
                <w:color w:val="auto"/>
                <w:szCs w:val="21"/>
              </w:rPr>
              <w:t>》要求。经常检查危废库的防渗措施，发现破损，及时修复，并对受污染部位的土壤进行清理处置。</w:t>
            </w:r>
          </w:p>
          <w:p w14:paraId="1F7A16EB">
            <w:pPr>
              <w:shd w:val="clear" w:color="auto" w:fill="FFFFFF"/>
              <w:spacing w:line="500" w:lineRule="exact"/>
              <w:ind w:firstLine="420"/>
              <w:rPr>
                <w:color w:val="auto"/>
                <w:szCs w:val="21"/>
              </w:rPr>
            </w:pPr>
            <w:r>
              <w:rPr>
                <w:rFonts w:hint="eastAsia"/>
                <w:color w:val="auto"/>
                <w:szCs w:val="21"/>
              </w:rPr>
              <w:t>③火灾事故预防措施</w:t>
            </w:r>
          </w:p>
          <w:p w14:paraId="039D2ECE">
            <w:pPr>
              <w:pStyle w:val="52"/>
              <w:ind w:firstLine="420"/>
              <w:rPr>
                <w:color w:val="auto"/>
                <w:sz w:val="21"/>
              </w:rPr>
            </w:pPr>
            <w:r>
              <w:rPr>
                <w:rFonts w:hint="eastAsia" w:hAnsi="Times New Roman"/>
                <w:color w:val="auto"/>
                <w:kern w:val="2"/>
                <w:sz w:val="21"/>
                <w:szCs w:val="21"/>
              </w:rPr>
              <w:t>由于本项目实验试剂中涉及易燃品，因此在实验过程中，操作不当等会有发生火灾及爆炸的风险。火灾、爆炸事故会直接危及员工生命财产安全。本项目拟对实验室火灾事故采取如下消防措施：实验室设有消火栓、灭火器等消防器材。任何人发现火灾后均应立即向公司领导和调度中心报告，并组织救火。尽量将周围易燃易爆物品转移或隔离，并根据火势大小、严重程度决定是否拨打119电话报警并启动应急预案。</w:t>
            </w:r>
          </w:p>
          <w:p w14:paraId="401953ED">
            <w:pPr>
              <w:pStyle w:val="52"/>
              <w:ind w:firstLine="420"/>
              <w:rPr>
                <w:rFonts w:hAnsi="Times New Roman"/>
                <w:color w:val="auto"/>
                <w:kern w:val="2"/>
                <w:sz w:val="21"/>
                <w:szCs w:val="21"/>
              </w:rPr>
            </w:pPr>
            <w:r>
              <w:rPr>
                <w:rFonts w:hint="eastAsia" w:hAnsi="Times New Roman"/>
                <w:color w:val="auto"/>
                <w:kern w:val="2"/>
                <w:sz w:val="21"/>
                <w:szCs w:val="21"/>
              </w:rPr>
              <w:t>本项目的防火设计应遵循《建筑设计防火规范》（GB50016-2014）（20</w:t>
            </w:r>
            <w:r>
              <w:rPr>
                <w:rFonts w:hint="eastAsia" w:hAnsi="Times New Roman"/>
                <w:color w:val="auto"/>
                <w:kern w:val="2"/>
                <w:sz w:val="21"/>
                <w:szCs w:val="21"/>
                <w:lang w:val="en-US" w:eastAsia="zh-CN"/>
              </w:rPr>
              <w:t>18</w:t>
            </w:r>
            <w:r>
              <w:rPr>
                <w:rFonts w:hint="eastAsia" w:hAnsi="Times New Roman"/>
                <w:color w:val="auto"/>
                <w:kern w:val="2"/>
                <w:sz w:val="21"/>
                <w:szCs w:val="21"/>
              </w:rPr>
              <w:t>年修订版）的有关规定。建筑物消防必须报请政府主管消防部门审批，按消防要求建成后必须报有关部门进行消防验收，并按要求做好防范，确保消防安全。尽量避免明火作业；必须进行动火作业，必须经处理和检验，确保无火灾危险时，方可按规定动火。使用防爆型</w:t>
            </w:r>
            <w:r>
              <w:rPr>
                <w:rFonts w:hint="eastAsia" w:hAnsi="Times New Roman"/>
                <w:color w:val="auto"/>
                <w:kern w:val="2"/>
                <w:sz w:val="21"/>
                <w:szCs w:val="21"/>
                <w:lang w:eastAsia="zh-CN"/>
              </w:rPr>
              <w:t>电气设备</w:t>
            </w:r>
            <w:r>
              <w:rPr>
                <w:rFonts w:hint="eastAsia" w:hAnsi="Times New Roman"/>
                <w:color w:val="auto"/>
                <w:kern w:val="2"/>
                <w:sz w:val="21"/>
                <w:szCs w:val="21"/>
              </w:rPr>
              <w:t>，并做好电器设备的维护保养工作。一旦发生火灾，工作人员应按照如下措施进行。</w:t>
            </w:r>
          </w:p>
          <w:p w14:paraId="26B582B1">
            <w:pPr>
              <w:pStyle w:val="52"/>
              <w:ind w:firstLine="420"/>
              <w:rPr>
                <w:rFonts w:hAnsi="Times New Roman"/>
                <w:color w:val="auto"/>
                <w:kern w:val="2"/>
                <w:sz w:val="21"/>
                <w:szCs w:val="21"/>
              </w:rPr>
            </w:pPr>
            <w:r>
              <w:rPr>
                <w:rFonts w:hint="eastAsia" w:hAnsi="Times New Roman"/>
                <w:color w:val="auto"/>
                <w:kern w:val="2"/>
                <w:sz w:val="21"/>
                <w:szCs w:val="21"/>
              </w:rPr>
              <w:t>a、工作人员应及时引导疏散，并在转弯及出口处安排人员指示方向，疏散过程中应注意检查，防止有人未撤出，已逃离的人员不得再返回地下车库；</w:t>
            </w:r>
          </w:p>
          <w:p w14:paraId="1C6380BE">
            <w:pPr>
              <w:pStyle w:val="52"/>
              <w:ind w:firstLine="420"/>
              <w:rPr>
                <w:rFonts w:hAnsi="Times New Roman"/>
                <w:color w:val="auto"/>
                <w:kern w:val="2"/>
                <w:sz w:val="21"/>
                <w:szCs w:val="21"/>
              </w:rPr>
            </w:pPr>
            <w:r>
              <w:rPr>
                <w:rFonts w:hint="eastAsia" w:hAnsi="Times New Roman"/>
                <w:color w:val="auto"/>
                <w:kern w:val="2"/>
                <w:sz w:val="21"/>
                <w:szCs w:val="21"/>
              </w:rPr>
              <w:t>b、工作人员应指导过往人员尽量低势前进，不要做深呼吸，可能情况下用湿衣服或毛巾捂住口和鼻子，防止烟雾进入呼吸道；</w:t>
            </w:r>
          </w:p>
          <w:p w14:paraId="4B20E0A8">
            <w:pPr>
              <w:pStyle w:val="52"/>
              <w:ind w:firstLine="420"/>
              <w:rPr>
                <w:rFonts w:hAnsi="Times New Roman"/>
                <w:color w:val="auto"/>
                <w:kern w:val="2"/>
                <w:sz w:val="21"/>
                <w:szCs w:val="21"/>
              </w:rPr>
            </w:pPr>
            <w:r>
              <w:rPr>
                <w:rFonts w:hint="eastAsia" w:hAnsi="Times New Roman"/>
                <w:color w:val="auto"/>
                <w:kern w:val="2"/>
                <w:sz w:val="21"/>
                <w:szCs w:val="21"/>
              </w:rPr>
              <w:t>c、万一疏散通道被大火阻断，工作人员应指导过往人员延长生存时间，等消防队员前来救援</w:t>
            </w:r>
          </w:p>
          <w:p w14:paraId="78C46359">
            <w:pPr>
              <w:shd w:val="clear" w:color="auto" w:fill="FFFFFF"/>
              <w:spacing w:line="500" w:lineRule="exact"/>
              <w:ind w:firstLine="420"/>
              <w:rPr>
                <w:color w:val="auto"/>
                <w:szCs w:val="21"/>
              </w:rPr>
            </w:pPr>
            <w:r>
              <w:rPr>
                <w:rFonts w:hint="eastAsia"/>
                <w:color w:val="auto"/>
                <w:szCs w:val="21"/>
              </w:rPr>
              <w:t>④事故水风险防范措施</w:t>
            </w:r>
          </w:p>
          <w:p w14:paraId="212447C4">
            <w:pPr>
              <w:spacing w:line="500" w:lineRule="exact"/>
              <w:ind w:firstLine="420" w:firstLineChars="200"/>
              <w:rPr>
                <w:b/>
                <w:color w:val="auto"/>
                <w:szCs w:val="21"/>
              </w:rPr>
            </w:pPr>
            <w:r>
              <w:rPr>
                <w:snapToGrid w:val="0"/>
                <w:color w:val="auto"/>
                <w:szCs w:val="21"/>
              </w:rPr>
              <w:t>企业</w:t>
            </w:r>
            <w:r>
              <w:rPr>
                <w:rFonts w:hint="eastAsia"/>
                <w:snapToGrid w:val="0"/>
                <w:color w:val="auto"/>
                <w:szCs w:val="21"/>
              </w:rPr>
              <w:t>已</w:t>
            </w:r>
            <w:r>
              <w:rPr>
                <w:snapToGrid w:val="0"/>
                <w:color w:val="auto"/>
                <w:szCs w:val="21"/>
              </w:rPr>
              <w:t>有明确的“单元-厂区-园区”环境风险防控体系要求，其中“单元”指生产装置区、库区</w:t>
            </w:r>
            <w:r>
              <w:rPr>
                <w:rFonts w:hint="eastAsia"/>
                <w:snapToGrid w:val="0"/>
                <w:color w:val="auto"/>
                <w:szCs w:val="21"/>
                <w:lang w:eastAsia="zh-CN"/>
              </w:rPr>
              <w:t>等</w:t>
            </w:r>
            <w:r>
              <w:rPr>
                <w:snapToGrid w:val="0"/>
                <w:color w:val="auto"/>
                <w:szCs w:val="21"/>
              </w:rPr>
              <w:t>相对独立区域，均设置</w:t>
            </w:r>
            <w:r>
              <w:rPr>
                <w:rFonts w:hint="eastAsia"/>
                <w:snapToGrid w:val="0"/>
                <w:color w:val="auto"/>
                <w:szCs w:val="21"/>
              </w:rPr>
              <w:t>有围堰、导流沟等</w:t>
            </w:r>
            <w:r>
              <w:rPr>
                <w:snapToGrid w:val="0"/>
                <w:color w:val="auto"/>
                <w:szCs w:val="21"/>
              </w:rPr>
              <w:t>截流措施，并且设置雨、污水分流及雨污水切换阀门并与事故应急池联通。</w:t>
            </w:r>
          </w:p>
          <w:p w14:paraId="07E1FC8E">
            <w:pPr>
              <w:spacing w:line="500" w:lineRule="exact"/>
              <w:ind w:firstLine="420" w:firstLineChars="200"/>
              <w:rPr>
                <w:snapToGrid w:val="0"/>
                <w:color w:val="auto"/>
                <w:szCs w:val="21"/>
              </w:rPr>
            </w:pPr>
            <w:r>
              <w:rPr>
                <w:snapToGrid w:val="0"/>
                <w:color w:val="auto"/>
                <w:szCs w:val="21"/>
              </w:rPr>
              <w:t>“厂区”</w:t>
            </w:r>
            <w:r>
              <w:rPr>
                <w:rFonts w:hint="eastAsia"/>
                <w:snapToGrid w:val="0"/>
                <w:color w:val="auto"/>
                <w:szCs w:val="21"/>
              </w:rPr>
              <w:t>建有1座有效容积为1700m</w:t>
            </w:r>
            <w:r>
              <w:rPr>
                <w:rFonts w:hint="eastAsia"/>
                <w:snapToGrid w:val="0"/>
                <w:color w:val="auto"/>
                <w:szCs w:val="21"/>
                <w:vertAlign w:val="superscript"/>
              </w:rPr>
              <w:t>3</w:t>
            </w:r>
            <w:r>
              <w:rPr>
                <w:rFonts w:hint="eastAsia"/>
                <w:snapToGrid w:val="0"/>
                <w:color w:val="auto"/>
                <w:szCs w:val="21"/>
              </w:rPr>
              <w:t>的事故应急池和1座有效容积为1240m</w:t>
            </w:r>
            <w:r>
              <w:rPr>
                <w:rFonts w:hint="eastAsia"/>
                <w:snapToGrid w:val="0"/>
                <w:color w:val="auto"/>
                <w:szCs w:val="21"/>
                <w:vertAlign w:val="superscript"/>
              </w:rPr>
              <w:t>3</w:t>
            </w:r>
            <w:r>
              <w:rPr>
                <w:rFonts w:hint="eastAsia"/>
                <w:snapToGrid w:val="0"/>
                <w:color w:val="auto"/>
                <w:szCs w:val="21"/>
              </w:rPr>
              <w:t>的初期雨水池。雨污水排口均设置切断阀、在线监测及视频监控，确保事故状态下所有受污染废水均可被拦截并收集至事故池</w:t>
            </w:r>
            <w:r>
              <w:rPr>
                <w:snapToGrid w:val="0"/>
                <w:color w:val="auto"/>
                <w:szCs w:val="21"/>
              </w:rPr>
              <w:t>。</w:t>
            </w:r>
          </w:p>
          <w:p w14:paraId="03A2789B">
            <w:pPr>
              <w:spacing w:line="500" w:lineRule="exact"/>
              <w:ind w:firstLine="420" w:firstLineChars="200"/>
              <w:rPr>
                <w:snapToGrid w:val="0"/>
                <w:color w:val="auto"/>
                <w:szCs w:val="21"/>
              </w:rPr>
            </w:pPr>
            <w:r>
              <w:rPr>
                <w:snapToGrid w:val="0"/>
                <w:color w:val="auto"/>
                <w:szCs w:val="21"/>
              </w:rPr>
              <w:t>“园区”为项目所在的园区，</w:t>
            </w:r>
            <w:r>
              <w:rPr>
                <w:rFonts w:hint="eastAsia"/>
                <w:snapToGrid w:val="0"/>
                <w:color w:val="auto"/>
                <w:szCs w:val="21"/>
              </w:rPr>
              <w:t>公司事故应急池已通过管道与园区1#公共事故池连通，当事故废水超出厂区收集能力时，可提升输送至园区公共事故池。</w:t>
            </w:r>
            <w:r>
              <w:rPr>
                <w:snapToGrid w:val="0"/>
                <w:color w:val="auto"/>
                <w:szCs w:val="21"/>
              </w:rPr>
              <w:t>厂内环境风险防控系统</w:t>
            </w:r>
            <w:r>
              <w:rPr>
                <w:rFonts w:hint="eastAsia"/>
                <w:snapToGrid w:val="0"/>
                <w:color w:val="auto"/>
                <w:szCs w:val="21"/>
              </w:rPr>
              <w:t>已</w:t>
            </w:r>
            <w:r>
              <w:rPr>
                <w:snapToGrid w:val="0"/>
                <w:color w:val="auto"/>
                <w:szCs w:val="21"/>
              </w:rPr>
              <w:t>纳入园区环境风险防控体系，明确风险防控措施，在应急组织体系、应急响应事故分级、应急物资、应急培训、应急演</w:t>
            </w:r>
            <w:r>
              <w:rPr>
                <w:rFonts w:hint="eastAsia"/>
                <w:snapToGrid w:val="0"/>
                <w:color w:val="auto"/>
                <w:szCs w:val="21"/>
                <w:lang w:eastAsia="zh-CN"/>
              </w:rPr>
              <w:t>练等</w:t>
            </w:r>
            <w:r>
              <w:rPr>
                <w:snapToGrid w:val="0"/>
                <w:color w:val="auto"/>
                <w:szCs w:val="21"/>
              </w:rPr>
              <w:t>方面与园区风险防控体系进行衔接。根据园区的突发环故应急预案，若本项目事故影响超出厂区范围，应上报上级环境保护局，按照分级响应要求及时启动园区突发环境事件应急预案，开展事故响应，实现厂内与园区环境风险防控设施及管理有效联动，有效防范环境风险。</w:t>
            </w:r>
          </w:p>
          <w:p w14:paraId="0AF97B73">
            <w:pPr>
              <w:shd w:val="clear" w:color="auto" w:fill="FFFFFF"/>
              <w:spacing w:line="500" w:lineRule="exact"/>
              <w:ind w:firstLine="420"/>
              <w:rPr>
                <w:bCs/>
                <w:color w:val="auto"/>
                <w:szCs w:val="21"/>
              </w:rPr>
            </w:pPr>
            <w:r>
              <w:rPr>
                <w:rFonts w:hint="eastAsia"/>
                <w:snapToGrid w:val="0"/>
                <w:color w:val="auto"/>
                <w:kern w:val="0"/>
                <w:szCs w:val="21"/>
              </w:rPr>
              <w:t>⑤</w:t>
            </w:r>
            <w:r>
              <w:rPr>
                <w:bCs/>
                <w:color w:val="auto"/>
                <w:szCs w:val="21"/>
              </w:rPr>
              <w:t>危险废物运输环境风险防范</w:t>
            </w:r>
            <w:r>
              <w:rPr>
                <w:rFonts w:hint="eastAsia"/>
                <w:bCs/>
                <w:color w:val="auto"/>
                <w:szCs w:val="21"/>
              </w:rPr>
              <w:t>措施</w:t>
            </w:r>
          </w:p>
          <w:p w14:paraId="2001938A">
            <w:pPr>
              <w:shd w:val="clear" w:color="auto" w:fill="FFFFFF"/>
              <w:spacing w:line="500" w:lineRule="exact"/>
              <w:ind w:firstLine="420"/>
              <w:rPr>
                <w:bCs/>
                <w:color w:val="auto"/>
                <w:szCs w:val="21"/>
              </w:rPr>
            </w:pPr>
            <w:r>
              <w:rPr>
                <w:bCs/>
                <w:color w:val="auto"/>
                <w:szCs w:val="21"/>
              </w:rPr>
              <w:t>危险废物厂外运输委托具有资质的危险货物运输企业进行承运，并通过交通部门行业监测平台形成托运人运单记录。危险危废承运单位遵守国家和本省有关危险货物运输管理的规定，采取有效防止污染环境的措施确保危险废物道路运输安全、稳定。相关的环境风险防范措施纳入危险废物承运单位的环境管理体系中，不在本次评价范围内。</w:t>
            </w:r>
          </w:p>
          <w:p w14:paraId="5DCA4E06">
            <w:pPr>
              <w:shd w:val="clear" w:color="auto" w:fill="FFFFFF"/>
              <w:spacing w:line="500" w:lineRule="exact"/>
              <w:ind w:firstLine="420"/>
              <w:rPr>
                <w:snapToGrid w:val="0"/>
                <w:color w:val="auto"/>
                <w:kern w:val="0"/>
                <w:szCs w:val="21"/>
              </w:rPr>
            </w:pPr>
            <w:r>
              <w:rPr>
                <w:rFonts w:hint="eastAsia"/>
                <w:snapToGrid w:val="0"/>
                <w:color w:val="auto"/>
                <w:kern w:val="0"/>
                <w:szCs w:val="21"/>
              </w:rPr>
              <w:t>⑥废气防治措</w:t>
            </w:r>
            <w:r>
              <w:rPr>
                <w:rFonts w:hint="eastAsia"/>
                <w:snapToGrid w:val="0"/>
                <w:color w:val="auto"/>
                <w:kern w:val="0"/>
                <w:szCs w:val="21"/>
                <w:lang w:eastAsia="zh-CN"/>
              </w:rPr>
              <w:t>施和</w:t>
            </w:r>
            <w:r>
              <w:rPr>
                <w:rFonts w:hint="eastAsia"/>
                <w:snapToGrid w:val="0"/>
                <w:color w:val="auto"/>
                <w:kern w:val="0"/>
                <w:szCs w:val="21"/>
              </w:rPr>
              <w:t>风险防范措施</w:t>
            </w:r>
          </w:p>
          <w:p w14:paraId="12292992">
            <w:pPr>
              <w:shd w:val="clear" w:color="auto" w:fill="FFFFFF"/>
              <w:spacing w:line="500" w:lineRule="exact"/>
              <w:ind w:firstLine="420"/>
              <w:rPr>
                <w:snapToGrid w:val="0"/>
                <w:color w:val="auto"/>
                <w:kern w:val="0"/>
                <w:szCs w:val="21"/>
              </w:rPr>
            </w:pPr>
            <w:r>
              <w:rPr>
                <w:rFonts w:hint="eastAsia"/>
                <w:snapToGrid w:val="0"/>
                <w:color w:val="auto"/>
                <w:kern w:val="0"/>
                <w:szCs w:val="21"/>
              </w:rPr>
              <w:t>当废气治理设施出现故障，废气未经处理直接排放，将对周围大气环境和敏感点造成一定影响，针对其可能带来的风险，提出以下防范措施和事故应急措施：</w:t>
            </w:r>
          </w:p>
          <w:p w14:paraId="502C7000">
            <w:pPr>
              <w:shd w:val="clear" w:color="auto" w:fill="FFFFFF"/>
              <w:spacing w:line="500" w:lineRule="exact"/>
              <w:ind w:firstLine="420"/>
              <w:rPr>
                <w:snapToGrid w:val="0"/>
                <w:color w:val="auto"/>
                <w:kern w:val="0"/>
                <w:szCs w:val="21"/>
              </w:rPr>
            </w:pPr>
            <w:r>
              <w:rPr>
                <w:rFonts w:hint="eastAsia"/>
                <w:snapToGrid w:val="0"/>
                <w:color w:val="auto"/>
                <w:kern w:val="0"/>
                <w:szCs w:val="21"/>
              </w:rPr>
              <w:t>a、当废气治理设施故障时，工作人员立即停止实验废气产生环节的运行，从源头切断废气来源，防止未经处理的废气继续产生和排放，同时组织相关人员对设施进行抢修或更换，修复并调试正常后方可恢复实验；</w:t>
            </w:r>
          </w:p>
          <w:p w14:paraId="53D17F0C">
            <w:pPr>
              <w:shd w:val="clear" w:color="auto" w:fill="FFFFFF"/>
              <w:spacing w:line="500" w:lineRule="exact"/>
              <w:ind w:firstLine="420"/>
              <w:rPr>
                <w:snapToGrid w:val="0"/>
                <w:color w:val="auto"/>
                <w:kern w:val="0"/>
                <w:szCs w:val="21"/>
              </w:rPr>
            </w:pPr>
            <w:r>
              <w:rPr>
                <w:rFonts w:hint="eastAsia"/>
                <w:snapToGrid w:val="0"/>
                <w:color w:val="auto"/>
                <w:kern w:val="0"/>
                <w:szCs w:val="21"/>
              </w:rPr>
              <w:t>b、对于废气治理设施所有的易损部件等，废气处理设施负责人要及时委托采购人员购买备用件，一旦发生损坏及时更换。</w:t>
            </w:r>
          </w:p>
          <w:p w14:paraId="2BAEA758">
            <w:pPr>
              <w:shd w:val="clear" w:color="auto" w:fill="FFFFFF"/>
              <w:spacing w:line="500" w:lineRule="exact"/>
              <w:ind w:firstLine="420"/>
              <w:rPr>
                <w:color w:val="auto"/>
                <w:szCs w:val="21"/>
              </w:rPr>
            </w:pPr>
            <w:r>
              <w:rPr>
                <w:rFonts w:hint="eastAsia"/>
                <w:color w:val="auto"/>
                <w:szCs w:val="21"/>
              </w:rPr>
              <w:t>⑦应急预案</w:t>
            </w:r>
          </w:p>
          <w:p w14:paraId="504F2F14">
            <w:pPr>
              <w:shd w:val="clear" w:color="auto" w:fill="FFFFFF"/>
              <w:spacing w:line="500" w:lineRule="exact"/>
              <w:ind w:firstLine="420"/>
              <w:rPr>
                <w:snapToGrid w:val="0"/>
                <w:color w:val="auto"/>
                <w:kern w:val="0"/>
                <w:szCs w:val="21"/>
              </w:rPr>
            </w:pPr>
            <w:r>
              <w:rPr>
                <w:rFonts w:hint="eastAsia"/>
                <w:snapToGrid w:val="0"/>
                <w:color w:val="auto"/>
                <w:kern w:val="0"/>
                <w:szCs w:val="21"/>
              </w:rPr>
              <w:t>建议根据《江苏省突发环境事件应急预案管理办法》（苏环发〔2023〕7号）、《企业事业单位突发环境事件应急预案备案管理办法（试行）》（环发〔2015〕4号）、《企事业单位和工业园区突发环境事件应急预案编制导则》（DB32/T3795-2020）等文件的要求及企业实际情况定期更新修订应急预案。应充分利用区域安全、环境保护等资源，不断完善应急救援体系，确保应急预案具有针对性和可操作性，在修订过程中注意企业应急预案与上级应急预案相衔接，将区域内可供应急使用的物资统计清楚，并保存相应负责人的联系方式，一旦发生事故，机动调配外界可供使用的应急物资，在最短时间内控制事故，减小环境影响。</w:t>
            </w:r>
          </w:p>
          <w:p w14:paraId="22E84E79">
            <w:pPr>
              <w:spacing w:line="500" w:lineRule="exact"/>
              <w:ind w:firstLine="420"/>
              <w:rPr>
                <w:color w:val="auto"/>
                <w:szCs w:val="21"/>
              </w:rPr>
            </w:pPr>
            <w:r>
              <w:rPr>
                <w:rFonts w:hint="eastAsia"/>
                <w:color w:val="auto"/>
                <w:szCs w:val="21"/>
              </w:rPr>
              <w:t>本项目环境风险简单分析内容见下表。</w:t>
            </w:r>
          </w:p>
          <w:p w14:paraId="45174C07">
            <w:pPr>
              <w:snapToGrid w:val="0"/>
              <w:spacing w:line="500" w:lineRule="exact"/>
              <w:jc w:val="center"/>
              <w:rPr>
                <w:b/>
                <w:color w:val="auto"/>
                <w:szCs w:val="21"/>
              </w:rPr>
            </w:pPr>
            <w:r>
              <w:rPr>
                <w:rFonts w:hint="eastAsia"/>
                <w:b/>
                <w:color w:val="auto"/>
                <w:szCs w:val="21"/>
              </w:rPr>
              <w:t>表</w:t>
            </w:r>
            <w:r>
              <w:rPr>
                <w:b/>
                <w:color w:val="auto"/>
                <w:szCs w:val="21"/>
              </w:rPr>
              <w:t>4</w:t>
            </w:r>
            <w:r>
              <w:rPr>
                <w:rFonts w:hint="eastAsia"/>
                <w:b/>
                <w:color w:val="auto"/>
                <w:szCs w:val="21"/>
              </w:rPr>
              <w:t>-</w:t>
            </w:r>
            <w:r>
              <w:rPr>
                <w:b/>
                <w:color w:val="auto"/>
                <w:szCs w:val="21"/>
              </w:rPr>
              <w:t>1</w:t>
            </w:r>
            <w:r>
              <w:rPr>
                <w:rFonts w:hint="eastAsia"/>
                <w:b/>
                <w:color w:val="auto"/>
                <w:szCs w:val="21"/>
              </w:rPr>
              <w:t>5</w:t>
            </w:r>
            <w:r>
              <w:rPr>
                <w:b/>
                <w:color w:val="auto"/>
                <w:szCs w:val="21"/>
              </w:rPr>
              <w:t xml:space="preserve"> </w:t>
            </w:r>
            <w:r>
              <w:rPr>
                <w:rFonts w:hint="eastAsia"/>
                <w:b/>
                <w:color w:val="auto"/>
                <w:szCs w:val="21"/>
              </w:rPr>
              <w:t>建设项目环境风险简单分析内容表</w:t>
            </w:r>
          </w:p>
          <w:tbl>
            <w:tblPr>
              <w:tblStyle w:val="21"/>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661"/>
              <w:gridCol w:w="6908"/>
            </w:tblGrid>
            <w:tr w14:paraId="64B914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9" w:type="pct"/>
                  <w:vAlign w:val="center"/>
                </w:tcPr>
                <w:p w14:paraId="29CC7ABE">
                  <w:pPr>
                    <w:pStyle w:val="49"/>
                    <w:jc w:val="center"/>
                    <w:rPr>
                      <w:color w:val="auto"/>
                      <w:sz w:val="18"/>
                      <w:szCs w:val="18"/>
                    </w:rPr>
                  </w:pPr>
                  <w:r>
                    <w:rPr>
                      <w:color w:val="auto"/>
                      <w:sz w:val="18"/>
                      <w:szCs w:val="18"/>
                    </w:rPr>
                    <w:t>建设项目名称</w:t>
                  </w:r>
                </w:p>
              </w:tc>
              <w:tc>
                <w:tcPr>
                  <w:tcW w:w="4030" w:type="pct"/>
                  <w:vAlign w:val="center"/>
                </w:tcPr>
                <w:p w14:paraId="248D8877">
                  <w:pPr>
                    <w:pStyle w:val="49"/>
                    <w:jc w:val="center"/>
                    <w:rPr>
                      <w:color w:val="auto"/>
                      <w:sz w:val="18"/>
                      <w:szCs w:val="18"/>
                    </w:rPr>
                  </w:pPr>
                  <w:r>
                    <w:rPr>
                      <w:color w:val="auto"/>
                      <w:sz w:val="18"/>
                      <w:szCs w:val="18"/>
                    </w:rPr>
                    <w:t>瑞兆科品控洁净实验室项目</w:t>
                  </w:r>
                </w:p>
              </w:tc>
            </w:tr>
            <w:tr w14:paraId="674DF9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969" w:type="pct"/>
                  <w:vAlign w:val="center"/>
                </w:tcPr>
                <w:p w14:paraId="2B6662D5">
                  <w:pPr>
                    <w:pStyle w:val="49"/>
                    <w:jc w:val="center"/>
                    <w:rPr>
                      <w:color w:val="auto"/>
                      <w:sz w:val="18"/>
                      <w:szCs w:val="18"/>
                    </w:rPr>
                  </w:pPr>
                  <w:r>
                    <w:rPr>
                      <w:color w:val="auto"/>
                      <w:sz w:val="18"/>
                      <w:szCs w:val="18"/>
                    </w:rPr>
                    <w:t>建设地点</w:t>
                  </w:r>
                </w:p>
              </w:tc>
              <w:tc>
                <w:tcPr>
                  <w:tcW w:w="4030" w:type="pct"/>
                  <w:vAlign w:val="center"/>
                </w:tcPr>
                <w:p w14:paraId="11EA5F12">
                  <w:pPr>
                    <w:pStyle w:val="49"/>
                    <w:jc w:val="center"/>
                    <w:rPr>
                      <w:color w:val="auto"/>
                      <w:sz w:val="18"/>
                      <w:szCs w:val="18"/>
                    </w:rPr>
                  </w:pPr>
                  <w:r>
                    <w:rPr>
                      <w:color w:val="auto"/>
                      <w:sz w:val="18"/>
                      <w:szCs w:val="18"/>
                    </w:rPr>
                    <w:t>连云港市国家东中西区域合作示范区江苏瑞兆科电子材料有限公司质检及车间管理楼三楼</w:t>
                  </w:r>
                </w:p>
              </w:tc>
            </w:tr>
            <w:tr w14:paraId="42B9E4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9" w:type="pct"/>
                  <w:vAlign w:val="center"/>
                </w:tcPr>
                <w:p w14:paraId="3560D410">
                  <w:pPr>
                    <w:pStyle w:val="49"/>
                    <w:jc w:val="center"/>
                    <w:rPr>
                      <w:color w:val="auto"/>
                      <w:sz w:val="18"/>
                      <w:szCs w:val="18"/>
                    </w:rPr>
                  </w:pPr>
                  <w:r>
                    <w:rPr>
                      <w:color w:val="auto"/>
                      <w:sz w:val="18"/>
                      <w:szCs w:val="18"/>
                    </w:rPr>
                    <w:t>地理坐标</w:t>
                  </w:r>
                </w:p>
              </w:tc>
              <w:tc>
                <w:tcPr>
                  <w:tcW w:w="4030" w:type="pct"/>
                  <w:vAlign w:val="center"/>
                </w:tcPr>
                <w:p w14:paraId="5EB43749">
                  <w:pPr>
                    <w:pStyle w:val="49"/>
                    <w:jc w:val="center"/>
                    <w:rPr>
                      <w:color w:val="auto"/>
                      <w:sz w:val="18"/>
                      <w:szCs w:val="18"/>
                    </w:rPr>
                  </w:pPr>
                  <w:r>
                    <w:rPr>
                      <w:color w:val="auto"/>
                      <w:sz w:val="18"/>
                      <w:szCs w:val="18"/>
                    </w:rPr>
                    <w:t>东经119度38分22.240秒，北纬34度32分31.006秒</w:t>
                  </w:r>
                </w:p>
              </w:tc>
            </w:tr>
            <w:tr w14:paraId="236CEB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9" w:type="pct"/>
                  <w:vAlign w:val="center"/>
                </w:tcPr>
                <w:p w14:paraId="7086B608">
                  <w:pPr>
                    <w:pStyle w:val="49"/>
                    <w:jc w:val="center"/>
                    <w:rPr>
                      <w:color w:val="auto"/>
                      <w:sz w:val="18"/>
                      <w:szCs w:val="18"/>
                    </w:rPr>
                  </w:pPr>
                  <w:r>
                    <w:rPr>
                      <w:color w:val="auto"/>
                      <w:sz w:val="18"/>
                      <w:szCs w:val="18"/>
                    </w:rPr>
                    <w:t>主要危险物质及分布</w:t>
                  </w:r>
                </w:p>
              </w:tc>
              <w:tc>
                <w:tcPr>
                  <w:tcW w:w="4030" w:type="pct"/>
                  <w:vAlign w:val="center"/>
                </w:tcPr>
                <w:p w14:paraId="7B025467">
                  <w:pPr>
                    <w:pStyle w:val="49"/>
                    <w:jc w:val="center"/>
                    <w:rPr>
                      <w:color w:val="auto"/>
                      <w:sz w:val="18"/>
                      <w:szCs w:val="18"/>
                    </w:rPr>
                  </w:pPr>
                  <w:r>
                    <w:rPr>
                      <w:color w:val="auto"/>
                      <w:sz w:val="18"/>
                      <w:szCs w:val="18"/>
                    </w:rPr>
                    <w:t>甲醇、乙酸、硫酸、硝酸、氨水、</w:t>
                  </w:r>
                  <w:r>
                    <w:rPr>
                      <w:rFonts w:hint="eastAsia"/>
                      <w:color w:val="auto"/>
                      <w:sz w:val="18"/>
                      <w:szCs w:val="18"/>
                      <w:lang w:val="en-US" w:eastAsia="zh-CN"/>
                    </w:rPr>
                    <w:t>四氯化碳、</w:t>
                  </w:r>
                  <w:r>
                    <w:rPr>
                      <w:color w:val="auto"/>
                      <w:sz w:val="18"/>
                      <w:szCs w:val="18"/>
                    </w:rPr>
                    <w:t>危废等</w:t>
                  </w:r>
                </w:p>
              </w:tc>
            </w:tr>
            <w:tr w14:paraId="2A9A43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9" w:type="pct"/>
                  <w:vAlign w:val="center"/>
                </w:tcPr>
                <w:p w14:paraId="2488FAFF">
                  <w:pPr>
                    <w:pStyle w:val="49"/>
                    <w:jc w:val="center"/>
                    <w:rPr>
                      <w:color w:val="auto"/>
                      <w:sz w:val="18"/>
                      <w:szCs w:val="18"/>
                    </w:rPr>
                  </w:pPr>
                  <w:r>
                    <w:rPr>
                      <w:color w:val="auto"/>
                      <w:sz w:val="18"/>
                      <w:szCs w:val="18"/>
                    </w:rPr>
                    <w:t>环境影响途径及危害后果（大气、地表水、地下水等）</w:t>
                  </w:r>
                </w:p>
              </w:tc>
              <w:tc>
                <w:tcPr>
                  <w:tcW w:w="4030" w:type="pct"/>
                  <w:vAlign w:val="center"/>
                </w:tcPr>
                <w:p w14:paraId="3611C3D5">
                  <w:pPr>
                    <w:pStyle w:val="49"/>
                    <w:jc w:val="center"/>
                    <w:rPr>
                      <w:color w:val="auto"/>
                      <w:sz w:val="18"/>
                      <w:szCs w:val="18"/>
                    </w:rPr>
                  </w:pPr>
                  <w:r>
                    <w:rPr>
                      <w:color w:val="auto"/>
                      <w:sz w:val="18"/>
                      <w:szCs w:val="18"/>
                    </w:rPr>
                    <w:t>本项目涉及的主要风险物质为试验用液态试剂、溶剂等。液态物料可能会</w:t>
                  </w:r>
                  <w:r>
                    <w:rPr>
                      <w:rFonts w:hint="eastAsia"/>
                      <w:color w:val="auto"/>
                      <w:sz w:val="18"/>
                      <w:szCs w:val="18"/>
                      <w:lang w:eastAsia="zh-CN"/>
                    </w:rPr>
                    <w:t>发生</w:t>
                  </w:r>
                  <w:r>
                    <w:rPr>
                      <w:color w:val="auto"/>
                      <w:sz w:val="18"/>
                      <w:szCs w:val="18"/>
                    </w:rPr>
                    <w:t>泄漏，造成环境污染。如发生泄漏事故，泄漏废液、消防废水等如拦截不当则可能会进入周围水环境中，会导致受纳水体环境中相应污染物浓度增高，造成水环境质量污染。</w:t>
                  </w:r>
                </w:p>
                <w:p w14:paraId="629288E2">
                  <w:pPr>
                    <w:pStyle w:val="49"/>
                    <w:jc w:val="center"/>
                    <w:rPr>
                      <w:color w:val="auto"/>
                      <w:sz w:val="18"/>
                      <w:szCs w:val="18"/>
                    </w:rPr>
                  </w:pPr>
                  <w:r>
                    <w:rPr>
                      <w:color w:val="auto"/>
                      <w:sz w:val="18"/>
                      <w:szCs w:val="18"/>
                    </w:rPr>
                    <w:t>项目依托的危废仓库已采取防渗措施，对地下水、土壤环境风险影响较小。</w:t>
                  </w:r>
                </w:p>
              </w:tc>
            </w:tr>
            <w:tr w14:paraId="22F8A0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9" w:type="pct"/>
                  <w:vAlign w:val="center"/>
                </w:tcPr>
                <w:p w14:paraId="7B17D50C">
                  <w:pPr>
                    <w:pStyle w:val="49"/>
                    <w:jc w:val="center"/>
                    <w:rPr>
                      <w:color w:val="auto"/>
                      <w:sz w:val="18"/>
                      <w:szCs w:val="18"/>
                    </w:rPr>
                  </w:pPr>
                  <w:r>
                    <w:rPr>
                      <w:color w:val="auto"/>
                      <w:sz w:val="18"/>
                      <w:szCs w:val="18"/>
                    </w:rPr>
                    <w:t>风险防范措施要求</w:t>
                  </w:r>
                </w:p>
              </w:tc>
              <w:tc>
                <w:tcPr>
                  <w:tcW w:w="4030" w:type="pct"/>
                  <w:vAlign w:val="center"/>
                </w:tcPr>
                <w:p w14:paraId="5C553461">
                  <w:pPr>
                    <w:pStyle w:val="49"/>
                    <w:jc w:val="center"/>
                    <w:rPr>
                      <w:color w:val="auto"/>
                      <w:sz w:val="18"/>
                      <w:szCs w:val="18"/>
                    </w:rPr>
                  </w:pPr>
                  <w:r>
                    <w:rPr>
                      <w:color w:val="auto"/>
                      <w:sz w:val="18"/>
                      <w:szCs w:val="18"/>
                    </w:rPr>
                    <w:t>1、采用专用容器密闭包装，专用车辆运输</w:t>
                  </w:r>
                </w:p>
                <w:p w14:paraId="4BC7535D">
                  <w:pPr>
                    <w:pStyle w:val="49"/>
                    <w:jc w:val="center"/>
                    <w:rPr>
                      <w:color w:val="auto"/>
                      <w:sz w:val="18"/>
                      <w:szCs w:val="18"/>
                    </w:rPr>
                  </w:pPr>
                  <w:r>
                    <w:rPr>
                      <w:color w:val="auto"/>
                      <w:sz w:val="18"/>
                      <w:szCs w:val="18"/>
                    </w:rPr>
                    <w:t>2、加强对危险化学品的管理；制定危险化学品安全操作规程</w:t>
                  </w:r>
                </w:p>
                <w:p w14:paraId="38D606BB">
                  <w:pPr>
                    <w:pStyle w:val="49"/>
                    <w:jc w:val="center"/>
                    <w:rPr>
                      <w:color w:val="auto"/>
                      <w:sz w:val="18"/>
                      <w:szCs w:val="18"/>
                    </w:rPr>
                  </w:pPr>
                  <w:r>
                    <w:rPr>
                      <w:color w:val="auto"/>
                      <w:sz w:val="18"/>
                      <w:szCs w:val="18"/>
                    </w:rPr>
                    <w:t>3、危险废物暂存场所严格按照国家标准和规范进行设置</w:t>
                  </w:r>
                </w:p>
                <w:p w14:paraId="05CCF5A6">
                  <w:pPr>
                    <w:pStyle w:val="49"/>
                    <w:jc w:val="center"/>
                    <w:rPr>
                      <w:color w:val="auto"/>
                      <w:sz w:val="18"/>
                      <w:szCs w:val="18"/>
                    </w:rPr>
                  </w:pPr>
                  <w:r>
                    <w:rPr>
                      <w:color w:val="auto"/>
                      <w:sz w:val="18"/>
                      <w:szCs w:val="18"/>
                    </w:rPr>
                    <w:t>4、配置合格的防毒器材、消防器材</w:t>
                  </w:r>
                </w:p>
              </w:tc>
            </w:tr>
            <w:tr w14:paraId="21AFFE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2"/>
                  <w:vAlign w:val="center"/>
                </w:tcPr>
                <w:p w14:paraId="348603F1">
                  <w:pPr>
                    <w:pStyle w:val="49"/>
                    <w:jc w:val="center"/>
                    <w:rPr>
                      <w:color w:val="auto"/>
                      <w:sz w:val="18"/>
                      <w:szCs w:val="18"/>
                    </w:rPr>
                  </w:pPr>
                  <w:r>
                    <w:rPr>
                      <w:color w:val="auto"/>
                      <w:sz w:val="18"/>
                      <w:szCs w:val="18"/>
                    </w:rPr>
                    <w:t>做好相应的风险防范措施的前提下，本项目风险可防控。</w:t>
                  </w:r>
                </w:p>
              </w:tc>
            </w:tr>
          </w:tbl>
          <w:p w14:paraId="37285A8B">
            <w:pPr>
              <w:adjustRightInd w:val="0"/>
              <w:snapToGrid w:val="0"/>
              <w:spacing w:line="500" w:lineRule="exact"/>
              <w:ind w:firstLine="422" w:firstLineChars="200"/>
              <w:rPr>
                <w:b/>
                <w:color w:val="auto"/>
                <w:szCs w:val="21"/>
              </w:rPr>
            </w:pPr>
            <w:r>
              <w:rPr>
                <w:b/>
                <w:color w:val="auto"/>
                <w:szCs w:val="21"/>
              </w:rPr>
              <w:t>7、环境管理</w:t>
            </w:r>
          </w:p>
          <w:p w14:paraId="22264F2E">
            <w:pPr>
              <w:spacing w:line="500" w:lineRule="exact"/>
              <w:ind w:firstLine="420"/>
              <w:rPr>
                <w:color w:val="auto"/>
                <w:szCs w:val="21"/>
              </w:rPr>
            </w:pPr>
            <w:r>
              <w:rPr>
                <w:rFonts w:hint="eastAsia"/>
                <w:color w:val="auto"/>
                <w:szCs w:val="21"/>
              </w:rPr>
              <w:t>①</w:t>
            </w:r>
            <w:r>
              <w:rPr>
                <w:color w:val="auto"/>
                <w:szCs w:val="21"/>
              </w:rPr>
              <w:t>严格执行“三同时”制度</w:t>
            </w:r>
          </w:p>
          <w:p w14:paraId="32B85288">
            <w:pPr>
              <w:spacing w:line="500" w:lineRule="exact"/>
              <w:ind w:firstLine="420"/>
              <w:rPr>
                <w:color w:val="auto"/>
                <w:szCs w:val="21"/>
              </w:rPr>
            </w:pPr>
            <w:r>
              <w:rPr>
                <w:color w:val="auto"/>
                <w:szCs w:val="21"/>
              </w:rPr>
              <w:t>在项目筹备、设计和施工建设不同阶段，均应严格执行“三同时”制度，确保污染处理设施能够与生产工艺设施“</w:t>
            </w:r>
            <w:r>
              <w:rPr>
                <w:rFonts w:hint="eastAsia"/>
                <w:color w:val="auto"/>
                <w:szCs w:val="21"/>
              </w:rPr>
              <w:t>同时设计、同时施工、同时投产使用</w:t>
            </w:r>
            <w:r>
              <w:rPr>
                <w:color w:val="auto"/>
                <w:szCs w:val="21"/>
              </w:rPr>
              <w:t>”。</w:t>
            </w:r>
          </w:p>
          <w:p w14:paraId="6442F56F">
            <w:pPr>
              <w:spacing w:line="500" w:lineRule="exact"/>
              <w:ind w:firstLine="420"/>
              <w:rPr>
                <w:color w:val="auto"/>
                <w:szCs w:val="21"/>
              </w:rPr>
            </w:pPr>
            <w:r>
              <w:rPr>
                <w:rFonts w:hint="eastAsia"/>
                <w:color w:val="auto"/>
                <w:szCs w:val="21"/>
              </w:rPr>
              <w:t>②</w:t>
            </w:r>
            <w:r>
              <w:rPr>
                <w:color w:val="auto"/>
                <w:szCs w:val="21"/>
              </w:rPr>
              <w:t>建立环境报告制度</w:t>
            </w:r>
          </w:p>
          <w:p w14:paraId="77CE8ED8">
            <w:pPr>
              <w:spacing w:line="500" w:lineRule="exact"/>
              <w:ind w:firstLine="420"/>
              <w:rPr>
                <w:color w:val="auto"/>
                <w:szCs w:val="21"/>
              </w:rPr>
            </w:pPr>
            <w:r>
              <w:rPr>
                <w:color w:val="auto"/>
                <w:szCs w:val="21"/>
              </w:rPr>
              <w:t>应按有关法规的要求，严格执行排污申报制度；此外，在项目工程排污发生重大变化、污染治理设施发生重大改变或拟实施新、改、扩建项目时必须及时向相关环保行政主管部门申报。</w:t>
            </w:r>
          </w:p>
          <w:p w14:paraId="4A4AE769">
            <w:pPr>
              <w:spacing w:line="500" w:lineRule="exact"/>
              <w:ind w:firstLine="420"/>
              <w:rPr>
                <w:color w:val="auto"/>
                <w:szCs w:val="21"/>
              </w:rPr>
            </w:pPr>
            <w:r>
              <w:rPr>
                <w:rFonts w:hint="eastAsia"/>
                <w:color w:val="auto"/>
                <w:szCs w:val="21"/>
              </w:rPr>
              <w:t>③</w:t>
            </w:r>
            <w:r>
              <w:rPr>
                <w:color w:val="auto"/>
                <w:szCs w:val="21"/>
              </w:rPr>
              <w:t>健全污染治理设施管理制度</w:t>
            </w:r>
          </w:p>
          <w:p w14:paraId="369C7333">
            <w:pPr>
              <w:spacing w:line="500" w:lineRule="exact"/>
              <w:ind w:firstLine="420"/>
              <w:rPr>
                <w:color w:val="auto"/>
                <w:szCs w:val="21"/>
              </w:rPr>
            </w:pPr>
            <w:r>
              <w:rPr>
                <w:color w:val="auto"/>
                <w:szCs w:val="21"/>
              </w:rPr>
              <w:t>建立健全污染治理设施的运行、检修、维护保养的作业规程和管理制度，将污染治理设施的管理与生产经营管理一同纳入公司日常管理工作的范畴，落实责任人，建立</w:t>
            </w:r>
            <w:r>
              <w:rPr>
                <w:rFonts w:hint="eastAsia"/>
                <w:color w:val="auto"/>
                <w:szCs w:val="21"/>
                <w:lang w:eastAsia="zh-CN"/>
              </w:rPr>
              <w:t>管理台账</w:t>
            </w:r>
            <w:r>
              <w:rPr>
                <w:color w:val="auto"/>
                <w:szCs w:val="21"/>
              </w:rPr>
              <w:t>。避免擅自拆除或闲置现有的污染处理设施现象的发生，严禁故意不正常使用污染处理设施。</w:t>
            </w:r>
          </w:p>
          <w:p w14:paraId="2AFC2D04">
            <w:pPr>
              <w:spacing w:line="500" w:lineRule="exact"/>
              <w:ind w:firstLine="420"/>
              <w:rPr>
                <w:color w:val="auto"/>
                <w:szCs w:val="21"/>
              </w:rPr>
            </w:pPr>
            <w:r>
              <w:rPr>
                <w:rFonts w:hint="eastAsia"/>
                <w:color w:val="auto"/>
                <w:szCs w:val="21"/>
              </w:rPr>
              <w:t>④</w:t>
            </w:r>
            <w:r>
              <w:rPr>
                <w:color w:val="auto"/>
                <w:szCs w:val="21"/>
              </w:rPr>
              <w:t>建立环境目标管理责任制和奖惩条例</w:t>
            </w:r>
          </w:p>
          <w:p w14:paraId="2757C2DA">
            <w:pPr>
              <w:spacing w:line="500" w:lineRule="exact"/>
              <w:ind w:firstLine="420"/>
              <w:rPr>
                <w:color w:val="auto"/>
                <w:szCs w:val="21"/>
              </w:rPr>
            </w:pPr>
            <w:r>
              <w:rPr>
                <w:color w:val="auto"/>
                <w:szCs w:val="21"/>
              </w:rPr>
              <w:t>建立并实施各级人员的环境目标管理责任制，把环境目标责任完成情况与奖惩制度结合起来。设置环境保护奖惩条例，对爱护环保设施、节能降耗、减少污染物排放、改善环境绩效者给予适当的奖励；对环保观念淡薄，不按环保要求管理和操作，造成环保设施非正常损坏、发生污染事故以及浪费资源者予以相应的处罚。在公司内部形成注重环境管理，持续改进环境绩效的氛围。</w:t>
            </w:r>
          </w:p>
          <w:p w14:paraId="6CDAFB36">
            <w:pPr>
              <w:adjustRightInd w:val="0"/>
              <w:snapToGrid w:val="0"/>
              <w:spacing w:line="500" w:lineRule="exact"/>
              <w:ind w:firstLine="422" w:firstLineChars="200"/>
              <w:rPr>
                <w:b/>
                <w:color w:val="auto"/>
                <w:szCs w:val="21"/>
              </w:rPr>
            </w:pPr>
            <w:r>
              <w:rPr>
                <w:b/>
                <w:color w:val="auto"/>
                <w:szCs w:val="21"/>
              </w:rPr>
              <w:t>8、监测计划</w:t>
            </w:r>
          </w:p>
          <w:p w14:paraId="27E4348A">
            <w:pPr>
              <w:spacing w:line="500" w:lineRule="exact"/>
              <w:ind w:firstLine="420"/>
              <w:rPr>
                <w:color w:val="auto"/>
                <w:szCs w:val="21"/>
              </w:rPr>
            </w:pPr>
            <w:r>
              <w:rPr>
                <w:rFonts w:hint="eastAsia"/>
                <w:color w:val="auto"/>
                <w:szCs w:val="21"/>
              </w:rPr>
              <w:t>根据《江苏省排污口设置及规范化整治管理办法》（苏环控(97)122号文）的要求设置与管理排污口。在排污口附近醒目处按规定设置环保标志牌，排污口的设置要合理，便于采集监测样品、便于监测计量、便于公众参与和监督管理</w:t>
            </w:r>
            <w:r>
              <w:rPr>
                <w:color w:val="auto"/>
                <w:szCs w:val="21"/>
              </w:rPr>
              <w:t>。</w:t>
            </w:r>
          </w:p>
          <w:p w14:paraId="78C05797">
            <w:pPr>
              <w:spacing w:line="500" w:lineRule="exact"/>
              <w:ind w:firstLine="420"/>
              <w:rPr>
                <w:color w:val="auto"/>
                <w:szCs w:val="21"/>
              </w:rPr>
            </w:pPr>
            <w:r>
              <w:rPr>
                <w:rFonts w:hint="eastAsia"/>
                <w:color w:val="auto"/>
                <w:szCs w:val="21"/>
              </w:rPr>
              <w:t>（1）监测机构</w:t>
            </w:r>
          </w:p>
          <w:p w14:paraId="05ED244F">
            <w:pPr>
              <w:spacing w:line="500" w:lineRule="exact"/>
              <w:ind w:firstLine="420"/>
              <w:rPr>
                <w:color w:val="auto"/>
                <w:szCs w:val="21"/>
              </w:rPr>
            </w:pPr>
            <w:r>
              <w:rPr>
                <w:rFonts w:hint="eastAsia"/>
                <w:color w:val="auto"/>
                <w:szCs w:val="21"/>
              </w:rPr>
              <w:t>营运期的监测工作可委托有资质的第三方环境监测机构承担。</w:t>
            </w:r>
          </w:p>
          <w:p w14:paraId="7596A644">
            <w:pPr>
              <w:spacing w:line="500" w:lineRule="exact"/>
              <w:ind w:firstLine="420"/>
              <w:rPr>
                <w:color w:val="auto"/>
                <w:szCs w:val="21"/>
              </w:rPr>
            </w:pPr>
            <w:r>
              <w:rPr>
                <w:rFonts w:hint="eastAsia"/>
                <w:color w:val="auto"/>
                <w:szCs w:val="21"/>
              </w:rPr>
              <w:t>（2）营运期监测计划</w:t>
            </w:r>
          </w:p>
          <w:p w14:paraId="2F75680E">
            <w:pPr>
              <w:spacing w:line="500" w:lineRule="exact"/>
              <w:ind w:firstLine="420"/>
              <w:rPr>
                <w:color w:val="auto"/>
                <w:szCs w:val="21"/>
              </w:rPr>
            </w:pPr>
            <w:r>
              <w:rPr>
                <w:rFonts w:hint="eastAsia"/>
                <w:color w:val="auto"/>
                <w:szCs w:val="21"/>
              </w:rPr>
              <w:t>根据</w:t>
            </w:r>
            <w:bookmarkStart w:id="17" w:name="_Hlk235718609"/>
            <w:r>
              <w:rPr>
                <w:rFonts w:hint="eastAsia"/>
                <w:color w:val="auto"/>
                <w:szCs w:val="21"/>
              </w:rPr>
              <w:t>《排污单位自行监测技术指南 总则》（HJ819-2017）、</w:t>
            </w:r>
            <w:r>
              <w:rPr>
                <w:color w:val="auto"/>
              </w:rPr>
              <w:t xml:space="preserve">《排污单位自行监测技术指南 </w:t>
            </w:r>
            <w:r>
              <w:rPr>
                <w:rFonts w:hint="eastAsia"/>
                <w:color w:val="auto"/>
              </w:rPr>
              <w:t>石油化学工业</w:t>
            </w:r>
            <w:r>
              <w:rPr>
                <w:color w:val="auto"/>
              </w:rPr>
              <w:t>》（HJ</w:t>
            </w:r>
            <w:r>
              <w:rPr>
                <w:rFonts w:hint="eastAsia"/>
                <w:color w:val="auto"/>
              </w:rPr>
              <w:t xml:space="preserve"> 947</w:t>
            </w:r>
            <w:r>
              <w:rPr>
                <w:color w:val="auto"/>
              </w:rPr>
              <w:t>-20</w:t>
            </w:r>
            <w:r>
              <w:rPr>
                <w:rFonts w:hint="eastAsia"/>
                <w:color w:val="auto"/>
              </w:rPr>
              <w:t>18</w:t>
            </w:r>
            <w:r>
              <w:rPr>
                <w:color w:val="auto"/>
              </w:rPr>
              <w:t>）</w:t>
            </w:r>
            <w:bookmarkEnd w:id="17"/>
            <w:r>
              <w:rPr>
                <w:rFonts w:hint="eastAsia"/>
                <w:color w:val="auto"/>
                <w:szCs w:val="21"/>
              </w:rPr>
              <w:t>，建设单位定期委托有资质的检（监）测机构代其开展自行监测，根据监测结果编写自行监测年度报告并上报当地环境保护主管部门。本项目监测计划如下：</w:t>
            </w:r>
          </w:p>
          <w:p w14:paraId="2D00101F">
            <w:pPr>
              <w:snapToGrid w:val="0"/>
              <w:spacing w:line="500" w:lineRule="exact"/>
              <w:jc w:val="center"/>
              <w:rPr>
                <w:b/>
                <w:color w:val="auto"/>
                <w:szCs w:val="21"/>
              </w:rPr>
            </w:pPr>
            <w:r>
              <w:rPr>
                <w:b/>
                <w:color w:val="auto"/>
                <w:szCs w:val="21"/>
              </w:rPr>
              <w:t>表4-1</w:t>
            </w:r>
            <w:r>
              <w:rPr>
                <w:rFonts w:hint="eastAsia"/>
                <w:b/>
                <w:color w:val="auto"/>
                <w:szCs w:val="21"/>
              </w:rPr>
              <w:t>6</w:t>
            </w:r>
            <w:r>
              <w:rPr>
                <w:b/>
                <w:color w:val="auto"/>
                <w:szCs w:val="21"/>
              </w:rPr>
              <w:t xml:space="preserve"> </w:t>
            </w:r>
            <w:r>
              <w:rPr>
                <w:rFonts w:hint="eastAsia"/>
                <w:b/>
                <w:color w:val="auto"/>
                <w:szCs w:val="21"/>
              </w:rPr>
              <w:t>本项目运营期</w:t>
            </w:r>
            <w:r>
              <w:rPr>
                <w:b/>
                <w:color w:val="auto"/>
                <w:szCs w:val="21"/>
              </w:rPr>
              <w:t>环境监测计划一览表</w:t>
            </w:r>
          </w:p>
          <w:tbl>
            <w:tblPr>
              <w:tblStyle w:val="21"/>
              <w:tblW w:w="4998" w:type="pct"/>
              <w:tblInd w:w="0" w:type="dxa"/>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autofit"/>
              <w:tblCellMar>
                <w:top w:w="57" w:type="dxa"/>
                <w:left w:w="108" w:type="dxa"/>
                <w:bottom w:w="57" w:type="dxa"/>
                <w:right w:w="108" w:type="dxa"/>
              </w:tblCellMar>
            </w:tblPr>
            <w:tblGrid>
              <w:gridCol w:w="408"/>
              <w:gridCol w:w="1637"/>
              <w:gridCol w:w="855"/>
              <w:gridCol w:w="2319"/>
              <w:gridCol w:w="1217"/>
              <w:gridCol w:w="2130"/>
            </w:tblGrid>
            <w:tr w14:paraId="5FAA460D">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57" w:type="dxa"/>
                  <w:left w:w="108" w:type="dxa"/>
                  <w:bottom w:w="57" w:type="dxa"/>
                  <w:right w:w="108" w:type="dxa"/>
                </w:tblCellMar>
              </w:tblPrEx>
              <w:trPr>
                <w:trHeight w:val="170" w:hRule="atLeast"/>
              </w:trPr>
              <w:tc>
                <w:tcPr>
                  <w:tcW w:w="238" w:type="pct"/>
                  <w:vAlign w:val="center"/>
                </w:tcPr>
                <w:p w14:paraId="76773C11">
                  <w:pPr>
                    <w:widowControl/>
                    <w:jc w:val="center"/>
                    <w:rPr>
                      <w:b/>
                      <w:color w:val="auto"/>
                      <w:kern w:val="0"/>
                      <w:sz w:val="18"/>
                      <w:szCs w:val="18"/>
                    </w:rPr>
                  </w:pPr>
                </w:p>
              </w:tc>
              <w:tc>
                <w:tcPr>
                  <w:tcW w:w="955" w:type="pct"/>
                  <w:vAlign w:val="center"/>
                </w:tcPr>
                <w:p w14:paraId="57484AF7">
                  <w:pPr>
                    <w:widowControl/>
                    <w:jc w:val="center"/>
                    <w:rPr>
                      <w:b/>
                      <w:color w:val="auto"/>
                      <w:kern w:val="0"/>
                      <w:sz w:val="18"/>
                      <w:szCs w:val="18"/>
                    </w:rPr>
                  </w:pPr>
                </w:p>
              </w:tc>
              <w:tc>
                <w:tcPr>
                  <w:tcW w:w="499" w:type="pct"/>
                  <w:vAlign w:val="center"/>
                </w:tcPr>
                <w:p w14:paraId="18AD7CE1">
                  <w:pPr>
                    <w:widowControl/>
                    <w:jc w:val="center"/>
                    <w:rPr>
                      <w:b/>
                      <w:color w:val="auto"/>
                      <w:kern w:val="0"/>
                      <w:sz w:val="18"/>
                      <w:szCs w:val="18"/>
                    </w:rPr>
                  </w:pPr>
                </w:p>
              </w:tc>
              <w:tc>
                <w:tcPr>
                  <w:tcW w:w="1353" w:type="pct"/>
                  <w:vAlign w:val="center"/>
                </w:tcPr>
                <w:p w14:paraId="0104839C">
                  <w:pPr>
                    <w:widowControl/>
                    <w:jc w:val="center"/>
                    <w:rPr>
                      <w:b/>
                      <w:color w:val="auto"/>
                      <w:kern w:val="0"/>
                      <w:sz w:val="18"/>
                      <w:szCs w:val="18"/>
                      <w:highlight w:val="none"/>
                    </w:rPr>
                  </w:pPr>
                </w:p>
              </w:tc>
              <w:tc>
                <w:tcPr>
                  <w:tcW w:w="710" w:type="pct"/>
                  <w:vAlign w:val="center"/>
                </w:tcPr>
                <w:p w14:paraId="2539A934">
                  <w:pPr>
                    <w:widowControl/>
                    <w:jc w:val="center"/>
                    <w:rPr>
                      <w:b/>
                      <w:color w:val="auto"/>
                      <w:kern w:val="0"/>
                      <w:sz w:val="18"/>
                      <w:szCs w:val="18"/>
                      <w:highlight w:val="none"/>
                    </w:rPr>
                  </w:pPr>
                </w:p>
              </w:tc>
              <w:tc>
                <w:tcPr>
                  <w:tcW w:w="1243" w:type="pct"/>
                  <w:vAlign w:val="center"/>
                </w:tcPr>
                <w:p w14:paraId="301CE5D7">
                  <w:pPr>
                    <w:widowControl/>
                    <w:jc w:val="center"/>
                    <w:rPr>
                      <w:b/>
                      <w:color w:val="auto"/>
                      <w:kern w:val="0"/>
                      <w:sz w:val="18"/>
                      <w:szCs w:val="18"/>
                    </w:rPr>
                  </w:pPr>
                </w:p>
              </w:tc>
            </w:tr>
            <w:tr w14:paraId="3F67C01D">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57" w:type="dxa"/>
                  <w:left w:w="108" w:type="dxa"/>
                  <w:bottom w:w="57" w:type="dxa"/>
                  <w:right w:w="108" w:type="dxa"/>
                </w:tblCellMar>
              </w:tblPrEx>
              <w:trPr>
                <w:trHeight w:val="170" w:hRule="atLeast"/>
              </w:trPr>
              <w:tc>
                <w:tcPr>
                  <w:tcW w:w="238" w:type="pct"/>
                  <w:vMerge w:val="restart"/>
                  <w:vAlign w:val="center"/>
                </w:tcPr>
                <w:p w14:paraId="224E5A39">
                  <w:pPr>
                    <w:widowControl/>
                    <w:jc w:val="center"/>
                    <w:rPr>
                      <w:color w:val="auto"/>
                      <w:kern w:val="0"/>
                      <w:sz w:val="18"/>
                      <w:szCs w:val="18"/>
                    </w:rPr>
                  </w:pPr>
                </w:p>
              </w:tc>
              <w:tc>
                <w:tcPr>
                  <w:tcW w:w="955" w:type="pct"/>
                  <w:vAlign w:val="center"/>
                </w:tcPr>
                <w:p w14:paraId="32E7F14F">
                  <w:pPr>
                    <w:widowControl/>
                    <w:jc w:val="center"/>
                    <w:rPr>
                      <w:color w:val="auto"/>
                      <w:kern w:val="0"/>
                      <w:sz w:val="18"/>
                      <w:szCs w:val="18"/>
                    </w:rPr>
                  </w:pPr>
                </w:p>
              </w:tc>
              <w:tc>
                <w:tcPr>
                  <w:tcW w:w="499" w:type="pct"/>
                  <w:vAlign w:val="center"/>
                </w:tcPr>
                <w:p w14:paraId="7E718EC3">
                  <w:pPr>
                    <w:widowControl/>
                    <w:jc w:val="center"/>
                    <w:rPr>
                      <w:color w:val="auto"/>
                      <w:kern w:val="0"/>
                      <w:sz w:val="18"/>
                      <w:szCs w:val="18"/>
                    </w:rPr>
                  </w:pPr>
                </w:p>
              </w:tc>
              <w:tc>
                <w:tcPr>
                  <w:tcW w:w="1353" w:type="pct"/>
                  <w:vAlign w:val="center"/>
                </w:tcPr>
                <w:p w14:paraId="1E740923">
                  <w:pPr>
                    <w:widowControl/>
                    <w:jc w:val="center"/>
                    <w:rPr>
                      <w:color w:val="auto"/>
                      <w:kern w:val="0"/>
                      <w:sz w:val="18"/>
                      <w:szCs w:val="18"/>
                      <w:highlight w:val="none"/>
                    </w:rPr>
                  </w:pPr>
                </w:p>
              </w:tc>
              <w:tc>
                <w:tcPr>
                  <w:tcW w:w="710" w:type="pct"/>
                  <w:vAlign w:val="center"/>
                </w:tcPr>
                <w:p w14:paraId="648F578F">
                  <w:pPr>
                    <w:adjustRightInd w:val="0"/>
                    <w:snapToGrid w:val="0"/>
                    <w:jc w:val="center"/>
                    <w:rPr>
                      <w:color w:val="auto"/>
                      <w:kern w:val="0"/>
                      <w:sz w:val="18"/>
                      <w:szCs w:val="18"/>
                      <w:highlight w:val="none"/>
                    </w:rPr>
                  </w:pPr>
                </w:p>
              </w:tc>
              <w:tc>
                <w:tcPr>
                  <w:tcW w:w="1243" w:type="pct"/>
                  <w:vMerge w:val="restart"/>
                  <w:vAlign w:val="center"/>
                </w:tcPr>
                <w:p w14:paraId="6A1EEC9A">
                  <w:pPr>
                    <w:widowControl/>
                    <w:jc w:val="center"/>
                    <w:rPr>
                      <w:color w:val="auto"/>
                      <w:kern w:val="0"/>
                      <w:sz w:val="18"/>
                      <w:szCs w:val="18"/>
                    </w:rPr>
                  </w:pPr>
                </w:p>
              </w:tc>
            </w:tr>
            <w:tr w14:paraId="0520ABF6">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57" w:type="dxa"/>
                  <w:left w:w="108" w:type="dxa"/>
                  <w:bottom w:w="57" w:type="dxa"/>
                  <w:right w:w="108" w:type="dxa"/>
                </w:tblCellMar>
              </w:tblPrEx>
              <w:trPr>
                <w:trHeight w:val="170" w:hRule="atLeast"/>
              </w:trPr>
              <w:tc>
                <w:tcPr>
                  <w:tcW w:w="238" w:type="pct"/>
                  <w:vMerge w:val="continue"/>
                  <w:vAlign w:val="center"/>
                </w:tcPr>
                <w:p w14:paraId="1DD0AA00">
                  <w:pPr>
                    <w:widowControl/>
                    <w:jc w:val="center"/>
                    <w:rPr>
                      <w:color w:val="auto"/>
                      <w:kern w:val="0"/>
                      <w:sz w:val="18"/>
                      <w:szCs w:val="18"/>
                    </w:rPr>
                  </w:pPr>
                </w:p>
              </w:tc>
              <w:tc>
                <w:tcPr>
                  <w:tcW w:w="955" w:type="pct"/>
                  <w:vMerge w:val="restart"/>
                  <w:vAlign w:val="center"/>
                </w:tcPr>
                <w:p w14:paraId="691677DF">
                  <w:pPr>
                    <w:widowControl/>
                    <w:jc w:val="center"/>
                    <w:rPr>
                      <w:color w:val="auto"/>
                      <w:kern w:val="0"/>
                      <w:sz w:val="18"/>
                      <w:szCs w:val="18"/>
                    </w:rPr>
                  </w:pPr>
                </w:p>
              </w:tc>
              <w:tc>
                <w:tcPr>
                  <w:tcW w:w="499" w:type="pct"/>
                  <w:vAlign w:val="center"/>
                </w:tcPr>
                <w:p w14:paraId="7FBD2A29">
                  <w:pPr>
                    <w:widowControl/>
                    <w:jc w:val="center"/>
                    <w:rPr>
                      <w:color w:val="auto"/>
                      <w:kern w:val="0"/>
                      <w:sz w:val="18"/>
                      <w:szCs w:val="18"/>
                    </w:rPr>
                  </w:pPr>
                </w:p>
              </w:tc>
              <w:tc>
                <w:tcPr>
                  <w:tcW w:w="1353" w:type="pct"/>
                  <w:vAlign w:val="center"/>
                </w:tcPr>
                <w:p w14:paraId="3E05182A">
                  <w:pPr>
                    <w:widowControl/>
                    <w:jc w:val="center"/>
                    <w:rPr>
                      <w:color w:val="auto"/>
                      <w:kern w:val="0"/>
                      <w:sz w:val="18"/>
                      <w:szCs w:val="18"/>
                      <w:highlight w:val="none"/>
                    </w:rPr>
                  </w:pPr>
                </w:p>
              </w:tc>
              <w:tc>
                <w:tcPr>
                  <w:tcW w:w="710" w:type="pct"/>
                  <w:vAlign w:val="center"/>
                </w:tcPr>
                <w:p w14:paraId="647CDD78">
                  <w:pPr>
                    <w:widowControl/>
                    <w:jc w:val="center"/>
                    <w:rPr>
                      <w:color w:val="auto"/>
                      <w:kern w:val="0"/>
                      <w:sz w:val="18"/>
                      <w:szCs w:val="18"/>
                      <w:highlight w:val="none"/>
                    </w:rPr>
                  </w:pPr>
                </w:p>
              </w:tc>
              <w:tc>
                <w:tcPr>
                  <w:tcW w:w="1243" w:type="pct"/>
                  <w:vMerge w:val="continue"/>
                  <w:vAlign w:val="center"/>
                </w:tcPr>
                <w:p w14:paraId="2549391C">
                  <w:pPr>
                    <w:widowControl/>
                    <w:jc w:val="center"/>
                    <w:rPr>
                      <w:color w:val="auto"/>
                      <w:kern w:val="0"/>
                      <w:sz w:val="18"/>
                      <w:szCs w:val="18"/>
                    </w:rPr>
                  </w:pPr>
                </w:p>
              </w:tc>
            </w:tr>
            <w:tr w14:paraId="374C09AD">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57" w:type="dxa"/>
                  <w:left w:w="108" w:type="dxa"/>
                  <w:bottom w:w="57" w:type="dxa"/>
                  <w:right w:w="108" w:type="dxa"/>
                </w:tblCellMar>
              </w:tblPrEx>
              <w:trPr>
                <w:trHeight w:val="170" w:hRule="atLeast"/>
              </w:trPr>
              <w:tc>
                <w:tcPr>
                  <w:tcW w:w="238" w:type="pct"/>
                  <w:vMerge w:val="continue"/>
                  <w:vAlign w:val="center"/>
                </w:tcPr>
                <w:p w14:paraId="6B0BAEC5">
                  <w:pPr>
                    <w:widowControl/>
                    <w:jc w:val="center"/>
                    <w:rPr>
                      <w:color w:val="auto"/>
                      <w:kern w:val="0"/>
                      <w:sz w:val="18"/>
                      <w:szCs w:val="18"/>
                    </w:rPr>
                  </w:pPr>
                </w:p>
              </w:tc>
              <w:tc>
                <w:tcPr>
                  <w:tcW w:w="955" w:type="pct"/>
                  <w:vMerge w:val="continue"/>
                  <w:vAlign w:val="center"/>
                </w:tcPr>
                <w:p w14:paraId="6A28BC23">
                  <w:pPr>
                    <w:widowControl/>
                    <w:jc w:val="center"/>
                    <w:rPr>
                      <w:color w:val="auto"/>
                      <w:kern w:val="0"/>
                      <w:sz w:val="18"/>
                      <w:szCs w:val="18"/>
                    </w:rPr>
                  </w:pPr>
                </w:p>
              </w:tc>
              <w:tc>
                <w:tcPr>
                  <w:tcW w:w="499" w:type="pct"/>
                  <w:vAlign w:val="center"/>
                </w:tcPr>
                <w:p w14:paraId="1E5E3A22">
                  <w:pPr>
                    <w:widowControl/>
                    <w:jc w:val="center"/>
                    <w:rPr>
                      <w:color w:val="auto"/>
                      <w:kern w:val="0"/>
                      <w:sz w:val="18"/>
                      <w:szCs w:val="18"/>
                    </w:rPr>
                  </w:pPr>
                </w:p>
              </w:tc>
              <w:tc>
                <w:tcPr>
                  <w:tcW w:w="1353" w:type="pct"/>
                  <w:vAlign w:val="center"/>
                </w:tcPr>
                <w:p w14:paraId="1F29F143">
                  <w:pPr>
                    <w:widowControl/>
                    <w:jc w:val="center"/>
                    <w:rPr>
                      <w:rFonts w:hint="default" w:eastAsia="宋体"/>
                      <w:color w:val="auto"/>
                      <w:kern w:val="0"/>
                      <w:sz w:val="18"/>
                      <w:szCs w:val="18"/>
                      <w:highlight w:val="none"/>
                      <w:lang w:val="en-US" w:eastAsia="zh-CN"/>
                    </w:rPr>
                  </w:pPr>
                </w:p>
              </w:tc>
              <w:tc>
                <w:tcPr>
                  <w:tcW w:w="710" w:type="pct"/>
                  <w:vAlign w:val="center"/>
                </w:tcPr>
                <w:p w14:paraId="64D9E86C">
                  <w:pPr>
                    <w:widowControl/>
                    <w:jc w:val="center"/>
                    <w:rPr>
                      <w:color w:val="auto"/>
                      <w:sz w:val="18"/>
                      <w:szCs w:val="18"/>
                      <w:highlight w:val="none"/>
                    </w:rPr>
                  </w:pPr>
                </w:p>
              </w:tc>
              <w:tc>
                <w:tcPr>
                  <w:tcW w:w="1243" w:type="pct"/>
                  <w:vMerge w:val="continue"/>
                  <w:vAlign w:val="center"/>
                </w:tcPr>
                <w:p w14:paraId="00D6138C">
                  <w:pPr>
                    <w:widowControl/>
                    <w:jc w:val="center"/>
                    <w:rPr>
                      <w:color w:val="auto"/>
                      <w:kern w:val="0"/>
                      <w:sz w:val="18"/>
                      <w:szCs w:val="18"/>
                    </w:rPr>
                  </w:pPr>
                </w:p>
              </w:tc>
            </w:tr>
            <w:tr w14:paraId="2B2A7B3E">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57" w:type="dxa"/>
                  <w:left w:w="108" w:type="dxa"/>
                  <w:bottom w:w="57" w:type="dxa"/>
                  <w:right w:w="108" w:type="dxa"/>
                </w:tblCellMar>
              </w:tblPrEx>
              <w:trPr>
                <w:trHeight w:val="170" w:hRule="atLeast"/>
              </w:trPr>
              <w:tc>
                <w:tcPr>
                  <w:tcW w:w="238" w:type="pct"/>
                  <w:vMerge w:val="restart"/>
                  <w:vAlign w:val="center"/>
                </w:tcPr>
                <w:p w14:paraId="22B31344">
                  <w:pPr>
                    <w:widowControl/>
                    <w:jc w:val="center"/>
                    <w:rPr>
                      <w:color w:val="auto"/>
                      <w:kern w:val="0"/>
                      <w:sz w:val="18"/>
                      <w:szCs w:val="18"/>
                    </w:rPr>
                  </w:pPr>
                </w:p>
              </w:tc>
              <w:tc>
                <w:tcPr>
                  <w:tcW w:w="955" w:type="pct"/>
                  <w:vMerge w:val="restart"/>
                  <w:vAlign w:val="center"/>
                </w:tcPr>
                <w:p w14:paraId="6E4E5CDE">
                  <w:pPr>
                    <w:widowControl/>
                    <w:jc w:val="center"/>
                    <w:rPr>
                      <w:color w:val="auto"/>
                      <w:kern w:val="0"/>
                      <w:sz w:val="18"/>
                      <w:szCs w:val="18"/>
                    </w:rPr>
                  </w:pPr>
                </w:p>
              </w:tc>
              <w:tc>
                <w:tcPr>
                  <w:tcW w:w="499" w:type="pct"/>
                  <w:vAlign w:val="center"/>
                </w:tcPr>
                <w:p w14:paraId="6A09DCCE">
                  <w:pPr>
                    <w:widowControl/>
                    <w:jc w:val="center"/>
                    <w:rPr>
                      <w:color w:val="auto"/>
                      <w:kern w:val="0"/>
                      <w:sz w:val="18"/>
                      <w:szCs w:val="18"/>
                    </w:rPr>
                  </w:pPr>
                </w:p>
              </w:tc>
              <w:tc>
                <w:tcPr>
                  <w:tcW w:w="1353" w:type="pct"/>
                  <w:vAlign w:val="center"/>
                </w:tcPr>
                <w:p w14:paraId="48AF122F">
                  <w:pPr>
                    <w:widowControl/>
                    <w:jc w:val="center"/>
                    <w:rPr>
                      <w:rFonts w:hint="eastAsia" w:eastAsia="宋体"/>
                      <w:color w:val="auto"/>
                      <w:kern w:val="0"/>
                      <w:sz w:val="18"/>
                      <w:szCs w:val="18"/>
                      <w:highlight w:val="none"/>
                      <w:lang w:eastAsia="zh-CN"/>
                    </w:rPr>
                  </w:pPr>
                </w:p>
              </w:tc>
              <w:tc>
                <w:tcPr>
                  <w:tcW w:w="710" w:type="pct"/>
                  <w:vAlign w:val="center"/>
                </w:tcPr>
                <w:p w14:paraId="6BFA82E0">
                  <w:pPr>
                    <w:widowControl/>
                    <w:jc w:val="center"/>
                    <w:rPr>
                      <w:color w:val="auto"/>
                      <w:kern w:val="0"/>
                      <w:sz w:val="18"/>
                      <w:szCs w:val="18"/>
                      <w:highlight w:val="none"/>
                    </w:rPr>
                  </w:pPr>
                </w:p>
              </w:tc>
              <w:tc>
                <w:tcPr>
                  <w:tcW w:w="1243" w:type="pct"/>
                  <w:vMerge w:val="continue"/>
                  <w:vAlign w:val="center"/>
                </w:tcPr>
                <w:p w14:paraId="3462647A">
                  <w:pPr>
                    <w:widowControl/>
                    <w:jc w:val="center"/>
                    <w:rPr>
                      <w:color w:val="auto"/>
                      <w:kern w:val="0"/>
                      <w:sz w:val="18"/>
                      <w:szCs w:val="18"/>
                    </w:rPr>
                  </w:pPr>
                </w:p>
              </w:tc>
            </w:tr>
            <w:tr w14:paraId="195254F2">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PrEx>
              <w:trPr>
                <w:trHeight w:val="170" w:hRule="atLeast"/>
              </w:trPr>
              <w:tc>
                <w:tcPr>
                  <w:tcW w:w="238" w:type="pct"/>
                  <w:vMerge w:val="continue"/>
                  <w:vAlign w:val="center"/>
                </w:tcPr>
                <w:p w14:paraId="00E2C5B3">
                  <w:pPr>
                    <w:widowControl/>
                    <w:jc w:val="center"/>
                    <w:rPr>
                      <w:color w:val="auto"/>
                      <w:kern w:val="0"/>
                      <w:sz w:val="18"/>
                      <w:szCs w:val="18"/>
                    </w:rPr>
                  </w:pPr>
                </w:p>
              </w:tc>
              <w:tc>
                <w:tcPr>
                  <w:tcW w:w="955" w:type="pct"/>
                  <w:vMerge w:val="continue"/>
                  <w:vAlign w:val="center"/>
                </w:tcPr>
                <w:p w14:paraId="6A520B3F">
                  <w:pPr>
                    <w:widowControl/>
                    <w:jc w:val="center"/>
                    <w:rPr>
                      <w:color w:val="auto"/>
                      <w:kern w:val="0"/>
                      <w:sz w:val="18"/>
                      <w:szCs w:val="18"/>
                    </w:rPr>
                  </w:pPr>
                </w:p>
              </w:tc>
              <w:tc>
                <w:tcPr>
                  <w:tcW w:w="499" w:type="pct"/>
                  <w:vAlign w:val="center"/>
                </w:tcPr>
                <w:p w14:paraId="6EC912FB">
                  <w:pPr>
                    <w:widowControl/>
                    <w:jc w:val="center"/>
                    <w:rPr>
                      <w:color w:val="auto"/>
                      <w:kern w:val="0"/>
                      <w:sz w:val="18"/>
                      <w:szCs w:val="18"/>
                    </w:rPr>
                  </w:pPr>
                </w:p>
              </w:tc>
              <w:tc>
                <w:tcPr>
                  <w:tcW w:w="1353" w:type="pct"/>
                  <w:vAlign w:val="center"/>
                </w:tcPr>
                <w:p w14:paraId="19EA62F4">
                  <w:pPr>
                    <w:widowControl/>
                    <w:jc w:val="center"/>
                    <w:rPr>
                      <w:color w:val="auto"/>
                      <w:kern w:val="0"/>
                      <w:sz w:val="18"/>
                      <w:szCs w:val="18"/>
                    </w:rPr>
                  </w:pPr>
                </w:p>
              </w:tc>
              <w:tc>
                <w:tcPr>
                  <w:tcW w:w="710" w:type="pct"/>
                  <w:vAlign w:val="center"/>
                </w:tcPr>
                <w:p w14:paraId="71846958">
                  <w:pPr>
                    <w:widowControl/>
                    <w:jc w:val="center"/>
                    <w:rPr>
                      <w:color w:val="auto"/>
                      <w:kern w:val="0"/>
                      <w:sz w:val="18"/>
                      <w:szCs w:val="18"/>
                      <w:highlight w:val="none"/>
                    </w:rPr>
                  </w:pPr>
                </w:p>
              </w:tc>
              <w:tc>
                <w:tcPr>
                  <w:tcW w:w="1243" w:type="pct"/>
                  <w:vMerge w:val="continue"/>
                  <w:vAlign w:val="center"/>
                </w:tcPr>
                <w:p w14:paraId="5A22B66C">
                  <w:pPr>
                    <w:widowControl/>
                    <w:jc w:val="center"/>
                    <w:rPr>
                      <w:color w:val="auto"/>
                      <w:kern w:val="0"/>
                      <w:sz w:val="18"/>
                      <w:szCs w:val="18"/>
                    </w:rPr>
                  </w:pPr>
                </w:p>
              </w:tc>
            </w:tr>
            <w:tr w14:paraId="0D3852D8">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57" w:type="dxa"/>
                  <w:left w:w="108" w:type="dxa"/>
                  <w:bottom w:w="57" w:type="dxa"/>
                  <w:right w:w="108" w:type="dxa"/>
                </w:tblCellMar>
              </w:tblPrEx>
              <w:trPr>
                <w:trHeight w:val="170" w:hRule="atLeast"/>
              </w:trPr>
              <w:tc>
                <w:tcPr>
                  <w:tcW w:w="238" w:type="pct"/>
                  <w:vAlign w:val="center"/>
                </w:tcPr>
                <w:p w14:paraId="7F82A395">
                  <w:pPr>
                    <w:widowControl/>
                    <w:jc w:val="center"/>
                    <w:rPr>
                      <w:color w:val="auto"/>
                      <w:kern w:val="0"/>
                      <w:sz w:val="18"/>
                      <w:szCs w:val="18"/>
                    </w:rPr>
                  </w:pPr>
                </w:p>
              </w:tc>
              <w:tc>
                <w:tcPr>
                  <w:tcW w:w="955" w:type="pct"/>
                  <w:vAlign w:val="center"/>
                </w:tcPr>
                <w:p w14:paraId="51CA997E">
                  <w:pPr>
                    <w:widowControl/>
                    <w:jc w:val="center"/>
                    <w:rPr>
                      <w:color w:val="auto"/>
                      <w:kern w:val="0"/>
                      <w:sz w:val="18"/>
                      <w:szCs w:val="18"/>
                    </w:rPr>
                  </w:pPr>
                </w:p>
              </w:tc>
              <w:tc>
                <w:tcPr>
                  <w:tcW w:w="499" w:type="pct"/>
                  <w:vAlign w:val="center"/>
                </w:tcPr>
                <w:p w14:paraId="5A985451">
                  <w:pPr>
                    <w:widowControl/>
                    <w:jc w:val="center"/>
                    <w:rPr>
                      <w:color w:val="auto"/>
                      <w:kern w:val="0"/>
                      <w:sz w:val="18"/>
                      <w:szCs w:val="18"/>
                    </w:rPr>
                  </w:pPr>
                </w:p>
              </w:tc>
              <w:tc>
                <w:tcPr>
                  <w:tcW w:w="1353" w:type="pct"/>
                  <w:vAlign w:val="center"/>
                </w:tcPr>
                <w:p w14:paraId="1FDB8D09">
                  <w:pPr>
                    <w:widowControl/>
                    <w:jc w:val="center"/>
                    <w:rPr>
                      <w:color w:val="auto"/>
                      <w:kern w:val="0"/>
                      <w:sz w:val="18"/>
                      <w:szCs w:val="18"/>
                    </w:rPr>
                  </w:pPr>
                </w:p>
              </w:tc>
              <w:tc>
                <w:tcPr>
                  <w:tcW w:w="710" w:type="pct"/>
                  <w:vAlign w:val="center"/>
                </w:tcPr>
                <w:p w14:paraId="44BE45BF">
                  <w:pPr>
                    <w:widowControl/>
                    <w:jc w:val="center"/>
                    <w:rPr>
                      <w:color w:val="auto"/>
                      <w:kern w:val="0"/>
                      <w:sz w:val="18"/>
                      <w:szCs w:val="18"/>
                      <w:highlight w:val="none"/>
                    </w:rPr>
                  </w:pPr>
                </w:p>
              </w:tc>
              <w:tc>
                <w:tcPr>
                  <w:tcW w:w="1243" w:type="pct"/>
                  <w:vMerge w:val="continue"/>
                  <w:vAlign w:val="center"/>
                </w:tcPr>
                <w:p w14:paraId="5286820F">
                  <w:pPr>
                    <w:widowControl/>
                    <w:jc w:val="center"/>
                    <w:rPr>
                      <w:color w:val="auto"/>
                      <w:kern w:val="0"/>
                      <w:sz w:val="18"/>
                      <w:szCs w:val="18"/>
                    </w:rPr>
                  </w:pPr>
                </w:p>
              </w:tc>
            </w:tr>
          </w:tbl>
          <w:p w14:paraId="02F4DE77">
            <w:pPr>
              <w:autoSpaceDE w:val="0"/>
              <w:autoSpaceDN w:val="0"/>
              <w:adjustRightInd w:val="0"/>
              <w:snapToGrid w:val="0"/>
              <w:spacing w:line="500" w:lineRule="exact"/>
              <w:ind w:firstLine="380" w:firstLineChars="200"/>
              <w:jc w:val="left"/>
              <w:rPr>
                <w:color w:val="auto"/>
                <w:spacing w:val="-10"/>
                <w:szCs w:val="21"/>
              </w:rPr>
            </w:pPr>
          </w:p>
          <w:p w14:paraId="4D1B18A2">
            <w:pPr>
              <w:pStyle w:val="18"/>
              <w:rPr>
                <w:color w:val="auto"/>
              </w:rPr>
            </w:pPr>
          </w:p>
        </w:tc>
      </w:tr>
    </w:tbl>
    <w:p w14:paraId="04C1655D">
      <w:pPr>
        <w:adjustRightInd w:val="0"/>
        <w:snapToGrid w:val="0"/>
        <w:spacing w:line="360" w:lineRule="auto"/>
        <w:ind w:firstLine="562"/>
        <w:rPr>
          <w:b/>
          <w:color w:val="auto"/>
          <w:kern w:val="0"/>
          <w:sz w:val="28"/>
          <w:szCs w:val="28"/>
        </w:rPr>
      </w:pPr>
    </w:p>
    <w:p w14:paraId="1824BC34">
      <w:pPr>
        <w:adjustRightInd w:val="0"/>
        <w:snapToGrid w:val="0"/>
        <w:spacing w:line="360" w:lineRule="auto"/>
        <w:ind w:firstLine="562"/>
        <w:rPr>
          <w:b/>
          <w:color w:val="auto"/>
          <w:kern w:val="0"/>
          <w:sz w:val="28"/>
          <w:szCs w:val="28"/>
        </w:rPr>
        <w:sectPr>
          <w:type w:val="nextColumn"/>
          <w:pgSz w:w="11907" w:h="16840"/>
          <w:pgMar w:top="1418" w:right="1418" w:bottom="1418" w:left="1418" w:header="851" w:footer="851" w:gutter="0"/>
          <w:cols w:space="720" w:num="1"/>
          <w:docGrid w:linePitch="312" w:charSpace="0"/>
        </w:sectPr>
      </w:pPr>
    </w:p>
    <w:p w14:paraId="5454E677">
      <w:pPr>
        <w:pStyle w:val="18"/>
        <w:rPr>
          <w:snapToGrid w:val="0"/>
          <w:color w:val="auto"/>
        </w:rPr>
      </w:pPr>
      <w:bookmarkStart w:id="18" w:name="_Toc156751476"/>
      <w:r>
        <w:rPr>
          <w:snapToGrid w:val="0"/>
          <w:color w:val="auto"/>
        </w:rPr>
        <w:t>五、</w:t>
      </w:r>
      <w:bookmarkStart w:id="19" w:name="_Hlk54167917"/>
      <w:r>
        <w:rPr>
          <w:snapToGrid w:val="0"/>
          <w:color w:val="auto"/>
        </w:rPr>
        <w:t>环境保护措施监督检查清单</w:t>
      </w:r>
      <w:bookmarkEnd w:id="18"/>
      <w:bookmarkEnd w:id="19"/>
    </w:p>
    <w:tbl>
      <w:tblPr>
        <w:tblStyle w:val="21"/>
        <w:tblW w:w="4829"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23"/>
        <w:gridCol w:w="1633"/>
        <w:gridCol w:w="1453"/>
        <w:gridCol w:w="2306"/>
        <w:gridCol w:w="1825"/>
      </w:tblGrid>
      <w:tr w14:paraId="677BE6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871" w:type="pct"/>
            <w:tcBorders>
              <w:tl2br w:val="single" w:color="auto" w:sz="4" w:space="0"/>
            </w:tcBorders>
          </w:tcPr>
          <w:p w14:paraId="581A3952">
            <w:pPr>
              <w:adjustRightInd w:val="0"/>
              <w:snapToGrid w:val="0"/>
              <w:jc w:val="right"/>
              <w:rPr>
                <w:color w:val="auto"/>
                <w:szCs w:val="21"/>
              </w:rPr>
            </w:pPr>
            <w:r>
              <w:rPr>
                <w:color w:val="auto"/>
                <w:szCs w:val="21"/>
              </w:rPr>
              <w:t>内容</w:t>
            </w:r>
          </w:p>
          <w:p w14:paraId="0115F3AE">
            <w:pPr>
              <w:adjustRightInd w:val="0"/>
              <w:snapToGrid w:val="0"/>
              <w:rPr>
                <w:color w:val="auto"/>
                <w:szCs w:val="21"/>
              </w:rPr>
            </w:pPr>
            <w:r>
              <w:rPr>
                <w:color w:val="auto"/>
                <w:szCs w:val="21"/>
              </w:rPr>
              <w:t>要素</w:t>
            </w:r>
          </w:p>
        </w:tc>
        <w:tc>
          <w:tcPr>
            <w:tcW w:w="934" w:type="pct"/>
            <w:vAlign w:val="center"/>
          </w:tcPr>
          <w:p w14:paraId="42321B79">
            <w:pPr>
              <w:adjustRightInd w:val="0"/>
              <w:snapToGrid w:val="0"/>
              <w:jc w:val="center"/>
              <w:rPr>
                <w:color w:val="auto"/>
                <w:szCs w:val="21"/>
              </w:rPr>
            </w:pPr>
            <w:r>
              <w:rPr>
                <w:color w:val="auto"/>
                <w:szCs w:val="21"/>
              </w:rPr>
              <w:t>排放口</w:t>
            </w:r>
            <w:r>
              <w:rPr>
                <w:rFonts w:hint="eastAsia"/>
                <w:color w:val="auto"/>
                <w:szCs w:val="21"/>
                <w:lang w:eastAsia="zh-CN"/>
              </w:rPr>
              <w:t>（</w:t>
            </w:r>
            <w:r>
              <w:rPr>
                <w:color w:val="auto"/>
                <w:szCs w:val="21"/>
              </w:rPr>
              <w:t>编号、</w:t>
            </w:r>
          </w:p>
          <w:p w14:paraId="1754D2D1">
            <w:pPr>
              <w:adjustRightInd w:val="0"/>
              <w:snapToGrid w:val="0"/>
              <w:jc w:val="center"/>
              <w:rPr>
                <w:color w:val="auto"/>
                <w:szCs w:val="21"/>
              </w:rPr>
            </w:pPr>
            <w:r>
              <w:rPr>
                <w:color w:val="auto"/>
                <w:szCs w:val="21"/>
              </w:rPr>
              <w:t>名称</w:t>
            </w:r>
            <w:r>
              <w:rPr>
                <w:rFonts w:hint="eastAsia"/>
                <w:color w:val="auto"/>
                <w:szCs w:val="21"/>
                <w:lang w:eastAsia="zh-CN"/>
              </w:rPr>
              <w:t>）</w:t>
            </w:r>
            <w:r>
              <w:rPr>
                <w:color w:val="auto"/>
                <w:szCs w:val="21"/>
              </w:rPr>
              <w:t>/污染源</w:t>
            </w:r>
          </w:p>
        </w:tc>
        <w:tc>
          <w:tcPr>
            <w:tcW w:w="831" w:type="pct"/>
            <w:vAlign w:val="center"/>
          </w:tcPr>
          <w:p w14:paraId="2C286369">
            <w:pPr>
              <w:adjustRightInd w:val="0"/>
              <w:snapToGrid w:val="0"/>
              <w:jc w:val="center"/>
              <w:rPr>
                <w:color w:val="auto"/>
                <w:szCs w:val="21"/>
              </w:rPr>
            </w:pPr>
            <w:r>
              <w:rPr>
                <w:color w:val="auto"/>
                <w:szCs w:val="21"/>
              </w:rPr>
              <w:t>污染物项目</w:t>
            </w:r>
          </w:p>
        </w:tc>
        <w:tc>
          <w:tcPr>
            <w:tcW w:w="1319" w:type="pct"/>
            <w:vAlign w:val="center"/>
          </w:tcPr>
          <w:p w14:paraId="247A7190">
            <w:pPr>
              <w:adjustRightInd w:val="0"/>
              <w:snapToGrid w:val="0"/>
              <w:jc w:val="center"/>
              <w:rPr>
                <w:color w:val="auto"/>
                <w:szCs w:val="21"/>
              </w:rPr>
            </w:pPr>
            <w:r>
              <w:rPr>
                <w:color w:val="auto"/>
                <w:szCs w:val="21"/>
              </w:rPr>
              <w:t>环境保护措施</w:t>
            </w:r>
          </w:p>
        </w:tc>
        <w:tc>
          <w:tcPr>
            <w:tcW w:w="1043" w:type="pct"/>
            <w:vAlign w:val="center"/>
          </w:tcPr>
          <w:p w14:paraId="0863608E">
            <w:pPr>
              <w:adjustRightInd w:val="0"/>
              <w:snapToGrid w:val="0"/>
              <w:jc w:val="center"/>
              <w:rPr>
                <w:color w:val="auto"/>
                <w:szCs w:val="21"/>
              </w:rPr>
            </w:pPr>
            <w:r>
              <w:rPr>
                <w:color w:val="auto"/>
                <w:szCs w:val="21"/>
              </w:rPr>
              <w:t>执行标准</w:t>
            </w:r>
          </w:p>
        </w:tc>
      </w:tr>
      <w:tr w14:paraId="78E064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871" w:type="pct"/>
            <w:vAlign w:val="center"/>
          </w:tcPr>
          <w:p w14:paraId="17503250">
            <w:pPr>
              <w:adjustRightInd w:val="0"/>
              <w:snapToGrid w:val="0"/>
              <w:jc w:val="center"/>
              <w:rPr>
                <w:color w:val="auto"/>
                <w:szCs w:val="21"/>
              </w:rPr>
            </w:pPr>
            <w:r>
              <w:rPr>
                <w:color w:val="auto"/>
                <w:szCs w:val="21"/>
              </w:rPr>
              <w:t>大气环境</w:t>
            </w:r>
          </w:p>
        </w:tc>
        <w:tc>
          <w:tcPr>
            <w:tcW w:w="934" w:type="pct"/>
            <w:vAlign w:val="center"/>
          </w:tcPr>
          <w:p w14:paraId="7AA6E360">
            <w:pPr>
              <w:adjustRightInd w:val="0"/>
              <w:snapToGrid w:val="0"/>
              <w:jc w:val="center"/>
              <w:rPr>
                <w:color w:val="auto"/>
                <w:szCs w:val="21"/>
              </w:rPr>
            </w:pPr>
            <w:r>
              <w:rPr>
                <w:rFonts w:hint="eastAsia"/>
                <w:color w:val="auto"/>
                <w:szCs w:val="21"/>
              </w:rPr>
              <w:t>DA007</w:t>
            </w:r>
          </w:p>
        </w:tc>
        <w:tc>
          <w:tcPr>
            <w:tcW w:w="831" w:type="pct"/>
            <w:vAlign w:val="center"/>
          </w:tcPr>
          <w:p w14:paraId="6F6DE28B">
            <w:pPr>
              <w:adjustRightInd w:val="0"/>
              <w:snapToGrid w:val="0"/>
              <w:jc w:val="center"/>
              <w:rPr>
                <w:color w:val="auto"/>
                <w:szCs w:val="21"/>
              </w:rPr>
            </w:pPr>
            <w:r>
              <w:rPr>
                <w:rFonts w:hint="eastAsia"/>
                <w:color w:val="auto"/>
                <w:kern w:val="0"/>
                <w:szCs w:val="21"/>
              </w:rPr>
              <w:t>硫酸雾、硝酸雾（以NOx计）、氨、甲醇、</w:t>
            </w:r>
            <w:r>
              <w:rPr>
                <w:rFonts w:hint="eastAsia"/>
                <w:color w:val="auto"/>
                <w:kern w:val="0"/>
                <w:szCs w:val="21"/>
                <w:lang w:val="en-US" w:eastAsia="zh-CN"/>
              </w:rPr>
              <w:t>乙二醇、四氯化碳</w:t>
            </w:r>
          </w:p>
        </w:tc>
        <w:tc>
          <w:tcPr>
            <w:tcW w:w="1319" w:type="pct"/>
            <w:vAlign w:val="center"/>
          </w:tcPr>
          <w:p w14:paraId="6598D452">
            <w:pPr>
              <w:adjustRightInd w:val="0"/>
              <w:snapToGrid w:val="0"/>
              <w:jc w:val="center"/>
              <w:rPr>
                <w:color w:val="auto"/>
                <w:szCs w:val="21"/>
              </w:rPr>
            </w:pPr>
            <w:r>
              <w:rPr>
                <w:color w:val="auto"/>
                <w:szCs w:val="21"/>
              </w:rPr>
              <w:t>通风柜、万向集气罩、专用排烟管道、</w:t>
            </w:r>
            <w:r>
              <w:rPr>
                <w:rFonts w:hint="eastAsia"/>
                <w:color w:val="auto"/>
                <w:szCs w:val="21"/>
                <w:lang w:val="en-US" w:eastAsia="zh-CN"/>
              </w:rPr>
              <w:t>SDG吸附</w:t>
            </w:r>
            <w:r>
              <w:rPr>
                <w:rFonts w:hint="eastAsia"/>
                <w:color w:val="auto"/>
                <w:szCs w:val="21"/>
              </w:rPr>
              <w:t>+</w:t>
            </w:r>
            <w:r>
              <w:rPr>
                <w:color w:val="auto"/>
                <w:szCs w:val="21"/>
              </w:rPr>
              <w:t>活性炭吸附装置</w:t>
            </w:r>
          </w:p>
        </w:tc>
        <w:tc>
          <w:tcPr>
            <w:tcW w:w="1043" w:type="pct"/>
            <w:vAlign w:val="center"/>
          </w:tcPr>
          <w:p w14:paraId="3316484C">
            <w:pPr>
              <w:adjustRightInd w:val="0"/>
              <w:snapToGrid w:val="0"/>
              <w:jc w:val="center"/>
              <w:rPr>
                <w:color w:val="auto"/>
                <w:szCs w:val="21"/>
              </w:rPr>
            </w:pPr>
            <w:r>
              <w:rPr>
                <w:rFonts w:hint="eastAsia"/>
                <w:bCs/>
                <w:color w:val="auto"/>
                <w:szCs w:val="21"/>
              </w:rPr>
              <w:t>《大气污染物综合排放标准》（DB32/4041—2021）、《化学工业挥发性有机物排放标准》（DB32/3151-2016）</w:t>
            </w:r>
            <w:r>
              <w:rPr>
                <w:rFonts w:hint="eastAsia"/>
                <w:bCs/>
                <w:color w:val="auto"/>
                <w:szCs w:val="21"/>
                <w:lang w:eastAsia="zh-CN"/>
              </w:rPr>
              <w:t>、</w:t>
            </w:r>
            <w:r>
              <w:rPr>
                <w:rFonts w:hint="eastAsia"/>
                <w:color w:val="auto"/>
                <w:szCs w:val="21"/>
                <w:lang w:eastAsia="zh-CN"/>
              </w:rPr>
              <w:t>《石油化学工业污染物排放标准》（GB 31571-2015）、</w:t>
            </w:r>
            <w:r>
              <w:rPr>
                <w:rFonts w:hint="eastAsia"/>
                <w:color w:val="auto"/>
                <w:szCs w:val="21"/>
              </w:rPr>
              <w:t>《恶臭污染物排放标准》（GB 14554-93）</w:t>
            </w:r>
          </w:p>
        </w:tc>
      </w:tr>
      <w:tr w14:paraId="57CF76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871" w:type="pct"/>
            <w:vAlign w:val="center"/>
          </w:tcPr>
          <w:p w14:paraId="5386DF9D">
            <w:pPr>
              <w:adjustRightInd w:val="0"/>
              <w:snapToGrid w:val="0"/>
              <w:jc w:val="center"/>
              <w:rPr>
                <w:color w:val="auto"/>
                <w:szCs w:val="21"/>
              </w:rPr>
            </w:pPr>
            <w:r>
              <w:rPr>
                <w:color w:val="auto"/>
                <w:szCs w:val="21"/>
              </w:rPr>
              <w:t>地表水环境</w:t>
            </w:r>
          </w:p>
        </w:tc>
        <w:tc>
          <w:tcPr>
            <w:tcW w:w="934" w:type="pct"/>
            <w:vAlign w:val="center"/>
          </w:tcPr>
          <w:p w14:paraId="783D6239">
            <w:pPr>
              <w:pStyle w:val="40"/>
              <w:rPr>
                <w:color w:val="auto"/>
                <w:kern w:val="2"/>
                <w:sz w:val="21"/>
                <w:szCs w:val="21"/>
              </w:rPr>
            </w:pPr>
            <w:r>
              <w:rPr>
                <w:rFonts w:hint="eastAsia"/>
                <w:color w:val="auto"/>
                <w:sz w:val="21"/>
                <w:szCs w:val="21"/>
              </w:rPr>
              <w:t>生产污水排口</w:t>
            </w:r>
          </w:p>
        </w:tc>
        <w:tc>
          <w:tcPr>
            <w:tcW w:w="831" w:type="pct"/>
            <w:vAlign w:val="center"/>
          </w:tcPr>
          <w:p w14:paraId="65EE1CE4">
            <w:pPr>
              <w:adjustRightInd w:val="0"/>
              <w:snapToGrid w:val="0"/>
              <w:jc w:val="center"/>
              <w:rPr>
                <w:color w:val="auto"/>
                <w:szCs w:val="21"/>
              </w:rPr>
            </w:pPr>
            <w:r>
              <w:rPr>
                <w:rFonts w:hint="eastAsia"/>
                <w:color w:val="auto"/>
                <w:szCs w:val="21"/>
              </w:rPr>
              <w:t>COD、SS、氨氮、TN、TDS</w:t>
            </w:r>
          </w:p>
        </w:tc>
        <w:tc>
          <w:tcPr>
            <w:tcW w:w="1319" w:type="pct"/>
            <w:vAlign w:val="center"/>
          </w:tcPr>
          <w:p w14:paraId="7AD73E27">
            <w:pPr>
              <w:adjustRightInd w:val="0"/>
              <w:snapToGrid w:val="0"/>
              <w:jc w:val="center"/>
              <w:rPr>
                <w:color w:val="auto"/>
                <w:szCs w:val="21"/>
              </w:rPr>
            </w:pPr>
            <w:r>
              <w:rPr>
                <w:rFonts w:hint="eastAsia"/>
                <w:color w:val="auto"/>
                <w:szCs w:val="21"/>
              </w:rPr>
              <w:t>经厂内污水处理站处理后，通过生产污水排口DW001接管至连云港石化基地工业废水综合治理中心常规线污水处理区，处理后送至连云港石化基地工业废水综合治理中心再生水处理区（一期）污水再生水处理线处理后70%回用，剩余30%浓水进入连云港石化基地工业废水综合治理中心RO浓水处理区（一期）污水RO浓水处理线处理满足要求后，通过徐圩新区达标尾水排海工程深海排放</w:t>
            </w:r>
          </w:p>
        </w:tc>
        <w:tc>
          <w:tcPr>
            <w:tcW w:w="1043" w:type="pct"/>
            <w:vAlign w:val="center"/>
          </w:tcPr>
          <w:p w14:paraId="2E784A84">
            <w:pPr>
              <w:adjustRightInd w:val="0"/>
              <w:snapToGrid w:val="0"/>
              <w:jc w:val="center"/>
              <w:rPr>
                <w:color w:val="auto"/>
                <w:szCs w:val="21"/>
              </w:rPr>
            </w:pPr>
            <w:r>
              <w:rPr>
                <w:rFonts w:hint="eastAsia"/>
                <w:color w:val="auto"/>
                <w:szCs w:val="21"/>
              </w:rPr>
              <w:t>瑞兆科公司与连云港石化基地工业废水综合治理中心商定的接管协议</w:t>
            </w:r>
          </w:p>
        </w:tc>
      </w:tr>
      <w:tr w14:paraId="785EBB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871" w:type="pct"/>
            <w:vAlign w:val="center"/>
          </w:tcPr>
          <w:p w14:paraId="4D05EB2E">
            <w:pPr>
              <w:adjustRightInd w:val="0"/>
              <w:snapToGrid w:val="0"/>
              <w:jc w:val="center"/>
              <w:rPr>
                <w:color w:val="auto"/>
                <w:szCs w:val="21"/>
              </w:rPr>
            </w:pPr>
            <w:r>
              <w:rPr>
                <w:color w:val="auto"/>
                <w:szCs w:val="21"/>
              </w:rPr>
              <w:t>声环境</w:t>
            </w:r>
          </w:p>
        </w:tc>
        <w:tc>
          <w:tcPr>
            <w:tcW w:w="934" w:type="pct"/>
            <w:vAlign w:val="center"/>
          </w:tcPr>
          <w:p w14:paraId="771C1980">
            <w:pPr>
              <w:adjustRightInd w:val="0"/>
              <w:snapToGrid w:val="0"/>
              <w:jc w:val="center"/>
              <w:rPr>
                <w:color w:val="auto"/>
                <w:szCs w:val="21"/>
              </w:rPr>
            </w:pPr>
            <w:r>
              <w:rPr>
                <w:rFonts w:hint="eastAsia"/>
                <w:color w:val="auto"/>
                <w:szCs w:val="21"/>
              </w:rPr>
              <w:t>实验仪器、风</w:t>
            </w:r>
            <w:r>
              <w:rPr>
                <w:color w:val="auto"/>
                <w:szCs w:val="21"/>
              </w:rPr>
              <w:t>机</w:t>
            </w:r>
          </w:p>
        </w:tc>
        <w:tc>
          <w:tcPr>
            <w:tcW w:w="831" w:type="pct"/>
            <w:vAlign w:val="center"/>
          </w:tcPr>
          <w:p w14:paraId="0C0B42E2">
            <w:pPr>
              <w:adjustRightInd w:val="0"/>
              <w:snapToGrid w:val="0"/>
              <w:jc w:val="center"/>
              <w:rPr>
                <w:color w:val="auto"/>
                <w:szCs w:val="21"/>
              </w:rPr>
            </w:pPr>
            <w:r>
              <w:rPr>
                <w:color w:val="auto"/>
                <w:szCs w:val="21"/>
              </w:rPr>
              <w:t>/</w:t>
            </w:r>
          </w:p>
        </w:tc>
        <w:tc>
          <w:tcPr>
            <w:tcW w:w="1319" w:type="pct"/>
            <w:vAlign w:val="center"/>
          </w:tcPr>
          <w:p w14:paraId="2711837D">
            <w:pPr>
              <w:adjustRightInd w:val="0"/>
              <w:snapToGrid w:val="0"/>
              <w:jc w:val="center"/>
              <w:rPr>
                <w:color w:val="auto"/>
                <w:szCs w:val="21"/>
              </w:rPr>
            </w:pPr>
            <w:r>
              <w:rPr>
                <w:rFonts w:hint="eastAsia"/>
                <w:color w:val="auto"/>
                <w:szCs w:val="21"/>
              </w:rPr>
              <w:t>建筑</w:t>
            </w:r>
            <w:r>
              <w:rPr>
                <w:color w:val="auto"/>
                <w:szCs w:val="21"/>
              </w:rPr>
              <w:t>隔声、减震</w:t>
            </w:r>
          </w:p>
        </w:tc>
        <w:tc>
          <w:tcPr>
            <w:tcW w:w="1043" w:type="pct"/>
            <w:vAlign w:val="center"/>
          </w:tcPr>
          <w:p w14:paraId="65EE0C67">
            <w:pPr>
              <w:adjustRightInd w:val="0"/>
              <w:snapToGrid w:val="0"/>
              <w:jc w:val="center"/>
              <w:rPr>
                <w:color w:val="auto"/>
                <w:szCs w:val="21"/>
              </w:rPr>
            </w:pPr>
            <w:r>
              <w:rPr>
                <w:color w:val="auto"/>
                <w:szCs w:val="21"/>
              </w:rPr>
              <w:t>《工业企业厂界环境噪声排放标准》（GB12348-2008）中3类标准</w:t>
            </w:r>
          </w:p>
        </w:tc>
      </w:tr>
      <w:tr w14:paraId="791B7A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871" w:type="pct"/>
            <w:vAlign w:val="center"/>
          </w:tcPr>
          <w:p w14:paraId="655ABF97">
            <w:pPr>
              <w:adjustRightInd w:val="0"/>
              <w:snapToGrid w:val="0"/>
              <w:jc w:val="center"/>
              <w:rPr>
                <w:color w:val="auto"/>
                <w:szCs w:val="21"/>
              </w:rPr>
            </w:pPr>
            <w:r>
              <w:rPr>
                <w:color w:val="auto"/>
                <w:szCs w:val="21"/>
              </w:rPr>
              <w:t>电磁辐射</w:t>
            </w:r>
          </w:p>
        </w:tc>
        <w:tc>
          <w:tcPr>
            <w:tcW w:w="934" w:type="pct"/>
            <w:vAlign w:val="center"/>
          </w:tcPr>
          <w:p w14:paraId="6574F2AC">
            <w:pPr>
              <w:adjustRightInd w:val="0"/>
              <w:snapToGrid w:val="0"/>
              <w:jc w:val="center"/>
              <w:rPr>
                <w:color w:val="auto"/>
                <w:szCs w:val="21"/>
              </w:rPr>
            </w:pPr>
            <w:r>
              <w:rPr>
                <w:color w:val="auto"/>
                <w:szCs w:val="21"/>
              </w:rPr>
              <w:t>/</w:t>
            </w:r>
          </w:p>
        </w:tc>
        <w:tc>
          <w:tcPr>
            <w:tcW w:w="831" w:type="pct"/>
            <w:vAlign w:val="center"/>
          </w:tcPr>
          <w:p w14:paraId="528EA320">
            <w:pPr>
              <w:adjustRightInd w:val="0"/>
              <w:snapToGrid w:val="0"/>
              <w:jc w:val="center"/>
              <w:rPr>
                <w:color w:val="auto"/>
                <w:szCs w:val="21"/>
              </w:rPr>
            </w:pPr>
            <w:r>
              <w:rPr>
                <w:color w:val="auto"/>
                <w:szCs w:val="21"/>
              </w:rPr>
              <w:t>/</w:t>
            </w:r>
          </w:p>
        </w:tc>
        <w:tc>
          <w:tcPr>
            <w:tcW w:w="1319" w:type="pct"/>
            <w:vAlign w:val="center"/>
          </w:tcPr>
          <w:p w14:paraId="4514D904">
            <w:pPr>
              <w:adjustRightInd w:val="0"/>
              <w:snapToGrid w:val="0"/>
              <w:jc w:val="center"/>
              <w:rPr>
                <w:color w:val="auto"/>
                <w:szCs w:val="21"/>
              </w:rPr>
            </w:pPr>
            <w:r>
              <w:rPr>
                <w:color w:val="auto"/>
                <w:szCs w:val="21"/>
              </w:rPr>
              <w:t>/</w:t>
            </w:r>
          </w:p>
        </w:tc>
        <w:tc>
          <w:tcPr>
            <w:tcW w:w="1043" w:type="pct"/>
            <w:vAlign w:val="center"/>
          </w:tcPr>
          <w:p w14:paraId="4BD658DA">
            <w:pPr>
              <w:adjustRightInd w:val="0"/>
              <w:snapToGrid w:val="0"/>
              <w:jc w:val="center"/>
              <w:rPr>
                <w:color w:val="auto"/>
                <w:szCs w:val="21"/>
              </w:rPr>
            </w:pPr>
            <w:r>
              <w:rPr>
                <w:color w:val="auto"/>
                <w:szCs w:val="21"/>
              </w:rPr>
              <w:t>/</w:t>
            </w:r>
          </w:p>
        </w:tc>
      </w:tr>
      <w:tr w14:paraId="311B2D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871" w:type="pct"/>
            <w:vAlign w:val="center"/>
          </w:tcPr>
          <w:p w14:paraId="2E311899">
            <w:pPr>
              <w:adjustRightInd w:val="0"/>
              <w:snapToGrid w:val="0"/>
              <w:jc w:val="center"/>
              <w:rPr>
                <w:color w:val="auto"/>
                <w:szCs w:val="21"/>
              </w:rPr>
            </w:pPr>
            <w:r>
              <w:rPr>
                <w:color w:val="auto"/>
                <w:szCs w:val="21"/>
              </w:rPr>
              <w:t>固体废物</w:t>
            </w:r>
          </w:p>
        </w:tc>
        <w:tc>
          <w:tcPr>
            <w:tcW w:w="4128" w:type="pct"/>
            <w:gridSpan w:val="4"/>
            <w:vAlign w:val="center"/>
          </w:tcPr>
          <w:p w14:paraId="2C897A07">
            <w:pPr>
              <w:adjustRightInd w:val="0"/>
              <w:snapToGrid w:val="0"/>
              <w:jc w:val="center"/>
              <w:rPr>
                <w:color w:val="auto"/>
                <w:szCs w:val="21"/>
              </w:rPr>
            </w:pPr>
            <w:r>
              <w:rPr>
                <w:rFonts w:hint="eastAsia"/>
                <w:color w:val="auto"/>
                <w:szCs w:val="21"/>
              </w:rPr>
              <w:t>本项目产生的固体废物主要为实验室废液（S</w:t>
            </w:r>
            <w:r>
              <w:rPr>
                <w:color w:val="auto"/>
                <w:szCs w:val="21"/>
              </w:rPr>
              <w:t>1</w:t>
            </w:r>
            <w:r>
              <w:rPr>
                <w:rFonts w:hint="eastAsia"/>
                <w:color w:val="auto"/>
                <w:szCs w:val="21"/>
              </w:rPr>
              <w:t>）、废弃PPE（S</w:t>
            </w:r>
            <w:r>
              <w:rPr>
                <w:color w:val="auto"/>
                <w:szCs w:val="21"/>
              </w:rPr>
              <w:t>2</w:t>
            </w:r>
            <w:r>
              <w:rPr>
                <w:rFonts w:hint="eastAsia"/>
                <w:color w:val="auto"/>
                <w:szCs w:val="21"/>
              </w:rPr>
              <w:t>）、废试剂瓶（S</w:t>
            </w:r>
            <w:r>
              <w:rPr>
                <w:color w:val="auto"/>
                <w:szCs w:val="21"/>
              </w:rPr>
              <w:t>3</w:t>
            </w:r>
            <w:r>
              <w:rPr>
                <w:rFonts w:hint="eastAsia"/>
                <w:color w:val="auto"/>
                <w:szCs w:val="21"/>
              </w:rPr>
              <w:t>）、废活性炭（S</w:t>
            </w:r>
            <w:r>
              <w:rPr>
                <w:color w:val="auto"/>
                <w:szCs w:val="21"/>
              </w:rPr>
              <w:t>4</w:t>
            </w:r>
            <w:r>
              <w:rPr>
                <w:rFonts w:hint="eastAsia"/>
                <w:color w:val="auto"/>
                <w:szCs w:val="21"/>
              </w:rPr>
              <w:t>）、废</w:t>
            </w:r>
            <w:r>
              <w:rPr>
                <w:rFonts w:hint="eastAsia"/>
                <w:color w:val="auto"/>
                <w:szCs w:val="21"/>
                <w:lang w:val="en-US" w:eastAsia="zh-CN"/>
              </w:rPr>
              <w:t>SDG</w:t>
            </w:r>
            <w:r>
              <w:rPr>
                <w:rFonts w:hint="eastAsia"/>
                <w:color w:val="auto"/>
                <w:szCs w:val="21"/>
              </w:rPr>
              <w:t>（S</w:t>
            </w:r>
            <w:r>
              <w:rPr>
                <w:rFonts w:hint="eastAsia"/>
                <w:color w:val="auto"/>
                <w:szCs w:val="21"/>
                <w:lang w:val="en-US" w:eastAsia="zh-CN"/>
              </w:rPr>
              <w:t>5</w:t>
            </w:r>
            <w:r>
              <w:rPr>
                <w:rFonts w:hint="eastAsia"/>
                <w:color w:val="auto"/>
                <w:szCs w:val="21"/>
              </w:rPr>
              <w:t>）、废铅酸蓄电池（S</w:t>
            </w:r>
            <w:r>
              <w:rPr>
                <w:rFonts w:hint="eastAsia"/>
                <w:color w:val="auto"/>
                <w:szCs w:val="21"/>
                <w:lang w:val="en-US" w:eastAsia="zh-CN"/>
              </w:rPr>
              <w:t>6</w:t>
            </w:r>
            <w:r>
              <w:rPr>
                <w:rFonts w:hint="eastAsia"/>
                <w:color w:val="auto"/>
                <w:szCs w:val="21"/>
              </w:rPr>
              <w:t>）、未沾染化学品的废包装材料（S</w:t>
            </w:r>
            <w:r>
              <w:rPr>
                <w:rFonts w:hint="eastAsia"/>
                <w:color w:val="auto"/>
                <w:szCs w:val="21"/>
                <w:lang w:val="en-US" w:eastAsia="zh-CN"/>
              </w:rPr>
              <w:t>7</w:t>
            </w:r>
            <w:r>
              <w:rPr>
                <w:rFonts w:hint="eastAsia"/>
                <w:color w:val="auto"/>
                <w:szCs w:val="21"/>
              </w:rPr>
              <w:t>），均能得到合理处置，不外排</w:t>
            </w:r>
          </w:p>
        </w:tc>
      </w:tr>
      <w:tr w14:paraId="3CDF6A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871" w:type="pct"/>
            <w:vAlign w:val="center"/>
          </w:tcPr>
          <w:p w14:paraId="7AA28C8A">
            <w:pPr>
              <w:adjustRightInd w:val="0"/>
              <w:snapToGrid w:val="0"/>
              <w:jc w:val="center"/>
              <w:rPr>
                <w:color w:val="auto"/>
                <w:szCs w:val="21"/>
              </w:rPr>
            </w:pPr>
            <w:r>
              <w:rPr>
                <w:color w:val="auto"/>
                <w:szCs w:val="21"/>
              </w:rPr>
              <w:t>土壤及地下水</w:t>
            </w:r>
          </w:p>
          <w:p w14:paraId="48F68A1C">
            <w:pPr>
              <w:adjustRightInd w:val="0"/>
              <w:snapToGrid w:val="0"/>
              <w:jc w:val="center"/>
              <w:rPr>
                <w:color w:val="auto"/>
                <w:szCs w:val="21"/>
              </w:rPr>
            </w:pPr>
            <w:r>
              <w:rPr>
                <w:color w:val="auto"/>
                <w:szCs w:val="21"/>
              </w:rPr>
              <w:t>污染防治措施</w:t>
            </w:r>
          </w:p>
        </w:tc>
        <w:tc>
          <w:tcPr>
            <w:tcW w:w="4128" w:type="pct"/>
            <w:gridSpan w:val="4"/>
            <w:vAlign w:val="center"/>
          </w:tcPr>
          <w:p w14:paraId="351D374E">
            <w:pPr>
              <w:adjustRightInd w:val="0"/>
              <w:snapToGrid w:val="0"/>
              <w:jc w:val="left"/>
              <w:rPr>
                <w:color w:val="auto"/>
                <w:szCs w:val="21"/>
              </w:rPr>
            </w:pPr>
            <w:r>
              <w:rPr>
                <w:color w:val="auto"/>
                <w:szCs w:val="21"/>
              </w:rPr>
              <w:t>为防止物料泄漏对地下水及土壤造成影响，本项目</w:t>
            </w:r>
            <w:r>
              <w:rPr>
                <w:rFonts w:hint="eastAsia"/>
                <w:color w:val="auto"/>
                <w:szCs w:val="21"/>
              </w:rPr>
              <w:t>实验室</w:t>
            </w:r>
            <w:r>
              <w:rPr>
                <w:color w:val="auto"/>
                <w:szCs w:val="21"/>
              </w:rPr>
              <w:t>按照</w:t>
            </w:r>
            <w:r>
              <w:rPr>
                <w:rFonts w:hint="eastAsia"/>
                <w:color w:val="auto"/>
                <w:szCs w:val="21"/>
              </w:rPr>
              <w:t>重点</w:t>
            </w:r>
            <w:r>
              <w:rPr>
                <w:color w:val="auto"/>
                <w:szCs w:val="21"/>
              </w:rPr>
              <w:t>防渗区的防渗分区要求进行防渗处理。企业在生产过程中应加强生产管理，做好设备的维护、检修，加强污染物产生环节的安全防护措施，以便及时发现事故隐患，采取有效的应对措施。另外本项目应纳入全厂三级防控体系，使事故状态下废水得到妥善处置。</w:t>
            </w:r>
          </w:p>
        </w:tc>
      </w:tr>
      <w:tr w14:paraId="7A7265E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871" w:type="pct"/>
            <w:vAlign w:val="center"/>
          </w:tcPr>
          <w:p w14:paraId="620E2EAB">
            <w:pPr>
              <w:adjustRightInd w:val="0"/>
              <w:snapToGrid w:val="0"/>
              <w:jc w:val="center"/>
              <w:rPr>
                <w:color w:val="auto"/>
                <w:szCs w:val="21"/>
              </w:rPr>
            </w:pPr>
            <w:r>
              <w:rPr>
                <w:color w:val="auto"/>
                <w:szCs w:val="21"/>
              </w:rPr>
              <w:t>生态保护措施</w:t>
            </w:r>
          </w:p>
        </w:tc>
        <w:tc>
          <w:tcPr>
            <w:tcW w:w="4128" w:type="pct"/>
            <w:gridSpan w:val="4"/>
            <w:vAlign w:val="center"/>
          </w:tcPr>
          <w:p w14:paraId="552152CD">
            <w:pPr>
              <w:adjustRightInd w:val="0"/>
              <w:snapToGrid w:val="0"/>
              <w:jc w:val="center"/>
              <w:rPr>
                <w:color w:val="auto"/>
                <w:szCs w:val="21"/>
              </w:rPr>
            </w:pPr>
            <w:r>
              <w:rPr>
                <w:color w:val="auto"/>
                <w:szCs w:val="21"/>
              </w:rPr>
              <w:t>/</w:t>
            </w:r>
          </w:p>
        </w:tc>
      </w:tr>
      <w:tr w14:paraId="1F7E84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871" w:type="pct"/>
            <w:vAlign w:val="center"/>
          </w:tcPr>
          <w:p w14:paraId="11BC2A2F">
            <w:pPr>
              <w:adjustRightInd w:val="0"/>
              <w:snapToGrid w:val="0"/>
              <w:jc w:val="center"/>
              <w:rPr>
                <w:color w:val="auto"/>
                <w:spacing w:val="-8"/>
                <w:szCs w:val="21"/>
              </w:rPr>
            </w:pPr>
            <w:r>
              <w:rPr>
                <w:color w:val="auto"/>
                <w:spacing w:val="-8"/>
                <w:szCs w:val="21"/>
              </w:rPr>
              <w:t>环境风险</w:t>
            </w:r>
          </w:p>
          <w:p w14:paraId="7AAB09D6">
            <w:pPr>
              <w:adjustRightInd w:val="0"/>
              <w:snapToGrid w:val="0"/>
              <w:jc w:val="center"/>
              <w:rPr>
                <w:color w:val="auto"/>
                <w:spacing w:val="-8"/>
                <w:szCs w:val="21"/>
              </w:rPr>
            </w:pPr>
            <w:r>
              <w:rPr>
                <w:color w:val="auto"/>
                <w:spacing w:val="-8"/>
                <w:szCs w:val="21"/>
              </w:rPr>
              <w:t>防范措施</w:t>
            </w:r>
          </w:p>
        </w:tc>
        <w:tc>
          <w:tcPr>
            <w:tcW w:w="4128" w:type="pct"/>
            <w:gridSpan w:val="4"/>
            <w:vAlign w:val="center"/>
          </w:tcPr>
          <w:p w14:paraId="0EA562DD">
            <w:pPr>
              <w:pStyle w:val="49"/>
              <w:rPr>
                <w:color w:val="auto"/>
                <w:sz w:val="21"/>
                <w:szCs w:val="22"/>
              </w:rPr>
            </w:pPr>
            <w:r>
              <w:rPr>
                <w:color w:val="auto"/>
                <w:sz w:val="21"/>
                <w:szCs w:val="22"/>
              </w:rPr>
              <w:t>A</w:t>
            </w:r>
            <w:r>
              <w:rPr>
                <w:rFonts w:hint="eastAsia"/>
                <w:color w:val="auto"/>
                <w:sz w:val="21"/>
                <w:szCs w:val="22"/>
              </w:rPr>
              <w:t>、环境风险防范措施</w:t>
            </w:r>
          </w:p>
          <w:p w14:paraId="79CE5F2B">
            <w:pPr>
              <w:pStyle w:val="49"/>
              <w:rPr>
                <w:color w:val="auto"/>
                <w:sz w:val="21"/>
                <w:szCs w:val="22"/>
              </w:rPr>
            </w:pPr>
            <w:r>
              <w:rPr>
                <w:rFonts w:hint="eastAsia"/>
                <w:color w:val="auto"/>
                <w:sz w:val="21"/>
                <w:szCs w:val="22"/>
              </w:rPr>
              <w:t>加强人员安全教育，加强原材料存放监管，使用防爆型电器设备。</w:t>
            </w:r>
          </w:p>
          <w:p w14:paraId="7D25FF3C">
            <w:pPr>
              <w:pStyle w:val="49"/>
              <w:rPr>
                <w:color w:val="auto"/>
                <w:sz w:val="21"/>
                <w:szCs w:val="22"/>
              </w:rPr>
            </w:pPr>
            <w:r>
              <w:rPr>
                <w:color w:val="auto"/>
                <w:sz w:val="21"/>
                <w:szCs w:val="22"/>
              </w:rPr>
              <w:t>B</w:t>
            </w:r>
            <w:r>
              <w:rPr>
                <w:rFonts w:hint="eastAsia"/>
                <w:color w:val="auto"/>
                <w:sz w:val="21"/>
                <w:szCs w:val="22"/>
              </w:rPr>
              <w:t>、环境风险应急措施</w:t>
            </w:r>
          </w:p>
          <w:p w14:paraId="35BDA280">
            <w:pPr>
              <w:pStyle w:val="49"/>
              <w:rPr>
                <w:color w:val="auto"/>
                <w:sz w:val="21"/>
                <w:szCs w:val="22"/>
              </w:rPr>
            </w:pPr>
            <w:r>
              <w:rPr>
                <w:rFonts w:hint="eastAsia"/>
                <w:color w:val="auto"/>
                <w:sz w:val="21"/>
                <w:szCs w:val="22"/>
              </w:rPr>
              <w:t>①一旦发现风险物质泄漏，现场人员应佩戴口罩，做好个人防护，迅速将包装桶倾斜，使破损处朝上，防止继续泄漏，然后将其转移至空桶内。</w:t>
            </w:r>
          </w:p>
          <w:p w14:paraId="470FCC29">
            <w:pPr>
              <w:pStyle w:val="49"/>
              <w:rPr>
                <w:color w:val="auto"/>
                <w:sz w:val="21"/>
                <w:szCs w:val="22"/>
              </w:rPr>
            </w:pPr>
            <w:r>
              <w:rPr>
                <w:rFonts w:hint="eastAsia"/>
                <w:color w:val="auto"/>
                <w:sz w:val="21"/>
                <w:szCs w:val="22"/>
              </w:rPr>
              <w:t>②应具备灭火器等用品，并定期检查灭火器状态及其有效期等。</w:t>
            </w:r>
          </w:p>
          <w:p w14:paraId="44181B8F">
            <w:pPr>
              <w:pStyle w:val="49"/>
              <w:rPr>
                <w:color w:val="auto"/>
                <w:sz w:val="21"/>
                <w:szCs w:val="22"/>
              </w:rPr>
            </w:pPr>
            <w:r>
              <w:rPr>
                <w:rFonts w:hint="eastAsia"/>
                <w:color w:val="auto"/>
                <w:sz w:val="21"/>
                <w:szCs w:val="22"/>
              </w:rPr>
              <w:t>③配备常用医疗急救用品等。</w:t>
            </w:r>
          </w:p>
          <w:p w14:paraId="6BE60E8B">
            <w:pPr>
              <w:pStyle w:val="49"/>
              <w:rPr>
                <w:color w:val="auto"/>
                <w:sz w:val="21"/>
                <w:szCs w:val="22"/>
              </w:rPr>
            </w:pPr>
            <w:r>
              <w:rPr>
                <w:rFonts w:hint="eastAsia"/>
                <w:color w:val="auto"/>
                <w:sz w:val="21"/>
                <w:szCs w:val="22"/>
              </w:rPr>
              <w:t>④定期进行安全环保宣传教育以及紧急事故模拟演习，提高事故应变能力。</w:t>
            </w:r>
          </w:p>
          <w:p w14:paraId="22707E4D">
            <w:pPr>
              <w:pStyle w:val="49"/>
              <w:rPr>
                <w:color w:val="auto"/>
                <w:sz w:val="21"/>
                <w:szCs w:val="22"/>
              </w:rPr>
            </w:pPr>
            <w:r>
              <w:rPr>
                <w:rFonts w:hint="eastAsia"/>
                <w:color w:val="auto"/>
                <w:sz w:val="21"/>
                <w:szCs w:val="22"/>
              </w:rPr>
              <w:t>⑤严格执行企业现有“单元-厂区-园区”环境风险防控体系要求。</w:t>
            </w:r>
          </w:p>
          <w:p w14:paraId="73C8E347">
            <w:pPr>
              <w:pStyle w:val="49"/>
              <w:rPr>
                <w:color w:val="auto"/>
                <w:sz w:val="21"/>
                <w:szCs w:val="22"/>
              </w:rPr>
            </w:pPr>
            <w:r>
              <w:rPr>
                <w:color w:val="auto"/>
                <w:sz w:val="21"/>
                <w:szCs w:val="22"/>
              </w:rPr>
              <w:t>C</w:t>
            </w:r>
            <w:r>
              <w:rPr>
                <w:rFonts w:hint="eastAsia"/>
                <w:color w:val="auto"/>
                <w:sz w:val="21"/>
                <w:szCs w:val="22"/>
              </w:rPr>
              <w:t>、应急要求</w:t>
            </w:r>
          </w:p>
          <w:p w14:paraId="7CC41380">
            <w:pPr>
              <w:pStyle w:val="49"/>
              <w:rPr>
                <w:color w:val="auto"/>
                <w:sz w:val="21"/>
                <w:szCs w:val="22"/>
              </w:rPr>
            </w:pPr>
            <w:r>
              <w:rPr>
                <w:rFonts w:hint="eastAsia"/>
                <w:color w:val="auto"/>
                <w:sz w:val="21"/>
                <w:szCs w:val="22"/>
              </w:rPr>
              <w:t>通过对污染事故的风险评价，建设单位和各有关部门应制定实施突发性事故应急预案，降低重大环境污染事故发生的概率，消除事故风险隐患。</w:t>
            </w:r>
          </w:p>
          <w:p w14:paraId="092D0752">
            <w:pPr>
              <w:pStyle w:val="49"/>
              <w:rPr>
                <w:color w:val="auto"/>
              </w:rPr>
            </w:pPr>
            <w:r>
              <w:rPr>
                <w:rFonts w:hint="eastAsia"/>
                <w:color w:val="auto"/>
                <w:sz w:val="21"/>
                <w:szCs w:val="22"/>
              </w:rPr>
              <w:t>根据《江苏省突发环境事件应急预案管理办法》（苏环发〔2023〕7号）、《企业事业单位突发环境事件应急预案备案管理办法（试行）》（环发〔2015〕4号）、《企事业单位和工业园区突发环境事件应急预案编制导则》（DB32/T3795-2020）等规定和要求，定期更新修订突发环境事件应急预案向企业所在地生态环境主管部门备案，同时注意编制的应急预案应与沿线各区域、各相关企业应急系统衔接。</w:t>
            </w:r>
          </w:p>
        </w:tc>
      </w:tr>
      <w:tr w14:paraId="264FE5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871" w:type="pct"/>
            <w:vAlign w:val="center"/>
          </w:tcPr>
          <w:p w14:paraId="53BFF010">
            <w:pPr>
              <w:adjustRightInd w:val="0"/>
              <w:snapToGrid w:val="0"/>
              <w:jc w:val="center"/>
              <w:rPr>
                <w:color w:val="auto"/>
                <w:spacing w:val="-8"/>
                <w:szCs w:val="21"/>
              </w:rPr>
            </w:pPr>
            <w:r>
              <w:rPr>
                <w:color w:val="auto"/>
                <w:spacing w:val="-8"/>
                <w:szCs w:val="21"/>
              </w:rPr>
              <w:t>其他环境</w:t>
            </w:r>
          </w:p>
          <w:p w14:paraId="05698B14">
            <w:pPr>
              <w:adjustRightInd w:val="0"/>
              <w:snapToGrid w:val="0"/>
              <w:jc w:val="center"/>
              <w:rPr>
                <w:color w:val="auto"/>
                <w:spacing w:val="-8"/>
                <w:szCs w:val="21"/>
              </w:rPr>
            </w:pPr>
            <w:r>
              <w:rPr>
                <w:color w:val="auto"/>
                <w:spacing w:val="-8"/>
                <w:szCs w:val="21"/>
              </w:rPr>
              <w:t>管理要求</w:t>
            </w:r>
          </w:p>
        </w:tc>
        <w:tc>
          <w:tcPr>
            <w:tcW w:w="4128" w:type="pct"/>
            <w:gridSpan w:val="4"/>
            <w:vAlign w:val="center"/>
          </w:tcPr>
          <w:p w14:paraId="3D093C02">
            <w:pPr>
              <w:adjustRightInd w:val="0"/>
              <w:snapToGrid w:val="0"/>
              <w:rPr>
                <w:color w:val="auto"/>
                <w:szCs w:val="21"/>
              </w:rPr>
            </w:pPr>
            <w:r>
              <w:rPr>
                <w:rFonts w:hint="eastAsia" w:ascii="宋体" w:hAnsi="宋体"/>
                <w:color w:val="auto"/>
                <w:szCs w:val="21"/>
              </w:rPr>
              <w:t>①</w:t>
            </w:r>
            <w:r>
              <w:rPr>
                <w:rFonts w:hint="eastAsia"/>
                <w:color w:val="auto"/>
                <w:szCs w:val="21"/>
              </w:rPr>
              <w:t>严格执行“三同时”制度；②</w:t>
            </w:r>
            <w:r>
              <w:rPr>
                <w:color w:val="auto"/>
                <w:szCs w:val="21"/>
              </w:rPr>
              <w:t>建立环境报告制度</w:t>
            </w:r>
            <w:r>
              <w:rPr>
                <w:rFonts w:hint="eastAsia"/>
                <w:color w:val="auto"/>
                <w:szCs w:val="21"/>
              </w:rPr>
              <w:t>；③</w:t>
            </w:r>
            <w:r>
              <w:rPr>
                <w:color w:val="auto"/>
                <w:szCs w:val="21"/>
              </w:rPr>
              <w:t>健全污染治理设施管理制度</w:t>
            </w:r>
            <w:r>
              <w:rPr>
                <w:rFonts w:hint="eastAsia"/>
                <w:color w:val="auto"/>
                <w:szCs w:val="21"/>
              </w:rPr>
              <w:t>；④</w:t>
            </w:r>
            <w:r>
              <w:rPr>
                <w:color w:val="auto"/>
                <w:szCs w:val="21"/>
              </w:rPr>
              <w:t>建立环境目标管理责任制和奖惩条例</w:t>
            </w:r>
          </w:p>
        </w:tc>
      </w:tr>
    </w:tbl>
    <w:p w14:paraId="62368C13">
      <w:pPr>
        <w:pStyle w:val="18"/>
        <w:rPr>
          <w:snapToGrid w:val="0"/>
          <w:color w:val="auto"/>
        </w:rPr>
      </w:pPr>
      <w:r>
        <w:rPr>
          <w:snapToGrid w:val="0"/>
          <w:color w:val="auto"/>
        </w:rPr>
        <w:br w:type="page"/>
      </w:r>
      <w:bookmarkStart w:id="20" w:name="_Toc156751477"/>
      <w:r>
        <w:rPr>
          <w:snapToGrid w:val="0"/>
          <w:color w:val="auto"/>
        </w:rPr>
        <w:t>六、结论</w:t>
      </w:r>
      <w:bookmarkEnd w:id="20"/>
    </w:p>
    <w:tbl>
      <w:tblPr>
        <w:tblStyle w:val="21"/>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37F418F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8865" w:type="dxa"/>
          </w:tcPr>
          <w:p w14:paraId="61A89017">
            <w:pPr>
              <w:adjustRightInd w:val="0"/>
              <w:snapToGrid w:val="0"/>
              <w:spacing w:line="500" w:lineRule="exact"/>
              <w:ind w:firstLine="422" w:firstLineChars="200"/>
              <w:rPr>
                <w:b/>
                <w:color w:val="auto"/>
                <w:szCs w:val="21"/>
              </w:rPr>
            </w:pPr>
            <w:r>
              <w:rPr>
                <w:b/>
                <w:color w:val="auto"/>
                <w:szCs w:val="21"/>
              </w:rPr>
              <w:t>一、结论</w:t>
            </w:r>
          </w:p>
          <w:p w14:paraId="1AAC9E5F">
            <w:pPr>
              <w:spacing w:line="500" w:lineRule="exact"/>
              <w:ind w:firstLine="420"/>
              <w:rPr>
                <w:color w:val="auto"/>
                <w:szCs w:val="21"/>
              </w:rPr>
            </w:pPr>
            <w:r>
              <w:rPr>
                <w:rFonts w:hint="eastAsia"/>
                <w:color w:val="auto"/>
                <w:szCs w:val="21"/>
              </w:rPr>
              <w:t>本项目符合国家和地方有关环境保护法律法规、标准、政策及规范要求；生产过程中遵循清洁生产理念，所采用的各项污染防治措施技术可行、经济合理，能保证各类污染物长期稳定达标排放；通过采取有针对性的风险防范措施并落实应急预案，项目的环境风险可防可控。综上所述，在落实本报告表中的各项环保措施以及各级环保主管部门管理要求的前提下，本项目的建设具有环境可行性。同时，本项目在设计、建设、运行全过程中还必须满足消防、安全、职业卫生等相关管理要求，进行规范化的设计、施工和运行管理。</w:t>
            </w:r>
          </w:p>
          <w:p w14:paraId="6B445815">
            <w:pPr>
              <w:adjustRightInd w:val="0"/>
              <w:snapToGrid w:val="0"/>
              <w:spacing w:line="500" w:lineRule="exact"/>
              <w:ind w:firstLine="480" w:firstLineChars="200"/>
              <w:rPr>
                <w:color w:val="auto"/>
                <w:sz w:val="24"/>
              </w:rPr>
            </w:pPr>
          </w:p>
        </w:tc>
      </w:tr>
    </w:tbl>
    <w:p w14:paraId="2A6E6E9C">
      <w:pPr>
        <w:pStyle w:val="18"/>
        <w:rPr>
          <w:color w:val="auto"/>
        </w:rPr>
        <w:sectPr>
          <w:footerReference r:id="rId4" w:type="default"/>
          <w:type w:val="nextColumn"/>
          <w:pgSz w:w="11906" w:h="16838"/>
          <w:pgMar w:top="1418" w:right="1418" w:bottom="1418" w:left="1418" w:header="851" w:footer="851" w:gutter="0"/>
          <w:cols w:space="720" w:num="1"/>
          <w:docGrid w:linePitch="312" w:charSpace="0"/>
        </w:sectPr>
      </w:pPr>
    </w:p>
    <w:p w14:paraId="455212DE">
      <w:pPr>
        <w:pStyle w:val="18"/>
        <w:adjustRightInd w:val="0"/>
        <w:snapToGrid w:val="0"/>
        <w:spacing w:line="360" w:lineRule="auto"/>
        <w:jc w:val="left"/>
        <w:rPr>
          <w:rFonts w:ascii="Times New Roman" w:hAnsi="Times New Roman"/>
          <w:snapToGrid w:val="0"/>
          <w:color w:val="auto"/>
          <w:sz w:val="32"/>
          <w:szCs w:val="32"/>
        </w:rPr>
      </w:pPr>
      <w:bookmarkStart w:id="21" w:name="_Toc186063574"/>
      <w:bookmarkStart w:id="22" w:name="_Toc24670"/>
      <w:bookmarkStart w:id="23" w:name="_Toc156751478"/>
      <w:r>
        <w:rPr>
          <w:rFonts w:ascii="Times New Roman" w:hAnsi="Times New Roman"/>
          <w:snapToGrid w:val="0"/>
          <w:color w:val="auto"/>
          <w:sz w:val="32"/>
          <w:szCs w:val="32"/>
        </w:rPr>
        <w:t>附表</w:t>
      </w:r>
      <w:bookmarkEnd w:id="21"/>
      <w:bookmarkEnd w:id="22"/>
    </w:p>
    <w:p w14:paraId="6C4AA066">
      <w:pPr>
        <w:pStyle w:val="18"/>
        <w:rPr>
          <w:rFonts w:ascii="Times New Roman" w:hAnsi="Times New Roman"/>
          <w:snapToGrid w:val="0"/>
          <w:color w:val="auto"/>
        </w:rPr>
      </w:pPr>
      <w:r>
        <w:rPr>
          <w:rFonts w:ascii="Times New Roman" w:hAnsi="Times New Roman"/>
          <w:b/>
          <w:bCs/>
          <w:color w:val="auto"/>
          <w:sz w:val="36"/>
          <w:szCs w:val="36"/>
        </w:rPr>
        <w:t>建设项目污染物排放量汇总表（单位：t/a）</w:t>
      </w:r>
    </w:p>
    <w:bookmarkEnd w:id="23"/>
    <w:tbl>
      <w:tblPr>
        <w:tblStyle w:val="21"/>
        <w:tblW w:w="492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7"/>
        <w:gridCol w:w="426"/>
        <w:gridCol w:w="846"/>
        <w:gridCol w:w="1004"/>
        <w:gridCol w:w="1004"/>
        <w:gridCol w:w="1004"/>
        <w:gridCol w:w="1004"/>
        <w:gridCol w:w="714"/>
        <w:gridCol w:w="716"/>
        <w:gridCol w:w="794"/>
        <w:gridCol w:w="794"/>
        <w:gridCol w:w="794"/>
        <w:gridCol w:w="794"/>
        <w:gridCol w:w="1004"/>
        <w:gridCol w:w="1004"/>
        <w:gridCol w:w="719"/>
        <w:gridCol w:w="720"/>
      </w:tblGrid>
      <w:tr w14:paraId="42628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52" w:type="pct"/>
            <w:vMerge w:val="restart"/>
            <w:shd w:val="clear" w:color="auto" w:fill="FFFFFF"/>
            <w:vAlign w:val="center"/>
          </w:tcPr>
          <w:p w14:paraId="11B9B9AD">
            <w:pPr>
              <w:widowControl/>
              <w:jc w:val="center"/>
              <w:textAlignment w:val="center"/>
              <w:rPr>
                <w:rFonts w:ascii="宋体" w:hAnsi="宋体" w:cs="宋体"/>
                <w:b/>
                <w:bCs/>
                <w:color w:val="auto"/>
                <w:szCs w:val="21"/>
              </w:rPr>
            </w:pPr>
            <w:r>
              <w:rPr>
                <w:rFonts w:hint="eastAsia" w:ascii="宋体" w:hAnsi="宋体" w:cs="宋体"/>
                <w:b/>
                <w:bCs/>
                <w:color w:val="auto"/>
                <w:kern w:val="0"/>
                <w:szCs w:val="21"/>
                <w:lang w:bidi="ar"/>
              </w:rPr>
              <w:t>项目分类</w:t>
            </w:r>
          </w:p>
        </w:tc>
        <w:tc>
          <w:tcPr>
            <w:tcW w:w="452" w:type="pct"/>
            <w:gridSpan w:val="2"/>
            <w:vMerge w:val="restart"/>
            <w:shd w:val="clear" w:color="auto" w:fill="FFFFFF"/>
            <w:vAlign w:val="center"/>
          </w:tcPr>
          <w:p w14:paraId="536FD118">
            <w:pPr>
              <w:widowControl/>
              <w:jc w:val="center"/>
              <w:textAlignment w:val="center"/>
              <w:rPr>
                <w:rFonts w:ascii="宋体" w:hAnsi="宋体" w:cs="宋体"/>
                <w:b/>
                <w:bCs/>
                <w:color w:val="auto"/>
                <w:szCs w:val="21"/>
              </w:rPr>
            </w:pPr>
            <w:r>
              <w:rPr>
                <w:rFonts w:hint="eastAsia" w:ascii="宋体" w:hAnsi="宋体" w:cs="宋体"/>
                <w:b/>
                <w:bCs/>
                <w:color w:val="auto"/>
                <w:kern w:val="0"/>
                <w:szCs w:val="21"/>
                <w:lang w:bidi="ar"/>
              </w:rPr>
              <w:t>污染物名称</w:t>
            </w:r>
          </w:p>
        </w:tc>
        <w:tc>
          <w:tcPr>
            <w:tcW w:w="713" w:type="pct"/>
            <w:gridSpan w:val="2"/>
            <w:shd w:val="clear" w:color="auto" w:fill="FFFFFF"/>
            <w:vAlign w:val="center"/>
          </w:tcPr>
          <w:p w14:paraId="67065171">
            <w:pPr>
              <w:widowControl/>
              <w:jc w:val="center"/>
              <w:textAlignment w:val="center"/>
              <w:rPr>
                <w:rFonts w:ascii="宋体" w:hAnsi="宋体" w:cs="宋体"/>
                <w:b/>
                <w:bCs/>
                <w:color w:val="auto"/>
                <w:szCs w:val="21"/>
              </w:rPr>
            </w:pPr>
            <w:r>
              <w:rPr>
                <w:rFonts w:hint="eastAsia" w:ascii="宋体" w:hAnsi="宋体" w:cs="宋体"/>
                <w:b/>
                <w:bCs/>
                <w:color w:val="auto"/>
                <w:szCs w:val="21"/>
              </w:rPr>
              <w:t>现有工程</w:t>
            </w:r>
          </w:p>
          <w:p w14:paraId="69DB20DE">
            <w:pPr>
              <w:widowControl/>
              <w:jc w:val="center"/>
              <w:textAlignment w:val="center"/>
              <w:rPr>
                <w:rFonts w:ascii="宋体" w:hAnsi="宋体" w:cs="宋体"/>
                <w:b/>
                <w:bCs/>
                <w:color w:val="auto"/>
                <w:szCs w:val="21"/>
              </w:rPr>
            </w:pPr>
            <w:r>
              <w:rPr>
                <w:rFonts w:hint="eastAsia" w:ascii="宋体" w:hAnsi="宋体" w:cs="宋体"/>
                <w:b/>
                <w:bCs/>
                <w:color w:val="auto"/>
                <w:szCs w:val="21"/>
              </w:rPr>
              <w:t>排放量（固体废物产生量）①</w:t>
            </w:r>
          </w:p>
        </w:tc>
        <w:tc>
          <w:tcPr>
            <w:tcW w:w="713" w:type="pct"/>
            <w:gridSpan w:val="2"/>
            <w:shd w:val="clear" w:color="auto" w:fill="FFFFFF"/>
            <w:vAlign w:val="center"/>
          </w:tcPr>
          <w:p w14:paraId="27439CEF">
            <w:pPr>
              <w:widowControl/>
              <w:jc w:val="center"/>
              <w:textAlignment w:val="center"/>
              <w:rPr>
                <w:rFonts w:ascii="宋体" w:hAnsi="宋体" w:cs="宋体"/>
                <w:b/>
                <w:bCs/>
                <w:color w:val="auto"/>
                <w:kern w:val="0"/>
                <w:szCs w:val="21"/>
                <w:lang w:bidi="ar"/>
              </w:rPr>
            </w:pPr>
            <w:r>
              <w:rPr>
                <w:rFonts w:hint="eastAsia" w:ascii="宋体" w:hAnsi="宋体" w:cs="宋体"/>
                <w:b/>
                <w:bCs/>
                <w:color w:val="auto"/>
                <w:kern w:val="0"/>
                <w:szCs w:val="21"/>
                <w:lang w:bidi="ar"/>
              </w:rPr>
              <w:t>现有工程</w:t>
            </w:r>
          </w:p>
          <w:p w14:paraId="485A7A98">
            <w:pPr>
              <w:widowControl/>
              <w:jc w:val="center"/>
              <w:textAlignment w:val="center"/>
              <w:rPr>
                <w:rFonts w:ascii="宋体" w:hAnsi="宋体" w:cs="宋体"/>
                <w:b/>
                <w:bCs/>
                <w:color w:val="auto"/>
                <w:kern w:val="0"/>
                <w:szCs w:val="21"/>
                <w:lang w:bidi="ar"/>
              </w:rPr>
            </w:pPr>
            <w:r>
              <w:rPr>
                <w:rFonts w:hint="eastAsia" w:ascii="宋体" w:hAnsi="宋体" w:cs="宋体"/>
                <w:b/>
                <w:bCs/>
                <w:color w:val="auto"/>
                <w:kern w:val="0"/>
                <w:szCs w:val="21"/>
                <w:lang w:bidi="ar"/>
              </w:rPr>
              <w:t>许可排放量</w:t>
            </w:r>
          </w:p>
          <w:p w14:paraId="708273A6">
            <w:pPr>
              <w:widowControl/>
              <w:jc w:val="center"/>
              <w:textAlignment w:val="center"/>
              <w:rPr>
                <w:rFonts w:ascii="宋体" w:hAnsi="宋体" w:cs="宋体"/>
                <w:b/>
                <w:bCs/>
                <w:color w:val="auto"/>
                <w:kern w:val="0"/>
                <w:szCs w:val="21"/>
                <w:lang w:bidi="ar"/>
              </w:rPr>
            </w:pPr>
            <w:r>
              <w:rPr>
                <w:rFonts w:hint="eastAsia" w:ascii="宋体" w:hAnsi="宋体" w:cs="宋体"/>
                <w:b/>
                <w:bCs/>
                <w:color w:val="auto"/>
                <w:kern w:val="0"/>
                <w:szCs w:val="21"/>
                <w:lang w:bidi="ar"/>
              </w:rPr>
              <w:t>②</w:t>
            </w:r>
          </w:p>
        </w:tc>
        <w:tc>
          <w:tcPr>
            <w:tcW w:w="561" w:type="pct"/>
            <w:gridSpan w:val="2"/>
            <w:shd w:val="clear" w:color="auto" w:fill="FFFFFF"/>
            <w:vAlign w:val="center"/>
          </w:tcPr>
          <w:p w14:paraId="49E597E3">
            <w:pPr>
              <w:widowControl/>
              <w:jc w:val="center"/>
              <w:textAlignment w:val="center"/>
              <w:rPr>
                <w:rFonts w:ascii="宋体" w:hAnsi="宋体" w:cs="宋体"/>
                <w:b/>
                <w:bCs/>
                <w:color w:val="auto"/>
                <w:szCs w:val="21"/>
              </w:rPr>
            </w:pPr>
            <w:r>
              <w:rPr>
                <w:rFonts w:hint="eastAsia" w:ascii="宋体" w:hAnsi="宋体" w:cs="宋体"/>
                <w:b/>
                <w:bCs/>
                <w:color w:val="auto"/>
                <w:szCs w:val="21"/>
              </w:rPr>
              <w:t>在建工程</w:t>
            </w:r>
          </w:p>
          <w:p w14:paraId="67F5135C">
            <w:pPr>
              <w:widowControl/>
              <w:jc w:val="center"/>
              <w:textAlignment w:val="center"/>
              <w:rPr>
                <w:rFonts w:ascii="宋体" w:hAnsi="宋体" w:cs="宋体"/>
                <w:b/>
                <w:bCs/>
                <w:color w:val="auto"/>
                <w:szCs w:val="21"/>
              </w:rPr>
            </w:pPr>
            <w:r>
              <w:rPr>
                <w:rFonts w:hint="eastAsia" w:ascii="宋体" w:hAnsi="宋体" w:cs="宋体"/>
                <w:b/>
                <w:bCs/>
                <w:color w:val="auto"/>
                <w:szCs w:val="21"/>
              </w:rPr>
              <w:t>排放量（固体废物产生量）③</w:t>
            </w:r>
          </w:p>
        </w:tc>
        <w:tc>
          <w:tcPr>
            <w:tcW w:w="564" w:type="pct"/>
            <w:gridSpan w:val="2"/>
            <w:shd w:val="clear" w:color="auto" w:fill="FFFFFF"/>
            <w:vAlign w:val="center"/>
          </w:tcPr>
          <w:p w14:paraId="63DC506D">
            <w:pPr>
              <w:widowControl/>
              <w:jc w:val="center"/>
              <w:textAlignment w:val="center"/>
              <w:rPr>
                <w:rFonts w:ascii="宋体" w:hAnsi="宋体" w:cs="宋体"/>
                <w:b/>
                <w:bCs/>
                <w:color w:val="auto"/>
                <w:szCs w:val="21"/>
              </w:rPr>
            </w:pPr>
            <w:r>
              <w:rPr>
                <w:rFonts w:hint="eastAsia" w:ascii="宋体" w:hAnsi="宋体" w:cs="宋体"/>
                <w:b/>
                <w:bCs/>
                <w:color w:val="auto"/>
                <w:szCs w:val="21"/>
              </w:rPr>
              <w:t>本项目</w:t>
            </w:r>
          </w:p>
          <w:p w14:paraId="3F8D615F">
            <w:pPr>
              <w:widowControl/>
              <w:jc w:val="center"/>
              <w:textAlignment w:val="center"/>
              <w:rPr>
                <w:rFonts w:ascii="宋体" w:hAnsi="宋体" w:cs="宋体"/>
                <w:b/>
                <w:bCs/>
                <w:color w:val="auto"/>
                <w:szCs w:val="21"/>
              </w:rPr>
            </w:pPr>
            <w:r>
              <w:rPr>
                <w:rFonts w:hint="eastAsia" w:ascii="宋体" w:hAnsi="宋体" w:cs="宋体"/>
                <w:b/>
                <w:bCs/>
                <w:color w:val="auto"/>
                <w:szCs w:val="21"/>
              </w:rPr>
              <w:t>排放量（固体废物产生量）④</w:t>
            </w:r>
          </w:p>
        </w:tc>
        <w:tc>
          <w:tcPr>
            <w:tcW w:w="564" w:type="pct"/>
            <w:gridSpan w:val="2"/>
            <w:shd w:val="clear" w:color="auto" w:fill="FFFFFF"/>
            <w:vAlign w:val="center"/>
          </w:tcPr>
          <w:p w14:paraId="74FB610C">
            <w:pPr>
              <w:widowControl/>
              <w:jc w:val="center"/>
              <w:textAlignment w:val="center"/>
              <w:rPr>
                <w:b/>
                <w:bCs/>
                <w:color w:val="auto"/>
                <w:szCs w:val="21"/>
              </w:rPr>
            </w:pPr>
            <w:r>
              <w:rPr>
                <w:b/>
                <w:bCs/>
                <w:color w:val="auto"/>
                <w:szCs w:val="21"/>
              </w:rPr>
              <w:t>以新带老削减量（新建项目不填）⑤</w:t>
            </w:r>
          </w:p>
        </w:tc>
        <w:tc>
          <w:tcPr>
            <w:tcW w:w="713" w:type="pct"/>
            <w:gridSpan w:val="2"/>
            <w:shd w:val="clear" w:color="auto" w:fill="FFFFFF"/>
            <w:vAlign w:val="center"/>
          </w:tcPr>
          <w:p w14:paraId="01C8C553">
            <w:pPr>
              <w:widowControl/>
              <w:jc w:val="center"/>
              <w:textAlignment w:val="center"/>
              <w:rPr>
                <w:rFonts w:ascii="宋体" w:hAnsi="宋体" w:cs="宋体"/>
                <w:b/>
                <w:bCs/>
                <w:color w:val="auto"/>
                <w:szCs w:val="21"/>
              </w:rPr>
            </w:pPr>
            <w:r>
              <w:rPr>
                <w:rFonts w:hint="eastAsia" w:ascii="宋体" w:hAnsi="宋体" w:cs="宋体"/>
                <w:b/>
                <w:bCs/>
                <w:color w:val="auto"/>
                <w:szCs w:val="21"/>
              </w:rPr>
              <w:t>本项目建成后</w:t>
            </w:r>
          </w:p>
          <w:p w14:paraId="5528B1EE">
            <w:pPr>
              <w:widowControl/>
              <w:jc w:val="center"/>
              <w:textAlignment w:val="center"/>
              <w:rPr>
                <w:rFonts w:ascii="宋体" w:hAnsi="宋体" w:cs="宋体"/>
                <w:b/>
                <w:bCs/>
                <w:color w:val="auto"/>
                <w:szCs w:val="21"/>
              </w:rPr>
            </w:pPr>
            <w:r>
              <w:rPr>
                <w:rFonts w:hint="eastAsia" w:ascii="宋体" w:hAnsi="宋体" w:cs="宋体"/>
                <w:b/>
                <w:bCs/>
                <w:color w:val="auto"/>
                <w:szCs w:val="21"/>
              </w:rPr>
              <w:t>全厂排放量（固体废物产生量）⑥</w:t>
            </w:r>
          </w:p>
        </w:tc>
        <w:tc>
          <w:tcPr>
            <w:tcW w:w="564" w:type="pct"/>
            <w:gridSpan w:val="2"/>
            <w:shd w:val="clear" w:color="auto" w:fill="FFFFFF"/>
            <w:vAlign w:val="center"/>
          </w:tcPr>
          <w:p w14:paraId="5D923267">
            <w:pPr>
              <w:widowControl/>
              <w:jc w:val="center"/>
              <w:textAlignment w:val="center"/>
              <w:rPr>
                <w:rFonts w:ascii="宋体" w:hAnsi="宋体" w:cs="宋体"/>
                <w:b/>
                <w:bCs/>
                <w:color w:val="auto"/>
                <w:szCs w:val="21"/>
              </w:rPr>
            </w:pPr>
            <w:r>
              <w:rPr>
                <w:rFonts w:hint="eastAsia" w:ascii="宋体" w:hAnsi="宋体" w:cs="宋体"/>
                <w:b/>
                <w:bCs/>
                <w:color w:val="auto"/>
                <w:szCs w:val="21"/>
              </w:rPr>
              <w:t>变化量</w:t>
            </w:r>
          </w:p>
          <w:p w14:paraId="476EDF99">
            <w:pPr>
              <w:widowControl/>
              <w:jc w:val="center"/>
              <w:textAlignment w:val="center"/>
              <w:rPr>
                <w:rFonts w:ascii="宋体" w:hAnsi="宋体" w:cs="宋体"/>
                <w:b/>
                <w:bCs/>
                <w:color w:val="auto"/>
                <w:szCs w:val="21"/>
              </w:rPr>
            </w:pPr>
            <w:r>
              <w:rPr>
                <w:rFonts w:hint="eastAsia" w:ascii="宋体" w:hAnsi="宋体" w:cs="宋体"/>
                <w:b/>
                <w:bCs/>
                <w:color w:val="auto"/>
                <w:szCs w:val="21"/>
              </w:rPr>
              <w:t>⑦</w:t>
            </w:r>
          </w:p>
        </w:tc>
      </w:tr>
      <w:tr w14:paraId="2B2F8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52" w:type="pct"/>
            <w:vMerge w:val="continue"/>
            <w:shd w:val="clear" w:color="auto" w:fill="FFFFFF"/>
            <w:vAlign w:val="center"/>
          </w:tcPr>
          <w:p w14:paraId="517CC8C1">
            <w:pPr>
              <w:jc w:val="center"/>
              <w:rPr>
                <w:rFonts w:ascii="宋体" w:hAnsi="宋体" w:cs="宋体"/>
                <w:b/>
                <w:bCs/>
                <w:color w:val="auto"/>
                <w:szCs w:val="21"/>
              </w:rPr>
            </w:pPr>
          </w:p>
        </w:tc>
        <w:tc>
          <w:tcPr>
            <w:tcW w:w="452" w:type="pct"/>
            <w:gridSpan w:val="2"/>
            <w:vMerge w:val="continue"/>
            <w:shd w:val="clear" w:color="auto" w:fill="FFFFFF"/>
            <w:vAlign w:val="center"/>
          </w:tcPr>
          <w:p w14:paraId="31B244B7">
            <w:pPr>
              <w:jc w:val="center"/>
              <w:rPr>
                <w:rFonts w:ascii="宋体" w:hAnsi="宋体" w:cs="宋体"/>
                <w:b/>
                <w:bCs/>
                <w:color w:val="auto"/>
                <w:szCs w:val="21"/>
              </w:rPr>
            </w:pPr>
          </w:p>
        </w:tc>
        <w:tc>
          <w:tcPr>
            <w:tcW w:w="356" w:type="pct"/>
            <w:shd w:val="clear" w:color="auto" w:fill="FFFFFF"/>
            <w:vAlign w:val="center"/>
          </w:tcPr>
          <w:p w14:paraId="3DA050EB">
            <w:pPr>
              <w:widowControl/>
              <w:jc w:val="center"/>
              <w:textAlignment w:val="center"/>
              <w:rPr>
                <w:rFonts w:ascii="宋体" w:hAnsi="宋体" w:cs="宋体"/>
                <w:b/>
                <w:bCs/>
                <w:color w:val="auto"/>
                <w:szCs w:val="21"/>
              </w:rPr>
            </w:pPr>
            <w:r>
              <w:rPr>
                <w:rFonts w:hint="eastAsia" w:ascii="宋体" w:hAnsi="宋体" w:cs="宋体"/>
                <w:b/>
                <w:bCs/>
                <w:color w:val="auto"/>
                <w:kern w:val="0"/>
                <w:szCs w:val="21"/>
                <w:lang w:bidi="ar"/>
              </w:rPr>
              <w:t>接管量</w:t>
            </w:r>
          </w:p>
        </w:tc>
        <w:tc>
          <w:tcPr>
            <w:tcW w:w="356" w:type="pct"/>
            <w:shd w:val="clear" w:color="auto" w:fill="FFFFFF"/>
            <w:vAlign w:val="center"/>
          </w:tcPr>
          <w:p w14:paraId="544B96F3">
            <w:pPr>
              <w:widowControl/>
              <w:jc w:val="center"/>
              <w:textAlignment w:val="center"/>
              <w:rPr>
                <w:rFonts w:ascii="宋体" w:hAnsi="宋体" w:cs="宋体"/>
                <w:b/>
                <w:bCs/>
                <w:color w:val="auto"/>
                <w:szCs w:val="21"/>
              </w:rPr>
            </w:pPr>
            <w:r>
              <w:rPr>
                <w:rFonts w:hint="eastAsia" w:ascii="宋体" w:hAnsi="宋体" w:cs="宋体"/>
                <w:b/>
                <w:bCs/>
                <w:color w:val="auto"/>
                <w:kern w:val="0"/>
                <w:szCs w:val="21"/>
                <w:lang w:bidi="ar"/>
              </w:rPr>
              <w:t>排入环境量</w:t>
            </w:r>
          </w:p>
        </w:tc>
        <w:tc>
          <w:tcPr>
            <w:tcW w:w="356" w:type="pct"/>
            <w:shd w:val="clear" w:color="auto" w:fill="FFFFFF"/>
            <w:vAlign w:val="center"/>
          </w:tcPr>
          <w:p w14:paraId="33DA1E19">
            <w:pPr>
              <w:widowControl/>
              <w:jc w:val="center"/>
              <w:textAlignment w:val="center"/>
              <w:rPr>
                <w:rFonts w:ascii="宋体" w:hAnsi="宋体" w:cs="宋体"/>
                <w:b/>
                <w:bCs/>
                <w:color w:val="auto"/>
                <w:kern w:val="0"/>
                <w:szCs w:val="21"/>
                <w:lang w:bidi="ar"/>
              </w:rPr>
            </w:pPr>
            <w:r>
              <w:rPr>
                <w:rFonts w:hint="eastAsia" w:ascii="宋体" w:hAnsi="宋体" w:cs="宋体"/>
                <w:b/>
                <w:bCs/>
                <w:color w:val="auto"/>
                <w:kern w:val="0"/>
                <w:szCs w:val="21"/>
                <w:lang w:bidi="ar"/>
              </w:rPr>
              <w:t>接管量</w:t>
            </w:r>
          </w:p>
        </w:tc>
        <w:tc>
          <w:tcPr>
            <w:tcW w:w="356" w:type="pct"/>
            <w:shd w:val="clear" w:color="auto" w:fill="FFFFFF"/>
            <w:vAlign w:val="center"/>
          </w:tcPr>
          <w:p w14:paraId="35677DF4">
            <w:pPr>
              <w:widowControl/>
              <w:jc w:val="center"/>
              <w:textAlignment w:val="center"/>
              <w:rPr>
                <w:color w:val="auto"/>
              </w:rPr>
            </w:pPr>
            <w:r>
              <w:rPr>
                <w:rFonts w:hint="eastAsia" w:ascii="宋体" w:hAnsi="宋体" w:cs="宋体"/>
                <w:b/>
                <w:bCs/>
                <w:color w:val="auto"/>
                <w:kern w:val="0"/>
                <w:szCs w:val="21"/>
                <w:lang w:bidi="ar"/>
              </w:rPr>
              <w:t>排入环境量</w:t>
            </w:r>
          </w:p>
        </w:tc>
        <w:tc>
          <w:tcPr>
            <w:tcW w:w="280" w:type="pct"/>
            <w:shd w:val="clear" w:color="auto" w:fill="FFFFFF"/>
            <w:vAlign w:val="center"/>
          </w:tcPr>
          <w:p w14:paraId="63EA3AC1">
            <w:pPr>
              <w:widowControl/>
              <w:jc w:val="center"/>
              <w:textAlignment w:val="center"/>
              <w:rPr>
                <w:rFonts w:ascii="宋体" w:hAnsi="宋体" w:cs="宋体"/>
                <w:b/>
                <w:bCs/>
                <w:color w:val="auto"/>
                <w:kern w:val="0"/>
                <w:szCs w:val="21"/>
                <w:lang w:bidi="ar"/>
              </w:rPr>
            </w:pPr>
            <w:r>
              <w:rPr>
                <w:rFonts w:hint="eastAsia" w:ascii="宋体" w:hAnsi="宋体" w:cs="宋体"/>
                <w:b/>
                <w:bCs/>
                <w:color w:val="auto"/>
                <w:kern w:val="0"/>
                <w:szCs w:val="21"/>
                <w:lang w:bidi="ar"/>
              </w:rPr>
              <w:t>接管量</w:t>
            </w:r>
          </w:p>
        </w:tc>
        <w:tc>
          <w:tcPr>
            <w:tcW w:w="280" w:type="pct"/>
            <w:shd w:val="clear" w:color="auto" w:fill="FFFFFF"/>
            <w:vAlign w:val="center"/>
          </w:tcPr>
          <w:p w14:paraId="340C69C6">
            <w:pPr>
              <w:widowControl/>
              <w:jc w:val="center"/>
              <w:textAlignment w:val="center"/>
              <w:rPr>
                <w:color w:val="auto"/>
              </w:rPr>
            </w:pPr>
            <w:r>
              <w:rPr>
                <w:rFonts w:hint="eastAsia" w:ascii="宋体" w:hAnsi="宋体" w:cs="宋体"/>
                <w:b/>
                <w:bCs/>
                <w:color w:val="auto"/>
                <w:kern w:val="0"/>
                <w:szCs w:val="21"/>
                <w:lang w:bidi="ar"/>
              </w:rPr>
              <w:t>排入环境量</w:t>
            </w:r>
          </w:p>
        </w:tc>
        <w:tc>
          <w:tcPr>
            <w:tcW w:w="282" w:type="pct"/>
            <w:shd w:val="clear" w:color="auto" w:fill="FFFFFF"/>
            <w:vAlign w:val="center"/>
          </w:tcPr>
          <w:p w14:paraId="31689C86">
            <w:pPr>
              <w:widowControl/>
              <w:jc w:val="center"/>
              <w:textAlignment w:val="center"/>
              <w:rPr>
                <w:rFonts w:ascii="宋体" w:hAnsi="宋体" w:cs="宋体"/>
                <w:b/>
                <w:bCs/>
                <w:color w:val="auto"/>
                <w:szCs w:val="21"/>
              </w:rPr>
            </w:pPr>
            <w:r>
              <w:rPr>
                <w:rFonts w:hint="eastAsia" w:ascii="宋体" w:hAnsi="宋体" w:cs="宋体"/>
                <w:b/>
                <w:bCs/>
                <w:color w:val="auto"/>
                <w:kern w:val="0"/>
                <w:szCs w:val="21"/>
                <w:lang w:bidi="ar"/>
              </w:rPr>
              <w:t>接管量</w:t>
            </w:r>
          </w:p>
        </w:tc>
        <w:tc>
          <w:tcPr>
            <w:tcW w:w="282" w:type="pct"/>
            <w:shd w:val="clear" w:color="auto" w:fill="FFFFFF"/>
            <w:vAlign w:val="center"/>
          </w:tcPr>
          <w:p w14:paraId="04A22DE0">
            <w:pPr>
              <w:widowControl/>
              <w:jc w:val="center"/>
              <w:textAlignment w:val="center"/>
              <w:rPr>
                <w:rFonts w:ascii="宋体" w:hAnsi="宋体" w:cs="宋体"/>
                <w:b/>
                <w:bCs/>
                <w:color w:val="auto"/>
                <w:szCs w:val="21"/>
              </w:rPr>
            </w:pPr>
            <w:r>
              <w:rPr>
                <w:rFonts w:hint="eastAsia" w:ascii="宋体" w:hAnsi="宋体" w:cs="宋体"/>
                <w:b/>
                <w:bCs/>
                <w:color w:val="auto"/>
                <w:kern w:val="0"/>
                <w:szCs w:val="21"/>
                <w:lang w:bidi="ar"/>
              </w:rPr>
              <w:t>排入环境量</w:t>
            </w:r>
          </w:p>
        </w:tc>
        <w:tc>
          <w:tcPr>
            <w:tcW w:w="282" w:type="pct"/>
            <w:shd w:val="clear" w:color="auto" w:fill="FFFFFF"/>
            <w:vAlign w:val="center"/>
          </w:tcPr>
          <w:p w14:paraId="098FFB1D">
            <w:pPr>
              <w:widowControl/>
              <w:jc w:val="center"/>
              <w:textAlignment w:val="center"/>
              <w:rPr>
                <w:rFonts w:ascii="宋体" w:hAnsi="宋体" w:cs="宋体"/>
                <w:b/>
                <w:bCs/>
                <w:color w:val="auto"/>
                <w:szCs w:val="21"/>
              </w:rPr>
            </w:pPr>
            <w:r>
              <w:rPr>
                <w:rFonts w:hint="eastAsia" w:ascii="宋体" w:hAnsi="宋体" w:cs="宋体"/>
                <w:b/>
                <w:bCs/>
                <w:color w:val="auto"/>
                <w:kern w:val="0"/>
                <w:szCs w:val="21"/>
                <w:lang w:bidi="ar"/>
              </w:rPr>
              <w:t>接管量</w:t>
            </w:r>
          </w:p>
        </w:tc>
        <w:tc>
          <w:tcPr>
            <w:tcW w:w="282" w:type="pct"/>
            <w:shd w:val="clear" w:color="auto" w:fill="FFFFFF"/>
            <w:vAlign w:val="center"/>
          </w:tcPr>
          <w:p w14:paraId="66FA5B1E">
            <w:pPr>
              <w:widowControl/>
              <w:jc w:val="center"/>
              <w:textAlignment w:val="center"/>
              <w:rPr>
                <w:rFonts w:ascii="宋体" w:hAnsi="宋体" w:cs="宋体"/>
                <w:b/>
                <w:bCs/>
                <w:color w:val="auto"/>
                <w:szCs w:val="21"/>
              </w:rPr>
            </w:pPr>
            <w:r>
              <w:rPr>
                <w:rFonts w:hint="eastAsia" w:ascii="宋体" w:hAnsi="宋体" w:cs="宋体"/>
                <w:b/>
                <w:bCs/>
                <w:color w:val="auto"/>
                <w:kern w:val="0"/>
                <w:szCs w:val="21"/>
                <w:lang w:bidi="ar"/>
              </w:rPr>
              <w:t>排入环境量</w:t>
            </w:r>
          </w:p>
        </w:tc>
        <w:tc>
          <w:tcPr>
            <w:tcW w:w="356" w:type="pct"/>
            <w:shd w:val="clear" w:color="auto" w:fill="FFFFFF"/>
            <w:vAlign w:val="center"/>
          </w:tcPr>
          <w:p w14:paraId="1DC81E66">
            <w:pPr>
              <w:widowControl/>
              <w:jc w:val="center"/>
              <w:textAlignment w:val="center"/>
              <w:rPr>
                <w:rFonts w:ascii="宋体" w:hAnsi="宋体" w:cs="宋体"/>
                <w:b/>
                <w:bCs/>
                <w:color w:val="auto"/>
                <w:szCs w:val="21"/>
              </w:rPr>
            </w:pPr>
            <w:r>
              <w:rPr>
                <w:rFonts w:hint="eastAsia" w:ascii="宋体" w:hAnsi="宋体" w:cs="宋体"/>
                <w:b/>
                <w:bCs/>
                <w:color w:val="auto"/>
                <w:kern w:val="0"/>
                <w:szCs w:val="21"/>
                <w:lang w:bidi="ar"/>
              </w:rPr>
              <w:t>接管量</w:t>
            </w:r>
          </w:p>
        </w:tc>
        <w:tc>
          <w:tcPr>
            <w:tcW w:w="356" w:type="pct"/>
            <w:shd w:val="clear" w:color="auto" w:fill="FFFFFF"/>
            <w:vAlign w:val="center"/>
          </w:tcPr>
          <w:p w14:paraId="2193CC34">
            <w:pPr>
              <w:widowControl/>
              <w:jc w:val="center"/>
              <w:textAlignment w:val="center"/>
              <w:rPr>
                <w:rFonts w:ascii="宋体" w:hAnsi="宋体" w:cs="宋体"/>
                <w:b/>
                <w:bCs/>
                <w:color w:val="auto"/>
                <w:szCs w:val="21"/>
              </w:rPr>
            </w:pPr>
            <w:r>
              <w:rPr>
                <w:rFonts w:hint="eastAsia" w:ascii="宋体" w:hAnsi="宋体" w:cs="宋体"/>
                <w:b/>
                <w:bCs/>
                <w:color w:val="auto"/>
                <w:kern w:val="0"/>
                <w:szCs w:val="21"/>
                <w:lang w:bidi="ar"/>
              </w:rPr>
              <w:t>排入环境量</w:t>
            </w:r>
          </w:p>
        </w:tc>
        <w:tc>
          <w:tcPr>
            <w:tcW w:w="282" w:type="pct"/>
            <w:shd w:val="clear" w:color="auto" w:fill="FFFFFF"/>
            <w:vAlign w:val="center"/>
          </w:tcPr>
          <w:p w14:paraId="76E93D2E">
            <w:pPr>
              <w:widowControl/>
              <w:jc w:val="center"/>
              <w:textAlignment w:val="center"/>
              <w:rPr>
                <w:rFonts w:ascii="宋体" w:hAnsi="宋体" w:cs="宋体"/>
                <w:b/>
                <w:bCs/>
                <w:color w:val="auto"/>
                <w:szCs w:val="21"/>
              </w:rPr>
            </w:pPr>
            <w:r>
              <w:rPr>
                <w:rFonts w:hint="eastAsia" w:ascii="宋体" w:hAnsi="宋体" w:cs="宋体"/>
                <w:b/>
                <w:bCs/>
                <w:color w:val="auto"/>
                <w:kern w:val="0"/>
                <w:szCs w:val="21"/>
                <w:lang w:bidi="ar"/>
              </w:rPr>
              <w:t>接管量</w:t>
            </w:r>
          </w:p>
        </w:tc>
        <w:tc>
          <w:tcPr>
            <w:tcW w:w="282" w:type="pct"/>
            <w:shd w:val="clear" w:color="auto" w:fill="FFFFFF"/>
            <w:vAlign w:val="center"/>
          </w:tcPr>
          <w:p w14:paraId="0CF2A80C">
            <w:pPr>
              <w:widowControl/>
              <w:jc w:val="center"/>
              <w:textAlignment w:val="center"/>
              <w:rPr>
                <w:rFonts w:ascii="宋体" w:hAnsi="宋体" w:cs="宋体"/>
                <w:b/>
                <w:bCs/>
                <w:color w:val="auto"/>
                <w:szCs w:val="21"/>
              </w:rPr>
            </w:pPr>
            <w:r>
              <w:rPr>
                <w:rFonts w:hint="eastAsia" w:ascii="宋体" w:hAnsi="宋体" w:cs="宋体"/>
                <w:b/>
                <w:bCs/>
                <w:color w:val="auto"/>
                <w:kern w:val="0"/>
                <w:szCs w:val="21"/>
                <w:lang w:bidi="ar"/>
              </w:rPr>
              <w:t>排入环境量</w:t>
            </w:r>
          </w:p>
        </w:tc>
      </w:tr>
      <w:tr w14:paraId="2B1F5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52" w:type="pct"/>
            <w:vMerge w:val="restart"/>
            <w:shd w:val="clear" w:color="auto" w:fill="FFFFFF"/>
            <w:vAlign w:val="center"/>
          </w:tcPr>
          <w:p w14:paraId="2AA969F1">
            <w:pPr>
              <w:widowControl/>
              <w:jc w:val="center"/>
              <w:textAlignment w:val="center"/>
              <w:rPr>
                <w:rFonts w:ascii="宋体" w:hAnsi="宋体" w:cs="宋体"/>
                <w:color w:val="auto"/>
                <w:szCs w:val="21"/>
              </w:rPr>
            </w:pPr>
            <w:r>
              <w:rPr>
                <w:rFonts w:hint="eastAsia" w:ascii="宋体" w:hAnsi="宋体" w:cs="宋体"/>
                <w:color w:val="auto"/>
                <w:kern w:val="0"/>
                <w:szCs w:val="21"/>
                <w:lang w:bidi="ar"/>
              </w:rPr>
              <w:t>废气</w:t>
            </w:r>
          </w:p>
        </w:tc>
        <w:tc>
          <w:tcPr>
            <w:tcW w:w="151" w:type="pct"/>
            <w:vMerge w:val="restart"/>
            <w:shd w:val="clear" w:color="auto" w:fill="FFFFFF"/>
            <w:vAlign w:val="center"/>
          </w:tcPr>
          <w:p w14:paraId="30F31A73">
            <w:pPr>
              <w:widowControl/>
              <w:jc w:val="center"/>
              <w:textAlignment w:val="center"/>
              <w:rPr>
                <w:rFonts w:ascii="宋体" w:hAnsi="宋体" w:cs="宋体"/>
                <w:color w:val="auto"/>
                <w:szCs w:val="21"/>
              </w:rPr>
            </w:pPr>
            <w:r>
              <w:rPr>
                <w:rFonts w:hint="eastAsia" w:ascii="宋体" w:hAnsi="宋体" w:cs="宋体"/>
                <w:color w:val="auto"/>
                <w:kern w:val="0"/>
                <w:szCs w:val="21"/>
                <w:lang w:bidi="ar"/>
              </w:rPr>
              <w:t>有组织</w:t>
            </w:r>
          </w:p>
        </w:tc>
        <w:tc>
          <w:tcPr>
            <w:tcW w:w="300" w:type="pct"/>
            <w:shd w:val="clear" w:color="auto" w:fill="FFFFFF"/>
            <w:vAlign w:val="center"/>
          </w:tcPr>
          <w:p w14:paraId="00FEA5C0">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NH</w:t>
            </w:r>
            <w:r>
              <w:rPr>
                <w:rFonts w:hint="default" w:ascii="Times New Roman" w:hAnsi="Times New Roman" w:eastAsia="宋体" w:cs="Times New Roman"/>
                <w:i w:val="0"/>
                <w:iCs w:val="0"/>
                <w:color w:val="auto"/>
                <w:kern w:val="0"/>
                <w:sz w:val="21"/>
                <w:szCs w:val="21"/>
                <w:u w:val="none"/>
                <w:vertAlign w:val="subscript"/>
                <w:lang w:val="en-US" w:eastAsia="zh-CN" w:bidi="ar"/>
              </w:rPr>
              <w:t>3</w:t>
            </w:r>
          </w:p>
        </w:tc>
        <w:tc>
          <w:tcPr>
            <w:tcW w:w="713" w:type="pct"/>
            <w:gridSpan w:val="2"/>
            <w:shd w:val="clear" w:color="auto" w:fill="FFFFFF"/>
            <w:vAlign w:val="center"/>
          </w:tcPr>
          <w:p w14:paraId="73D5E2DD">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0.1064</w:t>
            </w:r>
          </w:p>
        </w:tc>
        <w:tc>
          <w:tcPr>
            <w:tcW w:w="2008" w:type="dxa"/>
            <w:gridSpan w:val="2"/>
            <w:shd w:val="clear" w:color="auto" w:fill="FFFFFF"/>
            <w:vAlign w:val="center"/>
          </w:tcPr>
          <w:p w14:paraId="5BCF8F68">
            <w:pPr>
              <w:keepNext w:val="0"/>
              <w:keepLines w:val="0"/>
              <w:widowControl/>
              <w:suppressLineNumbers w:val="0"/>
              <w:jc w:val="center"/>
              <w:textAlignment w:val="center"/>
              <w:rPr>
                <w:color w:val="auto"/>
                <w:kern w:val="0"/>
                <w:szCs w:val="21"/>
                <w:lang w:bidi="ar"/>
              </w:rPr>
            </w:pPr>
            <w:r>
              <w:rPr>
                <w:rFonts w:hint="default" w:ascii="Times New Roman" w:hAnsi="Times New Roman" w:eastAsia="宋体" w:cs="Times New Roman"/>
                <w:i w:val="0"/>
                <w:iCs w:val="0"/>
                <w:color w:val="auto"/>
                <w:kern w:val="0"/>
                <w:sz w:val="21"/>
                <w:szCs w:val="21"/>
                <w:u w:val="none"/>
                <w:lang w:val="en-US" w:eastAsia="zh-CN" w:bidi="ar"/>
              </w:rPr>
              <w:t>0.1064</w:t>
            </w:r>
          </w:p>
        </w:tc>
        <w:tc>
          <w:tcPr>
            <w:tcW w:w="561" w:type="pct"/>
            <w:gridSpan w:val="2"/>
            <w:shd w:val="clear" w:color="auto" w:fill="FFFFFF"/>
            <w:vAlign w:val="center"/>
          </w:tcPr>
          <w:p w14:paraId="3A2F4432">
            <w:pPr>
              <w:widowControl/>
              <w:jc w:val="center"/>
              <w:textAlignment w:val="center"/>
              <w:rPr>
                <w:color w:val="auto"/>
                <w:kern w:val="0"/>
                <w:szCs w:val="21"/>
                <w:lang w:bidi="ar"/>
              </w:rPr>
            </w:pPr>
            <w:r>
              <w:rPr>
                <w:color w:val="auto"/>
                <w:kern w:val="0"/>
                <w:szCs w:val="21"/>
                <w:lang w:bidi="ar"/>
              </w:rPr>
              <w:t>0</w:t>
            </w:r>
          </w:p>
        </w:tc>
        <w:tc>
          <w:tcPr>
            <w:tcW w:w="1588" w:type="dxa"/>
            <w:gridSpan w:val="2"/>
            <w:shd w:val="clear" w:color="auto" w:fill="FFFFFF"/>
            <w:vAlign w:val="center"/>
          </w:tcPr>
          <w:p w14:paraId="6A1C8D99">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 xml:space="preserve">0.000010 </w:t>
            </w:r>
          </w:p>
        </w:tc>
        <w:tc>
          <w:tcPr>
            <w:tcW w:w="564" w:type="pct"/>
            <w:gridSpan w:val="2"/>
            <w:shd w:val="clear" w:color="auto" w:fill="FFFFFF"/>
            <w:vAlign w:val="center"/>
          </w:tcPr>
          <w:p w14:paraId="67C7A524">
            <w:pPr>
              <w:widowControl/>
              <w:jc w:val="center"/>
              <w:textAlignment w:val="center"/>
              <w:rPr>
                <w:color w:val="auto"/>
                <w:szCs w:val="21"/>
              </w:rPr>
            </w:pPr>
            <w:r>
              <w:rPr>
                <w:color w:val="auto"/>
                <w:kern w:val="0"/>
                <w:szCs w:val="21"/>
                <w:lang w:bidi="ar"/>
              </w:rPr>
              <w:t>0</w:t>
            </w:r>
          </w:p>
        </w:tc>
        <w:tc>
          <w:tcPr>
            <w:tcW w:w="2008" w:type="dxa"/>
            <w:gridSpan w:val="2"/>
            <w:shd w:val="clear" w:color="auto" w:fill="FFFFFF"/>
            <w:vAlign w:val="center"/>
          </w:tcPr>
          <w:p w14:paraId="46A2A820">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 xml:space="preserve">0.106410 </w:t>
            </w:r>
          </w:p>
        </w:tc>
        <w:tc>
          <w:tcPr>
            <w:tcW w:w="1589" w:type="dxa"/>
            <w:gridSpan w:val="2"/>
            <w:shd w:val="clear" w:color="auto" w:fill="FFFFFF"/>
            <w:vAlign w:val="center"/>
          </w:tcPr>
          <w:p w14:paraId="4DF3569D">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 xml:space="preserve">0.000010 </w:t>
            </w:r>
          </w:p>
        </w:tc>
      </w:tr>
      <w:tr w14:paraId="110DC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52" w:type="pct"/>
            <w:vMerge w:val="continue"/>
            <w:shd w:val="clear" w:color="auto" w:fill="FFFFFF"/>
            <w:vAlign w:val="center"/>
          </w:tcPr>
          <w:p w14:paraId="5CC1A6BC">
            <w:pPr>
              <w:jc w:val="center"/>
              <w:rPr>
                <w:rFonts w:ascii="宋体" w:hAnsi="宋体" w:cs="宋体"/>
                <w:color w:val="auto"/>
                <w:szCs w:val="21"/>
              </w:rPr>
            </w:pPr>
          </w:p>
        </w:tc>
        <w:tc>
          <w:tcPr>
            <w:tcW w:w="151" w:type="pct"/>
            <w:vMerge w:val="continue"/>
            <w:shd w:val="clear" w:color="auto" w:fill="FFFFFF"/>
            <w:vAlign w:val="center"/>
          </w:tcPr>
          <w:p w14:paraId="11522EDE">
            <w:pPr>
              <w:jc w:val="center"/>
              <w:rPr>
                <w:rFonts w:ascii="宋体" w:hAnsi="宋体" w:cs="宋体"/>
                <w:color w:val="auto"/>
                <w:szCs w:val="21"/>
              </w:rPr>
            </w:pPr>
          </w:p>
        </w:tc>
        <w:tc>
          <w:tcPr>
            <w:tcW w:w="300" w:type="pct"/>
            <w:shd w:val="clear" w:color="auto" w:fill="FFFFFF"/>
            <w:vAlign w:val="center"/>
          </w:tcPr>
          <w:p w14:paraId="787E34A2">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Cl</w:t>
            </w:r>
            <w:r>
              <w:rPr>
                <w:rFonts w:hint="default" w:ascii="Times New Roman" w:hAnsi="Times New Roman" w:eastAsia="宋体" w:cs="Times New Roman"/>
                <w:i w:val="0"/>
                <w:iCs w:val="0"/>
                <w:color w:val="auto"/>
                <w:kern w:val="0"/>
                <w:sz w:val="21"/>
                <w:szCs w:val="21"/>
                <w:u w:val="none"/>
                <w:vertAlign w:val="subscript"/>
                <w:lang w:val="en-US" w:eastAsia="zh-CN" w:bidi="ar"/>
              </w:rPr>
              <w:t>2</w:t>
            </w:r>
          </w:p>
        </w:tc>
        <w:tc>
          <w:tcPr>
            <w:tcW w:w="713" w:type="pct"/>
            <w:gridSpan w:val="2"/>
            <w:shd w:val="clear" w:color="auto" w:fill="FFFFFF"/>
            <w:vAlign w:val="center"/>
          </w:tcPr>
          <w:p w14:paraId="531F46BF">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0.097</w:t>
            </w:r>
          </w:p>
        </w:tc>
        <w:tc>
          <w:tcPr>
            <w:tcW w:w="2008" w:type="dxa"/>
            <w:gridSpan w:val="2"/>
            <w:shd w:val="clear" w:color="auto" w:fill="FFFFFF"/>
            <w:vAlign w:val="center"/>
          </w:tcPr>
          <w:p w14:paraId="5684CF19">
            <w:pPr>
              <w:keepNext w:val="0"/>
              <w:keepLines w:val="0"/>
              <w:widowControl/>
              <w:suppressLineNumbers w:val="0"/>
              <w:jc w:val="center"/>
              <w:textAlignment w:val="center"/>
              <w:rPr>
                <w:color w:val="auto"/>
                <w:kern w:val="0"/>
                <w:szCs w:val="21"/>
                <w:lang w:bidi="ar"/>
              </w:rPr>
            </w:pPr>
            <w:r>
              <w:rPr>
                <w:rFonts w:hint="default" w:ascii="Times New Roman" w:hAnsi="Times New Roman" w:eastAsia="宋体" w:cs="Times New Roman"/>
                <w:i w:val="0"/>
                <w:iCs w:val="0"/>
                <w:color w:val="auto"/>
                <w:kern w:val="0"/>
                <w:sz w:val="21"/>
                <w:szCs w:val="21"/>
                <w:u w:val="none"/>
                <w:lang w:val="en-US" w:eastAsia="zh-CN" w:bidi="ar"/>
              </w:rPr>
              <w:t>0.097</w:t>
            </w:r>
          </w:p>
        </w:tc>
        <w:tc>
          <w:tcPr>
            <w:tcW w:w="561" w:type="pct"/>
            <w:gridSpan w:val="2"/>
            <w:shd w:val="clear" w:color="auto" w:fill="FFFFFF"/>
            <w:vAlign w:val="center"/>
          </w:tcPr>
          <w:p w14:paraId="101B6EFD">
            <w:pPr>
              <w:widowControl/>
              <w:jc w:val="center"/>
              <w:textAlignment w:val="center"/>
              <w:rPr>
                <w:color w:val="auto"/>
                <w:kern w:val="0"/>
                <w:szCs w:val="21"/>
                <w:lang w:bidi="ar"/>
              </w:rPr>
            </w:pPr>
            <w:r>
              <w:rPr>
                <w:color w:val="auto"/>
                <w:kern w:val="0"/>
                <w:szCs w:val="21"/>
                <w:lang w:bidi="ar"/>
              </w:rPr>
              <w:t>0</w:t>
            </w:r>
          </w:p>
        </w:tc>
        <w:tc>
          <w:tcPr>
            <w:tcW w:w="1588" w:type="dxa"/>
            <w:gridSpan w:val="2"/>
            <w:shd w:val="clear" w:color="auto" w:fill="FFFFFF"/>
            <w:vAlign w:val="center"/>
          </w:tcPr>
          <w:p w14:paraId="536542C0">
            <w:pPr>
              <w:keepNext w:val="0"/>
              <w:keepLines w:val="0"/>
              <w:widowControl/>
              <w:suppressLineNumbers w:val="0"/>
              <w:jc w:val="center"/>
              <w:textAlignment w:val="center"/>
              <w:rPr>
                <w:color w:val="auto"/>
                <w:szCs w:val="21"/>
              </w:rPr>
            </w:pPr>
            <w:r>
              <w:rPr>
                <w:rFonts w:hint="eastAsia" w:cs="Times New Roman"/>
                <w:i w:val="0"/>
                <w:iCs w:val="0"/>
                <w:color w:val="auto"/>
                <w:kern w:val="0"/>
                <w:sz w:val="21"/>
                <w:szCs w:val="21"/>
                <w:u w:val="none"/>
                <w:lang w:val="en-US" w:eastAsia="zh-CN" w:bidi="ar"/>
              </w:rPr>
              <w:t>0</w:t>
            </w:r>
          </w:p>
        </w:tc>
        <w:tc>
          <w:tcPr>
            <w:tcW w:w="564" w:type="pct"/>
            <w:gridSpan w:val="2"/>
            <w:shd w:val="clear" w:color="auto" w:fill="FFFFFF"/>
            <w:vAlign w:val="center"/>
          </w:tcPr>
          <w:p w14:paraId="3C364095">
            <w:pPr>
              <w:widowControl/>
              <w:jc w:val="center"/>
              <w:textAlignment w:val="center"/>
              <w:rPr>
                <w:color w:val="auto"/>
                <w:szCs w:val="21"/>
              </w:rPr>
            </w:pPr>
            <w:r>
              <w:rPr>
                <w:color w:val="auto"/>
                <w:kern w:val="0"/>
                <w:szCs w:val="21"/>
                <w:lang w:bidi="ar"/>
              </w:rPr>
              <w:t>0</w:t>
            </w:r>
          </w:p>
        </w:tc>
        <w:tc>
          <w:tcPr>
            <w:tcW w:w="2008" w:type="dxa"/>
            <w:gridSpan w:val="2"/>
            <w:shd w:val="clear" w:color="auto" w:fill="FFFFFF"/>
            <w:vAlign w:val="center"/>
          </w:tcPr>
          <w:p w14:paraId="56B233E3">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0.097</w:t>
            </w:r>
          </w:p>
        </w:tc>
        <w:tc>
          <w:tcPr>
            <w:tcW w:w="1589" w:type="dxa"/>
            <w:gridSpan w:val="2"/>
            <w:shd w:val="clear" w:color="auto" w:fill="FFFFFF"/>
            <w:vAlign w:val="center"/>
          </w:tcPr>
          <w:p w14:paraId="7273A816">
            <w:pPr>
              <w:keepNext w:val="0"/>
              <w:keepLines w:val="0"/>
              <w:widowControl/>
              <w:suppressLineNumbers w:val="0"/>
              <w:jc w:val="center"/>
              <w:textAlignment w:val="center"/>
              <w:rPr>
                <w:color w:val="auto"/>
                <w:szCs w:val="21"/>
              </w:rPr>
            </w:pPr>
            <w:r>
              <w:rPr>
                <w:rFonts w:hint="eastAsia" w:cs="Times New Roman"/>
                <w:i w:val="0"/>
                <w:iCs w:val="0"/>
                <w:color w:val="auto"/>
                <w:kern w:val="0"/>
                <w:sz w:val="21"/>
                <w:szCs w:val="21"/>
                <w:u w:val="none"/>
                <w:lang w:val="en-US" w:eastAsia="zh-CN" w:bidi="ar"/>
              </w:rPr>
              <w:t>0</w:t>
            </w:r>
          </w:p>
        </w:tc>
      </w:tr>
      <w:tr w14:paraId="5B291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52" w:type="pct"/>
            <w:vMerge w:val="continue"/>
            <w:shd w:val="clear" w:color="auto" w:fill="FFFFFF"/>
            <w:vAlign w:val="center"/>
          </w:tcPr>
          <w:p w14:paraId="2C545C54">
            <w:pPr>
              <w:jc w:val="center"/>
              <w:rPr>
                <w:rFonts w:ascii="宋体" w:hAnsi="宋体" w:cs="宋体"/>
                <w:color w:val="auto"/>
                <w:szCs w:val="21"/>
              </w:rPr>
            </w:pPr>
          </w:p>
        </w:tc>
        <w:tc>
          <w:tcPr>
            <w:tcW w:w="151" w:type="pct"/>
            <w:vMerge w:val="continue"/>
            <w:shd w:val="clear" w:color="auto" w:fill="FFFFFF"/>
            <w:vAlign w:val="center"/>
          </w:tcPr>
          <w:p w14:paraId="50E4B0DF">
            <w:pPr>
              <w:jc w:val="center"/>
              <w:rPr>
                <w:rFonts w:ascii="宋体" w:hAnsi="宋体" w:cs="宋体"/>
                <w:color w:val="auto"/>
                <w:szCs w:val="21"/>
              </w:rPr>
            </w:pPr>
          </w:p>
        </w:tc>
        <w:tc>
          <w:tcPr>
            <w:tcW w:w="300" w:type="pct"/>
            <w:shd w:val="clear" w:color="auto" w:fill="FFFFFF"/>
            <w:vAlign w:val="center"/>
          </w:tcPr>
          <w:p w14:paraId="1490DD58">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HCl</w:t>
            </w:r>
          </w:p>
        </w:tc>
        <w:tc>
          <w:tcPr>
            <w:tcW w:w="713" w:type="pct"/>
            <w:gridSpan w:val="2"/>
            <w:shd w:val="clear" w:color="auto" w:fill="FFFFFF"/>
            <w:vAlign w:val="center"/>
          </w:tcPr>
          <w:p w14:paraId="5287CEC4">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0.0251</w:t>
            </w:r>
          </w:p>
        </w:tc>
        <w:tc>
          <w:tcPr>
            <w:tcW w:w="2008" w:type="dxa"/>
            <w:gridSpan w:val="2"/>
            <w:shd w:val="clear" w:color="auto" w:fill="FFFFFF"/>
            <w:vAlign w:val="center"/>
          </w:tcPr>
          <w:p w14:paraId="264056A9">
            <w:pPr>
              <w:keepNext w:val="0"/>
              <w:keepLines w:val="0"/>
              <w:widowControl/>
              <w:suppressLineNumbers w:val="0"/>
              <w:jc w:val="center"/>
              <w:textAlignment w:val="center"/>
              <w:rPr>
                <w:color w:val="auto"/>
                <w:kern w:val="0"/>
                <w:szCs w:val="21"/>
                <w:lang w:bidi="ar"/>
              </w:rPr>
            </w:pPr>
            <w:r>
              <w:rPr>
                <w:rFonts w:hint="default" w:ascii="Times New Roman" w:hAnsi="Times New Roman" w:eastAsia="宋体" w:cs="Times New Roman"/>
                <w:i w:val="0"/>
                <w:iCs w:val="0"/>
                <w:color w:val="auto"/>
                <w:kern w:val="0"/>
                <w:sz w:val="21"/>
                <w:szCs w:val="21"/>
                <w:u w:val="none"/>
                <w:lang w:val="en-US" w:eastAsia="zh-CN" w:bidi="ar"/>
              </w:rPr>
              <w:t>0.0251</w:t>
            </w:r>
          </w:p>
        </w:tc>
        <w:tc>
          <w:tcPr>
            <w:tcW w:w="561" w:type="pct"/>
            <w:gridSpan w:val="2"/>
            <w:shd w:val="clear" w:color="auto" w:fill="FFFFFF"/>
            <w:vAlign w:val="center"/>
          </w:tcPr>
          <w:p w14:paraId="237FBE7F">
            <w:pPr>
              <w:widowControl/>
              <w:jc w:val="center"/>
              <w:textAlignment w:val="center"/>
              <w:rPr>
                <w:color w:val="auto"/>
                <w:kern w:val="0"/>
                <w:szCs w:val="21"/>
                <w:lang w:bidi="ar"/>
              </w:rPr>
            </w:pPr>
            <w:r>
              <w:rPr>
                <w:color w:val="auto"/>
                <w:kern w:val="0"/>
                <w:szCs w:val="21"/>
                <w:lang w:bidi="ar"/>
              </w:rPr>
              <w:t>0</w:t>
            </w:r>
          </w:p>
        </w:tc>
        <w:tc>
          <w:tcPr>
            <w:tcW w:w="1588" w:type="dxa"/>
            <w:gridSpan w:val="2"/>
            <w:shd w:val="clear" w:color="auto" w:fill="FFFFFF"/>
            <w:vAlign w:val="center"/>
          </w:tcPr>
          <w:p w14:paraId="75C485B2">
            <w:pPr>
              <w:keepNext w:val="0"/>
              <w:keepLines w:val="0"/>
              <w:widowControl/>
              <w:suppressLineNumbers w:val="0"/>
              <w:jc w:val="center"/>
              <w:textAlignment w:val="center"/>
              <w:rPr>
                <w:color w:val="auto"/>
                <w:szCs w:val="21"/>
              </w:rPr>
            </w:pPr>
            <w:r>
              <w:rPr>
                <w:rFonts w:hint="eastAsia" w:cs="Times New Roman"/>
                <w:i w:val="0"/>
                <w:iCs w:val="0"/>
                <w:color w:val="auto"/>
                <w:kern w:val="0"/>
                <w:sz w:val="21"/>
                <w:szCs w:val="21"/>
                <w:u w:val="none"/>
                <w:lang w:val="en-US" w:eastAsia="zh-CN" w:bidi="ar"/>
              </w:rPr>
              <w:t>0</w:t>
            </w:r>
          </w:p>
        </w:tc>
        <w:tc>
          <w:tcPr>
            <w:tcW w:w="564" w:type="pct"/>
            <w:gridSpan w:val="2"/>
            <w:shd w:val="clear" w:color="auto" w:fill="FFFFFF"/>
            <w:vAlign w:val="center"/>
          </w:tcPr>
          <w:p w14:paraId="756B5236">
            <w:pPr>
              <w:widowControl/>
              <w:jc w:val="center"/>
              <w:textAlignment w:val="center"/>
              <w:rPr>
                <w:color w:val="auto"/>
                <w:szCs w:val="21"/>
              </w:rPr>
            </w:pPr>
            <w:r>
              <w:rPr>
                <w:color w:val="auto"/>
                <w:kern w:val="0"/>
                <w:szCs w:val="21"/>
                <w:lang w:bidi="ar"/>
              </w:rPr>
              <w:t>0</w:t>
            </w:r>
          </w:p>
        </w:tc>
        <w:tc>
          <w:tcPr>
            <w:tcW w:w="2008" w:type="dxa"/>
            <w:gridSpan w:val="2"/>
            <w:shd w:val="clear" w:color="auto" w:fill="FFFFFF"/>
            <w:vAlign w:val="center"/>
          </w:tcPr>
          <w:p w14:paraId="38F2B568">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0.0251</w:t>
            </w:r>
          </w:p>
        </w:tc>
        <w:tc>
          <w:tcPr>
            <w:tcW w:w="1589" w:type="dxa"/>
            <w:gridSpan w:val="2"/>
            <w:shd w:val="clear" w:color="auto" w:fill="FFFFFF"/>
            <w:vAlign w:val="center"/>
          </w:tcPr>
          <w:p w14:paraId="1DC304EE">
            <w:pPr>
              <w:keepNext w:val="0"/>
              <w:keepLines w:val="0"/>
              <w:widowControl/>
              <w:suppressLineNumbers w:val="0"/>
              <w:jc w:val="center"/>
              <w:textAlignment w:val="center"/>
              <w:rPr>
                <w:color w:val="auto"/>
                <w:szCs w:val="21"/>
              </w:rPr>
            </w:pPr>
            <w:r>
              <w:rPr>
                <w:rFonts w:hint="eastAsia" w:cs="Times New Roman"/>
                <w:i w:val="0"/>
                <w:iCs w:val="0"/>
                <w:color w:val="auto"/>
                <w:kern w:val="0"/>
                <w:sz w:val="21"/>
                <w:szCs w:val="21"/>
                <w:u w:val="none"/>
                <w:lang w:val="en-US" w:eastAsia="zh-CN" w:bidi="ar"/>
              </w:rPr>
              <w:t>0</w:t>
            </w:r>
          </w:p>
        </w:tc>
      </w:tr>
      <w:tr w14:paraId="2590E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52" w:type="pct"/>
            <w:vMerge w:val="continue"/>
            <w:shd w:val="clear" w:color="auto" w:fill="FFFFFF"/>
            <w:vAlign w:val="center"/>
          </w:tcPr>
          <w:p w14:paraId="3C8386AE">
            <w:pPr>
              <w:jc w:val="center"/>
              <w:rPr>
                <w:rFonts w:ascii="宋体" w:hAnsi="宋体" w:cs="宋体"/>
                <w:color w:val="auto"/>
                <w:szCs w:val="21"/>
              </w:rPr>
            </w:pPr>
          </w:p>
        </w:tc>
        <w:tc>
          <w:tcPr>
            <w:tcW w:w="151" w:type="pct"/>
            <w:vMerge w:val="continue"/>
            <w:shd w:val="clear" w:color="auto" w:fill="FFFFFF"/>
            <w:vAlign w:val="center"/>
          </w:tcPr>
          <w:p w14:paraId="30837639">
            <w:pPr>
              <w:jc w:val="center"/>
              <w:rPr>
                <w:rFonts w:ascii="宋体" w:hAnsi="宋体" w:cs="宋体"/>
                <w:color w:val="auto"/>
                <w:szCs w:val="21"/>
              </w:rPr>
            </w:pPr>
          </w:p>
        </w:tc>
        <w:tc>
          <w:tcPr>
            <w:tcW w:w="300" w:type="pct"/>
            <w:shd w:val="clear" w:color="auto" w:fill="FFFFFF"/>
            <w:vAlign w:val="center"/>
          </w:tcPr>
          <w:p w14:paraId="5DADCBFA">
            <w:pPr>
              <w:keepNext w:val="0"/>
              <w:keepLines w:val="0"/>
              <w:widowControl/>
              <w:suppressLineNumbers w:val="0"/>
              <w:jc w:val="center"/>
              <w:textAlignment w:val="center"/>
              <w:rPr>
                <w:rFonts w:ascii="宋体" w:hAnsi="宋体" w:cs="宋体"/>
                <w:color w:val="auto"/>
                <w:szCs w:val="21"/>
              </w:rPr>
            </w:pPr>
            <w:r>
              <w:rPr>
                <w:rFonts w:hint="eastAsia" w:ascii="宋体" w:hAnsi="宋体" w:eastAsia="宋体" w:cs="宋体"/>
                <w:i w:val="0"/>
                <w:iCs w:val="0"/>
                <w:color w:val="auto"/>
                <w:kern w:val="0"/>
                <w:sz w:val="21"/>
                <w:szCs w:val="21"/>
                <w:u w:val="none"/>
                <w:lang w:val="en-US" w:eastAsia="zh-CN" w:bidi="ar"/>
              </w:rPr>
              <w:t>硫酸雾</w:t>
            </w:r>
          </w:p>
        </w:tc>
        <w:tc>
          <w:tcPr>
            <w:tcW w:w="713" w:type="pct"/>
            <w:gridSpan w:val="2"/>
            <w:shd w:val="clear" w:color="auto" w:fill="FFFFFF"/>
            <w:vAlign w:val="center"/>
          </w:tcPr>
          <w:p w14:paraId="5CFA17E0">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0.3089</w:t>
            </w:r>
          </w:p>
        </w:tc>
        <w:tc>
          <w:tcPr>
            <w:tcW w:w="2008" w:type="dxa"/>
            <w:gridSpan w:val="2"/>
            <w:shd w:val="clear" w:color="auto" w:fill="FFFFFF"/>
            <w:vAlign w:val="center"/>
          </w:tcPr>
          <w:p w14:paraId="35D042F1">
            <w:pPr>
              <w:keepNext w:val="0"/>
              <w:keepLines w:val="0"/>
              <w:widowControl/>
              <w:suppressLineNumbers w:val="0"/>
              <w:jc w:val="center"/>
              <w:textAlignment w:val="center"/>
              <w:rPr>
                <w:color w:val="auto"/>
                <w:kern w:val="0"/>
                <w:szCs w:val="21"/>
                <w:lang w:bidi="ar"/>
              </w:rPr>
            </w:pPr>
            <w:r>
              <w:rPr>
                <w:rFonts w:hint="default" w:ascii="Times New Roman" w:hAnsi="Times New Roman" w:eastAsia="宋体" w:cs="Times New Roman"/>
                <w:i w:val="0"/>
                <w:iCs w:val="0"/>
                <w:color w:val="auto"/>
                <w:kern w:val="0"/>
                <w:sz w:val="21"/>
                <w:szCs w:val="21"/>
                <w:u w:val="none"/>
                <w:lang w:val="en-US" w:eastAsia="zh-CN" w:bidi="ar"/>
              </w:rPr>
              <w:t>0.3089</w:t>
            </w:r>
          </w:p>
        </w:tc>
        <w:tc>
          <w:tcPr>
            <w:tcW w:w="561" w:type="pct"/>
            <w:gridSpan w:val="2"/>
            <w:shd w:val="clear" w:color="auto" w:fill="FFFFFF"/>
            <w:vAlign w:val="center"/>
          </w:tcPr>
          <w:p w14:paraId="7FDF6803">
            <w:pPr>
              <w:widowControl/>
              <w:jc w:val="center"/>
              <w:textAlignment w:val="center"/>
              <w:rPr>
                <w:color w:val="auto"/>
                <w:kern w:val="0"/>
                <w:szCs w:val="21"/>
                <w:lang w:bidi="ar"/>
              </w:rPr>
            </w:pPr>
            <w:r>
              <w:rPr>
                <w:color w:val="auto"/>
                <w:kern w:val="0"/>
                <w:szCs w:val="21"/>
                <w:lang w:bidi="ar"/>
              </w:rPr>
              <w:t>0</w:t>
            </w:r>
          </w:p>
        </w:tc>
        <w:tc>
          <w:tcPr>
            <w:tcW w:w="1588" w:type="dxa"/>
            <w:gridSpan w:val="2"/>
            <w:shd w:val="clear" w:color="auto" w:fill="FFFFFF"/>
            <w:vAlign w:val="center"/>
          </w:tcPr>
          <w:p w14:paraId="65FDDC9C">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 xml:space="preserve">0.0019 </w:t>
            </w:r>
          </w:p>
        </w:tc>
        <w:tc>
          <w:tcPr>
            <w:tcW w:w="564" w:type="pct"/>
            <w:gridSpan w:val="2"/>
            <w:shd w:val="clear" w:color="auto" w:fill="FFFFFF"/>
            <w:vAlign w:val="center"/>
          </w:tcPr>
          <w:p w14:paraId="62267162">
            <w:pPr>
              <w:widowControl/>
              <w:jc w:val="center"/>
              <w:textAlignment w:val="center"/>
              <w:rPr>
                <w:color w:val="auto"/>
                <w:szCs w:val="21"/>
              </w:rPr>
            </w:pPr>
            <w:r>
              <w:rPr>
                <w:color w:val="auto"/>
                <w:kern w:val="0"/>
                <w:szCs w:val="21"/>
                <w:lang w:bidi="ar"/>
              </w:rPr>
              <w:t>0</w:t>
            </w:r>
          </w:p>
        </w:tc>
        <w:tc>
          <w:tcPr>
            <w:tcW w:w="2008" w:type="dxa"/>
            <w:gridSpan w:val="2"/>
            <w:shd w:val="clear" w:color="auto" w:fill="FFFFFF"/>
            <w:vAlign w:val="center"/>
          </w:tcPr>
          <w:p w14:paraId="662009F9">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 xml:space="preserve">0.3108 </w:t>
            </w:r>
          </w:p>
        </w:tc>
        <w:tc>
          <w:tcPr>
            <w:tcW w:w="1589" w:type="dxa"/>
            <w:gridSpan w:val="2"/>
            <w:shd w:val="clear" w:color="auto" w:fill="FFFFFF"/>
            <w:vAlign w:val="center"/>
          </w:tcPr>
          <w:p w14:paraId="771CFB5F">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 xml:space="preserve">0.0019 </w:t>
            </w:r>
          </w:p>
        </w:tc>
      </w:tr>
      <w:tr w14:paraId="17940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52" w:type="pct"/>
            <w:vMerge w:val="continue"/>
            <w:shd w:val="clear" w:color="auto" w:fill="FFFFFF"/>
            <w:vAlign w:val="center"/>
          </w:tcPr>
          <w:p w14:paraId="4C46515B">
            <w:pPr>
              <w:jc w:val="center"/>
              <w:rPr>
                <w:rFonts w:ascii="宋体" w:hAnsi="宋体" w:cs="宋体"/>
                <w:color w:val="auto"/>
                <w:szCs w:val="21"/>
              </w:rPr>
            </w:pPr>
          </w:p>
        </w:tc>
        <w:tc>
          <w:tcPr>
            <w:tcW w:w="151" w:type="pct"/>
            <w:vMerge w:val="continue"/>
            <w:shd w:val="clear" w:color="auto" w:fill="FFFFFF"/>
            <w:vAlign w:val="center"/>
          </w:tcPr>
          <w:p w14:paraId="4BF8E7FA">
            <w:pPr>
              <w:jc w:val="center"/>
              <w:rPr>
                <w:rFonts w:ascii="宋体" w:hAnsi="宋体" w:cs="宋体"/>
                <w:color w:val="auto"/>
                <w:szCs w:val="21"/>
              </w:rPr>
            </w:pPr>
          </w:p>
        </w:tc>
        <w:tc>
          <w:tcPr>
            <w:tcW w:w="300" w:type="pct"/>
            <w:shd w:val="clear" w:color="auto" w:fill="FFFFFF"/>
            <w:vAlign w:val="center"/>
          </w:tcPr>
          <w:p w14:paraId="124543DC">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SO</w:t>
            </w:r>
            <w:r>
              <w:rPr>
                <w:rFonts w:hint="default" w:ascii="Times New Roman" w:hAnsi="Times New Roman" w:eastAsia="宋体" w:cs="Times New Roman"/>
                <w:i w:val="0"/>
                <w:iCs w:val="0"/>
                <w:color w:val="auto"/>
                <w:kern w:val="0"/>
                <w:sz w:val="21"/>
                <w:szCs w:val="21"/>
                <w:u w:val="none"/>
                <w:vertAlign w:val="subscript"/>
                <w:lang w:val="en-US" w:eastAsia="zh-CN" w:bidi="ar"/>
              </w:rPr>
              <w:t>2</w:t>
            </w:r>
          </w:p>
        </w:tc>
        <w:tc>
          <w:tcPr>
            <w:tcW w:w="713" w:type="pct"/>
            <w:gridSpan w:val="2"/>
            <w:shd w:val="clear" w:color="auto" w:fill="FFFFFF"/>
            <w:vAlign w:val="center"/>
          </w:tcPr>
          <w:p w14:paraId="6CFB645C">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1.277</w:t>
            </w:r>
          </w:p>
        </w:tc>
        <w:tc>
          <w:tcPr>
            <w:tcW w:w="2008" w:type="dxa"/>
            <w:gridSpan w:val="2"/>
            <w:shd w:val="clear" w:color="auto" w:fill="FFFFFF"/>
            <w:vAlign w:val="center"/>
          </w:tcPr>
          <w:p w14:paraId="37D2E0ED">
            <w:pPr>
              <w:keepNext w:val="0"/>
              <w:keepLines w:val="0"/>
              <w:widowControl/>
              <w:suppressLineNumbers w:val="0"/>
              <w:jc w:val="center"/>
              <w:textAlignment w:val="center"/>
              <w:rPr>
                <w:color w:val="auto"/>
                <w:kern w:val="0"/>
                <w:szCs w:val="21"/>
                <w:lang w:bidi="ar"/>
              </w:rPr>
            </w:pPr>
            <w:r>
              <w:rPr>
                <w:rFonts w:hint="default" w:ascii="Times New Roman" w:hAnsi="Times New Roman" w:eastAsia="宋体" w:cs="Times New Roman"/>
                <w:i w:val="0"/>
                <w:iCs w:val="0"/>
                <w:color w:val="auto"/>
                <w:kern w:val="0"/>
                <w:sz w:val="21"/>
                <w:szCs w:val="21"/>
                <w:u w:val="none"/>
                <w:lang w:val="en-US" w:eastAsia="zh-CN" w:bidi="ar"/>
              </w:rPr>
              <w:t>1.277</w:t>
            </w:r>
          </w:p>
        </w:tc>
        <w:tc>
          <w:tcPr>
            <w:tcW w:w="561" w:type="pct"/>
            <w:gridSpan w:val="2"/>
            <w:shd w:val="clear" w:color="auto" w:fill="FFFFFF"/>
            <w:vAlign w:val="center"/>
          </w:tcPr>
          <w:p w14:paraId="3AC4E632">
            <w:pPr>
              <w:widowControl/>
              <w:jc w:val="center"/>
              <w:textAlignment w:val="center"/>
              <w:rPr>
                <w:color w:val="auto"/>
                <w:kern w:val="0"/>
                <w:szCs w:val="21"/>
                <w:lang w:bidi="ar"/>
              </w:rPr>
            </w:pPr>
            <w:r>
              <w:rPr>
                <w:color w:val="auto"/>
                <w:kern w:val="0"/>
                <w:szCs w:val="21"/>
                <w:lang w:bidi="ar"/>
              </w:rPr>
              <w:t>0</w:t>
            </w:r>
          </w:p>
        </w:tc>
        <w:tc>
          <w:tcPr>
            <w:tcW w:w="1588" w:type="dxa"/>
            <w:gridSpan w:val="2"/>
            <w:shd w:val="clear" w:color="auto" w:fill="FFFFFF"/>
            <w:vAlign w:val="center"/>
          </w:tcPr>
          <w:p w14:paraId="2D1C5DCB">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0</w:t>
            </w:r>
          </w:p>
        </w:tc>
        <w:tc>
          <w:tcPr>
            <w:tcW w:w="564" w:type="pct"/>
            <w:gridSpan w:val="2"/>
            <w:shd w:val="clear" w:color="auto" w:fill="FFFFFF"/>
            <w:vAlign w:val="center"/>
          </w:tcPr>
          <w:p w14:paraId="6B146EB6">
            <w:pPr>
              <w:widowControl/>
              <w:jc w:val="center"/>
              <w:textAlignment w:val="center"/>
              <w:rPr>
                <w:color w:val="auto"/>
                <w:szCs w:val="21"/>
              </w:rPr>
            </w:pPr>
            <w:r>
              <w:rPr>
                <w:color w:val="auto"/>
                <w:kern w:val="0"/>
                <w:szCs w:val="21"/>
                <w:lang w:bidi="ar"/>
              </w:rPr>
              <w:t>0</w:t>
            </w:r>
          </w:p>
        </w:tc>
        <w:tc>
          <w:tcPr>
            <w:tcW w:w="2008" w:type="dxa"/>
            <w:gridSpan w:val="2"/>
            <w:shd w:val="clear" w:color="auto" w:fill="FFFFFF"/>
            <w:vAlign w:val="center"/>
          </w:tcPr>
          <w:p w14:paraId="51EC49C7">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 xml:space="preserve">1.277 </w:t>
            </w:r>
          </w:p>
        </w:tc>
        <w:tc>
          <w:tcPr>
            <w:tcW w:w="1589" w:type="dxa"/>
            <w:gridSpan w:val="2"/>
            <w:shd w:val="clear" w:color="auto" w:fill="FFFFFF"/>
            <w:vAlign w:val="center"/>
          </w:tcPr>
          <w:p w14:paraId="17E853FA">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0</w:t>
            </w:r>
          </w:p>
        </w:tc>
      </w:tr>
      <w:tr w14:paraId="65A9E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52" w:type="pct"/>
            <w:vMerge w:val="continue"/>
            <w:shd w:val="clear" w:color="auto" w:fill="FFFFFF"/>
            <w:vAlign w:val="center"/>
          </w:tcPr>
          <w:p w14:paraId="665A0845">
            <w:pPr>
              <w:jc w:val="center"/>
              <w:rPr>
                <w:rFonts w:ascii="宋体" w:hAnsi="宋体" w:cs="宋体"/>
                <w:color w:val="auto"/>
                <w:szCs w:val="21"/>
              </w:rPr>
            </w:pPr>
          </w:p>
        </w:tc>
        <w:tc>
          <w:tcPr>
            <w:tcW w:w="151" w:type="pct"/>
            <w:vMerge w:val="continue"/>
            <w:shd w:val="clear" w:color="auto" w:fill="FFFFFF"/>
            <w:vAlign w:val="center"/>
          </w:tcPr>
          <w:p w14:paraId="41CBB74A">
            <w:pPr>
              <w:jc w:val="center"/>
              <w:rPr>
                <w:rFonts w:ascii="宋体" w:hAnsi="宋体" w:cs="宋体"/>
                <w:color w:val="auto"/>
                <w:szCs w:val="21"/>
              </w:rPr>
            </w:pPr>
          </w:p>
        </w:tc>
        <w:tc>
          <w:tcPr>
            <w:tcW w:w="300" w:type="pct"/>
            <w:shd w:val="clear" w:color="auto" w:fill="FFFFFF"/>
            <w:vAlign w:val="center"/>
          </w:tcPr>
          <w:p w14:paraId="049D0C92">
            <w:pPr>
              <w:keepNext w:val="0"/>
              <w:keepLines w:val="0"/>
              <w:widowControl/>
              <w:suppressLineNumbers w:val="0"/>
              <w:jc w:val="center"/>
              <w:textAlignment w:val="center"/>
              <w:rPr>
                <w:rFonts w:ascii="宋体" w:hAnsi="宋体" w:cs="宋体"/>
                <w:color w:val="auto"/>
                <w:szCs w:val="21"/>
              </w:rPr>
            </w:pPr>
            <w:r>
              <w:rPr>
                <w:rFonts w:hint="eastAsia" w:ascii="宋体" w:hAnsi="宋体" w:eastAsia="宋体" w:cs="宋体"/>
                <w:i w:val="0"/>
                <w:iCs w:val="0"/>
                <w:color w:val="auto"/>
                <w:kern w:val="0"/>
                <w:sz w:val="21"/>
                <w:szCs w:val="21"/>
                <w:u w:val="none"/>
                <w:lang w:val="en-US" w:eastAsia="zh-CN" w:bidi="ar"/>
              </w:rPr>
              <w:t>粉尘</w:t>
            </w:r>
          </w:p>
        </w:tc>
        <w:tc>
          <w:tcPr>
            <w:tcW w:w="713" w:type="pct"/>
            <w:gridSpan w:val="2"/>
            <w:shd w:val="clear" w:color="auto" w:fill="FFFFFF"/>
            <w:vAlign w:val="center"/>
          </w:tcPr>
          <w:p w14:paraId="4F4638BF">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0.0289</w:t>
            </w:r>
          </w:p>
        </w:tc>
        <w:tc>
          <w:tcPr>
            <w:tcW w:w="2008" w:type="dxa"/>
            <w:gridSpan w:val="2"/>
            <w:shd w:val="clear" w:color="auto" w:fill="FFFFFF"/>
            <w:vAlign w:val="center"/>
          </w:tcPr>
          <w:p w14:paraId="10FD0F39">
            <w:pPr>
              <w:keepNext w:val="0"/>
              <w:keepLines w:val="0"/>
              <w:widowControl/>
              <w:suppressLineNumbers w:val="0"/>
              <w:jc w:val="center"/>
              <w:textAlignment w:val="center"/>
              <w:rPr>
                <w:color w:val="auto"/>
                <w:kern w:val="0"/>
                <w:szCs w:val="21"/>
                <w:lang w:bidi="ar"/>
              </w:rPr>
            </w:pPr>
            <w:r>
              <w:rPr>
                <w:rFonts w:hint="default" w:ascii="Times New Roman" w:hAnsi="Times New Roman" w:eastAsia="宋体" w:cs="Times New Roman"/>
                <w:i w:val="0"/>
                <w:iCs w:val="0"/>
                <w:color w:val="auto"/>
                <w:kern w:val="0"/>
                <w:sz w:val="21"/>
                <w:szCs w:val="21"/>
                <w:u w:val="none"/>
                <w:lang w:val="en-US" w:eastAsia="zh-CN" w:bidi="ar"/>
              </w:rPr>
              <w:t>0.0289</w:t>
            </w:r>
          </w:p>
        </w:tc>
        <w:tc>
          <w:tcPr>
            <w:tcW w:w="561" w:type="pct"/>
            <w:gridSpan w:val="2"/>
            <w:shd w:val="clear" w:color="auto" w:fill="FFFFFF"/>
            <w:vAlign w:val="center"/>
          </w:tcPr>
          <w:p w14:paraId="7BF9F0D6">
            <w:pPr>
              <w:widowControl/>
              <w:jc w:val="center"/>
              <w:textAlignment w:val="center"/>
              <w:rPr>
                <w:color w:val="auto"/>
                <w:kern w:val="0"/>
                <w:szCs w:val="21"/>
                <w:lang w:bidi="ar"/>
              </w:rPr>
            </w:pPr>
            <w:r>
              <w:rPr>
                <w:color w:val="auto"/>
                <w:kern w:val="0"/>
                <w:szCs w:val="21"/>
                <w:lang w:bidi="ar"/>
              </w:rPr>
              <w:t>0</w:t>
            </w:r>
          </w:p>
        </w:tc>
        <w:tc>
          <w:tcPr>
            <w:tcW w:w="1588" w:type="dxa"/>
            <w:gridSpan w:val="2"/>
            <w:shd w:val="clear" w:color="auto" w:fill="FFFFFF"/>
            <w:vAlign w:val="center"/>
          </w:tcPr>
          <w:p w14:paraId="1D091141">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0</w:t>
            </w:r>
          </w:p>
        </w:tc>
        <w:tc>
          <w:tcPr>
            <w:tcW w:w="564" w:type="pct"/>
            <w:gridSpan w:val="2"/>
            <w:shd w:val="clear" w:color="auto" w:fill="FFFFFF"/>
            <w:vAlign w:val="center"/>
          </w:tcPr>
          <w:p w14:paraId="7FE665DC">
            <w:pPr>
              <w:widowControl/>
              <w:jc w:val="center"/>
              <w:textAlignment w:val="center"/>
              <w:rPr>
                <w:color w:val="auto"/>
                <w:szCs w:val="21"/>
              </w:rPr>
            </w:pPr>
            <w:r>
              <w:rPr>
                <w:color w:val="auto"/>
                <w:kern w:val="0"/>
                <w:szCs w:val="21"/>
                <w:lang w:bidi="ar"/>
              </w:rPr>
              <w:t>0</w:t>
            </w:r>
          </w:p>
        </w:tc>
        <w:tc>
          <w:tcPr>
            <w:tcW w:w="2008" w:type="dxa"/>
            <w:gridSpan w:val="2"/>
            <w:shd w:val="clear" w:color="auto" w:fill="FFFFFF"/>
            <w:vAlign w:val="center"/>
          </w:tcPr>
          <w:p w14:paraId="5BC5892B">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 xml:space="preserve">0.0289 </w:t>
            </w:r>
          </w:p>
        </w:tc>
        <w:tc>
          <w:tcPr>
            <w:tcW w:w="1589" w:type="dxa"/>
            <w:gridSpan w:val="2"/>
            <w:shd w:val="clear" w:color="auto" w:fill="FFFFFF"/>
            <w:vAlign w:val="center"/>
          </w:tcPr>
          <w:p w14:paraId="69C4E1CE">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0</w:t>
            </w:r>
          </w:p>
        </w:tc>
      </w:tr>
      <w:tr w14:paraId="5127E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52" w:type="pct"/>
            <w:vMerge w:val="continue"/>
            <w:shd w:val="clear" w:color="auto" w:fill="FFFFFF"/>
            <w:vAlign w:val="center"/>
          </w:tcPr>
          <w:p w14:paraId="5C3581BC">
            <w:pPr>
              <w:jc w:val="center"/>
              <w:rPr>
                <w:rFonts w:ascii="宋体" w:hAnsi="宋体" w:cs="宋体"/>
                <w:color w:val="auto"/>
                <w:szCs w:val="21"/>
              </w:rPr>
            </w:pPr>
          </w:p>
        </w:tc>
        <w:tc>
          <w:tcPr>
            <w:tcW w:w="151" w:type="pct"/>
            <w:vMerge w:val="continue"/>
            <w:shd w:val="clear" w:color="auto" w:fill="FFFFFF"/>
            <w:vAlign w:val="center"/>
          </w:tcPr>
          <w:p w14:paraId="7CD39BAD">
            <w:pPr>
              <w:jc w:val="center"/>
              <w:rPr>
                <w:rFonts w:ascii="宋体" w:hAnsi="宋体" w:cs="宋体"/>
                <w:color w:val="auto"/>
                <w:szCs w:val="21"/>
              </w:rPr>
            </w:pPr>
          </w:p>
        </w:tc>
        <w:tc>
          <w:tcPr>
            <w:tcW w:w="300" w:type="pct"/>
            <w:shd w:val="clear" w:color="auto" w:fill="FFFFFF"/>
            <w:vAlign w:val="center"/>
          </w:tcPr>
          <w:p w14:paraId="6CF1B8C3">
            <w:pPr>
              <w:keepNext w:val="0"/>
              <w:keepLines w:val="0"/>
              <w:widowControl/>
              <w:suppressLineNumbers w:val="0"/>
              <w:jc w:val="center"/>
              <w:textAlignment w:val="center"/>
              <w:rPr>
                <w:rFonts w:ascii="宋体" w:hAnsi="宋体" w:cs="宋体"/>
                <w:color w:val="auto"/>
                <w:szCs w:val="21"/>
              </w:rPr>
            </w:pPr>
            <w:r>
              <w:rPr>
                <w:rFonts w:hint="eastAsia" w:ascii="宋体" w:hAnsi="宋体" w:eastAsia="宋体" w:cs="宋体"/>
                <w:i w:val="0"/>
                <w:iCs w:val="0"/>
                <w:color w:val="auto"/>
                <w:kern w:val="0"/>
                <w:sz w:val="21"/>
                <w:szCs w:val="21"/>
                <w:u w:val="none"/>
                <w:lang w:val="en-US" w:eastAsia="zh-CN" w:bidi="ar"/>
              </w:rPr>
              <w:t>氟化物</w:t>
            </w:r>
          </w:p>
        </w:tc>
        <w:tc>
          <w:tcPr>
            <w:tcW w:w="713" w:type="pct"/>
            <w:gridSpan w:val="2"/>
            <w:shd w:val="clear" w:color="auto" w:fill="FFFFFF"/>
            <w:vAlign w:val="center"/>
          </w:tcPr>
          <w:p w14:paraId="5127BD3B">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0.0013</w:t>
            </w:r>
          </w:p>
        </w:tc>
        <w:tc>
          <w:tcPr>
            <w:tcW w:w="2008" w:type="dxa"/>
            <w:gridSpan w:val="2"/>
            <w:shd w:val="clear" w:color="auto" w:fill="FFFFFF"/>
            <w:vAlign w:val="center"/>
          </w:tcPr>
          <w:p w14:paraId="3A83461F">
            <w:pPr>
              <w:keepNext w:val="0"/>
              <w:keepLines w:val="0"/>
              <w:widowControl/>
              <w:suppressLineNumbers w:val="0"/>
              <w:jc w:val="center"/>
              <w:textAlignment w:val="center"/>
              <w:rPr>
                <w:color w:val="auto"/>
                <w:kern w:val="0"/>
                <w:szCs w:val="21"/>
                <w:lang w:bidi="ar"/>
              </w:rPr>
            </w:pPr>
            <w:r>
              <w:rPr>
                <w:rFonts w:hint="default" w:ascii="Times New Roman" w:hAnsi="Times New Roman" w:eastAsia="宋体" w:cs="Times New Roman"/>
                <w:i w:val="0"/>
                <w:iCs w:val="0"/>
                <w:color w:val="auto"/>
                <w:kern w:val="0"/>
                <w:sz w:val="21"/>
                <w:szCs w:val="21"/>
                <w:u w:val="none"/>
                <w:lang w:val="en-US" w:eastAsia="zh-CN" w:bidi="ar"/>
              </w:rPr>
              <w:t>0.0013</w:t>
            </w:r>
          </w:p>
        </w:tc>
        <w:tc>
          <w:tcPr>
            <w:tcW w:w="561" w:type="pct"/>
            <w:gridSpan w:val="2"/>
            <w:shd w:val="clear" w:color="auto" w:fill="FFFFFF"/>
            <w:vAlign w:val="center"/>
          </w:tcPr>
          <w:p w14:paraId="56B8E662">
            <w:pPr>
              <w:widowControl/>
              <w:jc w:val="center"/>
              <w:textAlignment w:val="center"/>
              <w:rPr>
                <w:color w:val="auto"/>
                <w:kern w:val="0"/>
                <w:szCs w:val="21"/>
                <w:lang w:bidi="ar"/>
              </w:rPr>
            </w:pPr>
            <w:r>
              <w:rPr>
                <w:color w:val="auto"/>
                <w:kern w:val="0"/>
                <w:szCs w:val="21"/>
                <w:lang w:bidi="ar"/>
              </w:rPr>
              <w:t>0</w:t>
            </w:r>
          </w:p>
        </w:tc>
        <w:tc>
          <w:tcPr>
            <w:tcW w:w="1588" w:type="dxa"/>
            <w:gridSpan w:val="2"/>
            <w:shd w:val="clear" w:color="auto" w:fill="FFFFFF"/>
            <w:vAlign w:val="center"/>
          </w:tcPr>
          <w:p w14:paraId="5D7BDEFD">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0</w:t>
            </w:r>
          </w:p>
        </w:tc>
        <w:tc>
          <w:tcPr>
            <w:tcW w:w="564" w:type="pct"/>
            <w:gridSpan w:val="2"/>
            <w:shd w:val="clear" w:color="auto" w:fill="FFFFFF"/>
            <w:vAlign w:val="center"/>
          </w:tcPr>
          <w:p w14:paraId="5014E34D">
            <w:pPr>
              <w:widowControl/>
              <w:jc w:val="center"/>
              <w:textAlignment w:val="center"/>
              <w:rPr>
                <w:color w:val="auto"/>
                <w:szCs w:val="21"/>
              </w:rPr>
            </w:pPr>
            <w:r>
              <w:rPr>
                <w:color w:val="auto"/>
                <w:kern w:val="0"/>
                <w:szCs w:val="21"/>
                <w:lang w:bidi="ar"/>
              </w:rPr>
              <w:t>0</w:t>
            </w:r>
          </w:p>
        </w:tc>
        <w:tc>
          <w:tcPr>
            <w:tcW w:w="2008" w:type="dxa"/>
            <w:gridSpan w:val="2"/>
            <w:shd w:val="clear" w:color="auto" w:fill="FFFFFF"/>
            <w:vAlign w:val="center"/>
          </w:tcPr>
          <w:p w14:paraId="37A00F00">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 xml:space="preserve">0.0013 </w:t>
            </w:r>
          </w:p>
        </w:tc>
        <w:tc>
          <w:tcPr>
            <w:tcW w:w="1589" w:type="dxa"/>
            <w:gridSpan w:val="2"/>
            <w:shd w:val="clear" w:color="auto" w:fill="FFFFFF"/>
            <w:vAlign w:val="center"/>
          </w:tcPr>
          <w:p w14:paraId="783EC415">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0</w:t>
            </w:r>
          </w:p>
        </w:tc>
      </w:tr>
      <w:tr w14:paraId="79D2A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52" w:type="pct"/>
            <w:vMerge w:val="continue"/>
            <w:shd w:val="clear" w:color="auto" w:fill="FFFFFF"/>
            <w:vAlign w:val="center"/>
          </w:tcPr>
          <w:p w14:paraId="2DCDAFAF">
            <w:pPr>
              <w:jc w:val="center"/>
              <w:rPr>
                <w:rFonts w:ascii="宋体" w:hAnsi="宋体" w:cs="宋体"/>
                <w:color w:val="auto"/>
                <w:szCs w:val="21"/>
              </w:rPr>
            </w:pPr>
          </w:p>
        </w:tc>
        <w:tc>
          <w:tcPr>
            <w:tcW w:w="151" w:type="pct"/>
            <w:vMerge w:val="continue"/>
            <w:shd w:val="clear" w:color="auto" w:fill="FFFFFF"/>
            <w:vAlign w:val="center"/>
          </w:tcPr>
          <w:p w14:paraId="4C462E47">
            <w:pPr>
              <w:jc w:val="center"/>
              <w:rPr>
                <w:rFonts w:ascii="宋体" w:hAnsi="宋体" w:cs="宋体"/>
                <w:color w:val="auto"/>
                <w:szCs w:val="21"/>
              </w:rPr>
            </w:pPr>
          </w:p>
        </w:tc>
        <w:tc>
          <w:tcPr>
            <w:tcW w:w="300" w:type="pct"/>
            <w:shd w:val="clear" w:color="auto" w:fill="FFFFFF"/>
            <w:vAlign w:val="center"/>
          </w:tcPr>
          <w:p w14:paraId="594AD6BD">
            <w:pPr>
              <w:keepNext w:val="0"/>
              <w:keepLines w:val="0"/>
              <w:widowControl/>
              <w:suppressLineNumbers w:val="0"/>
              <w:jc w:val="center"/>
              <w:textAlignment w:val="center"/>
              <w:rPr>
                <w:rFonts w:ascii="宋体" w:hAnsi="宋体" w:cs="宋体"/>
                <w:color w:val="auto"/>
                <w:szCs w:val="21"/>
              </w:rPr>
            </w:pPr>
            <w:r>
              <w:rPr>
                <w:rFonts w:hint="eastAsia" w:ascii="宋体" w:hAnsi="宋体" w:eastAsia="宋体" w:cs="宋体"/>
                <w:i w:val="0"/>
                <w:iCs w:val="0"/>
                <w:color w:val="auto"/>
                <w:kern w:val="0"/>
                <w:sz w:val="21"/>
                <w:szCs w:val="21"/>
                <w:u w:val="none"/>
                <w:lang w:val="en-US" w:eastAsia="zh-CN" w:bidi="ar"/>
              </w:rPr>
              <w:t>异丙醇</w:t>
            </w:r>
          </w:p>
        </w:tc>
        <w:tc>
          <w:tcPr>
            <w:tcW w:w="713" w:type="pct"/>
            <w:gridSpan w:val="2"/>
            <w:shd w:val="clear" w:color="auto" w:fill="FFFFFF"/>
            <w:vAlign w:val="center"/>
          </w:tcPr>
          <w:p w14:paraId="3A0C6021">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0.0009</w:t>
            </w:r>
          </w:p>
        </w:tc>
        <w:tc>
          <w:tcPr>
            <w:tcW w:w="2008" w:type="dxa"/>
            <w:gridSpan w:val="2"/>
            <w:shd w:val="clear" w:color="auto" w:fill="FFFFFF"/>
            <w:vAlign w:val="center"/>
          </w:tcPr>
          <w:p w14:paraId="18E1513A">
            <w:pPr>
              <w:keepNext w:val="0"/>
              <w:keepLines w:val="0"/>
              <w:widowControl/>
              <w:suppressLineNumbers w:val="0"/>
              <w:jc w:val="center"/>
              <w:textAlignment w:val="center"/>
              <w:rPr>
                <w:color w:val="auto"/>
                <w:kern w:val="0"/>
                <w:szCs w:val="21"/>
                <w:lang w:bidi="ar"/>
              </w:rPr>
            </w:pPr>
            <w:r>
              <w:rPr>
                <w:rFonts w:hint="default" w:ascii="Times New Roman" w:hAnsi="Times New Roman" w:eastAsia="宋体" w:cs="Times New Roman"/>
                <w:i w:val="0"/>
                <w:iCs w:val="0"/>
                <w:color w:val="auto"/>
                <w:kern w:val="0"/>
                <w:sz w:val="21"/>
                <w:szCs w:val="21"/>
                <w:u w:val="none"/>
                <w:lang w:val="en-US" w:eastAsia="zh-CN" w:bidi="ar"/>
              </w:rPr>
              <w:t>0.0009</w:t>
            </w:r>
          </w:p>
        </w:tc>
        <w:tc>
          <w:tcPr>
            <w:tcW w:w="561" w:type="pct"/>
            <w:gridSpan w:val="2"/>
            <w:shd w:val="clear" w:color="auto" w:fill="FFFFFF"/>
            <w:vAlign w:val="center"/>
          </w:tcPr>
          <w:p w14:paraId="4877BF8D">
            <w:pPr>
              <w:widowControl/>
              <w:jc w:val="center"/>
              <w:textAlignment w:val="center"/>
              <w:rPr>
                <w:color w:val="auto"/>
                <w:kern w:val="0"/>
                <w:szCs w:val="21"/>
                <w:lang w:bidi="ar"/>
              </w:rPr>
            </w:pPr>
            <w:r>
              <w:rPr>
                <w:color w:val="auto"/>
                <w:kern w:val="0"/>
                <w:szCs w:val="21"/>
                <w:lang w:bidi="ar"/>
              </w:rPr>
              <w:t>0</w:t>
            </w:r>
          </w:p>
        </w:tc>
        <w:tc>
          <w:tcPr>
            <w:tcW w:w="1588" w:type="dxa"/>
            <w:gridSpan w:val="2"/>
            <w:shd w:val="clear" w:color="auto" w:fill="FFFFFF"/>
            <w:vAlign w:val="center"/>
          </w:tcPr>
          <w:p w14:paraId="5FA9B159">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0</w:t>
            </w:r>
          </w:p>
        </w:tc>
        <w:tc>
          <w:tcPr>
            <w:tcW w:w="564" w:type="pct"/>
            <w:gridSpan w:val="2"/>
            <w:shd w:val="clear" w:color="auto" w:fill="FFFFFF"/>
            <w:vAlign w:val="center"/>
          </w:tcPr>
          <w:p w14:paraId="337BA67B">
            <w:pPr>
              <w:widowControl/>
              <w:jc w:val="center"/>
              <w:textAlignment w:val="center"/>
              <w:rPr>
                <w:color w:val="auto"/>
                <w:szCs w:val="21"/>
              </w:rPr>
            </w:pPr>
            <w:r>
              <w:rPr>
                <w:color w:val="auto"/>
                <w:kern w:val="0"/>
                <w:szCs w:val="21"/>
                <w:lang w:bidi="ar"/>
              </w:rPr>
              <w:t>0</w:t>
            </w:r>
          </w:p>
        </w:tc>
        <w:tc>
          <w:tcPr>
            <w:tcW w:w="2008" w:type="dxa"/>
            <w:gridSpan w:val="2"/>
            <w:shd w:val="clear" w:color="auto" w:fill="FFFFFF"/>
            <w:vAlign w:val="center"/>
          </w:tcPr>
          <w:p w14:paraId="38D12060">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 xml:space="preserve">0.0009 </w:t>
            </w:r>
          </w:p>
        </w:tc>
        <w:tc>
          <w:tcPr>
            <w:tcW w:w="1589" w:type="dxa"/>
            <w:gridSpan w:val="2"/>
            <w:shd w:val="clear" w:color="auto" w:fill="FFFFFF"/>
            <w:vAlign w:val="center"/>
          </w:tcPr>
          <w:p w14:paraId="00B361D5">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0</w:t>
            </w:r>
          </w:p>
        </w:tc>
      </w:tr>
      <w:tr w14:paraId="289DC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52" w:type="pct"/>
            <w:vMerge w:val="continue"/>
            <w:shd w:val="clear" w:color="auto" w:fill="FFFFFF"/>
            <w:vAlign w:val="center"/>
          </w:tcPr>
          <w:p w14:paraId="7CAAC8EF">
            <w:pPr>
              <w:jc w:val="center"/>
              <w:rPr>
                <w:rFonts w:ascii="宋体" w:hAnsi="宋体" w:cs="宋体"/>
                <w:color w:val="auto"/>
                <w:szCs w:val="21"/>
              </w:rPr>
            </w:pPr>
          </w:p>
        </w:tc>
        <w:tc>
          <w:tcPr>
            <w:tcW w:w="151" w:type="pct"/>
            <w:vMerge w:val="continue"/>
            <w:shd w:val="clear" w:color="auto" w:fill="FFFFFF"/>
            <w:vAlign w:val="center"/>
          </w:tcPr>
          <w:p w14:paraId="22E44D0E">
            <w:pPr>
              <w:jc w:val="center"/>
              <w:rPr>
                <w:rFonts w:ascii="宋体" w:hAnsi="宋体" w:cs="宋体"/>
                <w:color w:val="auto"/>
                <w:szCs w:val="21"/>
              </w:rPr>
            </w:pPr>
          </w:p>
        </w:tc>
        <w:tc>
          <w:tcPr>
            <w:tcW w:w="300" w:type="pct"/>
            <w:shd w:val="clear" w:color="auto" w:fill="FFFFFF"/>
            <w:vAlign w:val="center"/>
          </w:tcPr>
          <w:p w14:paraId="12621AF2">
            <w:pPr>
              <w:keepNext w:val="0"/>
              <w:keepLines w:val="0"/>
              <w:widowControl/>
              <w:suppressLineNumbers w:val="0"/>
              <w:jc w:val="center"/>
              <w:textAlignment w:val="center"/>
              <w:rPr>
                <w:rFonts w:ascii="宋体" w:hAnsi="宋体" w:cs="宋体"/>
                <w:color w:val="auto"/>
                <w:szCs w:val="21"/>
              </w:rPr>
            </w:pPr>
            <w:r>
              <w:rPr>
                <w:rFonts w:hint="eastAsia" w:ascii="宋体" w:hAnsi="宋体" w:eastAsia="宋体" w:cs="宋体"/>
                <w:i w:val="0"/>
                <w:iCs w:val="0"/>
                <w:color w:val="auto"/>
                <w:kern w:val="0"/>
                <w:sz w:val="21"/>
                <w:szCs w:val="21"/>
                <w:u w:val="none"/>
                <w:lang w:val="en-US" w:eastAsia="zh-CN" w:bidi="ar"/>
              </w:rPr>
              <w:t>甲醛</w:t>
            </w:r>
          </w:p>
        </w:tc>
        <w:tc>
          <w:tcPr>
            <w:tcW w:w="713" w:type="pct"/>
            <w:gridSpan w:val="2"/>
            <w:shd w:val="clear" w:color="auto" w:fill="FFFFFF"/>
            <w:vAlign w:val="center"/>
          </w:tcPr>
          <w:p w14:paraId="7711BE64">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0.0004</w:t>
            </w:r>
          </w:p>
        </w:tc>
        <w:tc>
          <w:tcPr>
            <w:tcW w:w="2008" w:type="dxa"/>
            <w:gridSpan w:val="2"/>
            <w:shd w:val="clear" w:color="auto" w:fill="FFFFFF"/>
            <w:vAlign w:val="center"/>
          </w:tcPr>
          <w:p w14:paraId="5006A658">
            <w:pPr>
              <w:keepNext w:val="0"/>
              <w:keepLines w:val="0"/>
              <w:widowControl/>
              <w:suppressLineNumbers w:val="0"/>
              <w:jc w:val="center"/>
              <w:textAlignment w:val="center"/>
              <w:rPr>
                <w:color w:val="auto"/>
                <w:kern w:val="0"/>
                <w:szCs w:val="21"/>
                <w:lang w:bidi="ar"/>
              </w:rPr>
            </w:pPr>
            <w:r>
              <w:rPr>
                <w:rFonts w:hint="default" w:ascii="Times New Roman" w:hAnsi="Times New Roman" w:eastAsia="宋体" w:cs="Times New Roman"/>
                <w:i w:val="0"/>
                <w:iCs w:val="0"/>
                <w:color w:val="auto"/>
                <w:kern w:val="0"/>
                <w:sz w:val="21"/>
                <w:szCs w:val="21"/>
                <w:u w:val="none"/>
                <w:lang w:val="en-US" w:eastAsia="zh-CN" w:bidi="ar"/>
              </w:rPr>
              <w:t>0.0004</w:t>
            </w:r>
          </w:p>
        </w:tc>
        <w:tc>
          <w:tcPr>
            <w:tcW w:w="561" w:type="pct"/>
            <w:gridSpan w:val="2"/>
            <w:shd w:val="clear" w:color="auto" w:fill="FFFFFF"/>
            <w:vAlign w:val="center"/>
          </w:tcPr>
          <w:p w14:paraId="422D084F">
            <w:pPr>
              <w:widowControl/>
              <w:jc w:val="center"/>
              <w:textAlignment w:val="center"/>
              <w:rPr>
                <w:color w:val="auto"/>
                <w:kern w:val="0"/>
                <w:szCs w:val="21"/>
                <w:lang w:bidi="ar"/>
              </w:rPr>
            </w:pPr>
            <w:r>
              <w:rPr>
                <w:color w:val="auto"/>
                <w:kern w:val="0"/>
                <w:szCs w:val="21"/>
                <w:lang w:bidi="ar"/>
              </w:rPr>
              <w:t>0</w:t>
            </w:r>
          </w:p>
        </w:tc>
        <w:tc>
          <w:tcPr>
            <w:tcW w:w="1588" w:type="dxa"/>
            <w:gridSpan w:val="2"/>
            <w:shd w:val="clear" w:color="auto" w:fill="FFFFFF"/>
            <w:vAlign w:val="center"/>
          </w:tcPr>
          <w:p w14:paraId="3549E25D">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0</w:t>
            </w:r>
          </w:p>
        </w:tc>
        <w:tc>
          <w:tcPr>
            <w:tcW w:w="564" w:type="pct"/>
            <w:gridSpan w:val="2"/>
            <w:shd w:val="clear" w:color="auto" w:fill="FFFFFF"/>
            <w:vAlign w:val="center"/>
          </w:tcPr>
          <w:p w14:paraId="58E719F2">
            <w:pPr>
              <w:widowControl/>
              <w:jc w:val="center"/>
              <w:textAlignment w:val="center"/>
              <w:rPr>
                <w:color w:val="auto"/>
                <w:szCs w:val="21"/>
              </w:rPr>
            </w:pPr>
            <w:r>
              <w:rPr>
                <w:color w:val="auto"/>
                <w:kern w:val="0"/>
                <w:szCs w:val="21"/>
                <w:lang w:bidi="ar"/>
              </w:rPr>
              <w:t>0</w:t>
            </w:r>
          </w:p>
        </w:tc>
        <w:tc>
          <w:tcPr>
            <w:tcW w:w="2008" w:type="dxa"/>
            <w:gridSpan w:val="2"/>
            <w:shd w:val="clear" w:color="auto" w:fill="FFFFFF"/>
            <w:vAlign w:val="center"/>
          </w:tcPr>
          <w:p w14:paraId="61B7F5F3">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 xml:space="preserve">0.0004 </w:t>
            </w:r>
          </w:p>
        </w:tc>
        <w:tc>
          <w:tcPr>
            <w:tcW w:w="1589" w:type="dxa"/>
            <w:gridSpan w:val="2"/>
            <w:shd w:val="clear" w:color="auto" w:fill="FFFFFF"/>
            <w:vAlign w:val="center"/>
          </w:tcPr>
          <w:p w14:paraId="7CB6E93C">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0</w:t>
            </w:r>
          </w:p>
        </w:tc>
      </w:tr>
      <w:tr w14:paraId="3353B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52" w:type="pct"/>
            <w:vMerge w:val="continue"/>
            <w:shd w:val="clear" w:color="auto" w:fill="FFFFFF"/>
            <w:vAlign w:val="center"/>
          </w:tcPr>
          <w:p w14:paraId="5A5D7B56">
            <w:pPr>
              <w:jc w:val="center"/>
              <w:rPr>
                <w:rFonts w:ascii="宋体" w:hAnsi="宋体" w:cs="宋体"/>
                <w:color w:val="auto"/>
                <w:szCs w:val="21"/>
              </w:rPr>
            </w:pPr>
          </w:p>
        </w:tc>
        <w:tc>
          <w:tcPr>
            <w:tcW w:w="151" w:type="pct"/>
            <w:vMerge w:val="continue"/>
            <w:shd w:val="clear" w:color="auto" w:fill="FFFFFF"/>
            <w:vAlign w:val="center"/>
          </w:tcPr>
          <w:p w14:paraId="617599CC">
            <w:pPr>
              <w:jc w:val="center"/>
              <w:rPr>
                <w:rFonts w:ascii="宋体" w:hAnsi="宋体" w:cs="宋体"/>
                <w:color w:val="auto"/>
                <w:szCs w:val="21"/>
              </w:rPr>
            </w:pPr>
          </w:p>
        </w:tc>
        <w:tc>
          <w:tcPr>
            <w:tcW w:w="300" w:type="pct"/>
            <w:shd w:val="clear" w:color="auto" w:fill="FFFFFF"/>
            <w:vAlign w:val="center"/>
          </w:tcPr>
          <w:p w14:paraId="5F52B40B">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NOx</w:t>
            </w:r>
          </w:p>
        </w:tc>
        <w:tc>
          <w:tcPr>
            <w:tcW w:w="713" w:type="pct"/>
            <w:gridSpan w:val="2"/>
            <w:shd w:val="clear" w:color="auto" w:fill="FFFFFF"/>
            <w:vAlign w:val="center"/>
          </w:tcPr>
          <w:p w14:paraId="2492884E">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 xml:space="preserve">0.0001 </w:t>
            </w:r>
          </w:p>
        </w:tc>
        <w:tc>
          <w:tcPr>
            <w:tcW w:w="2008" w:type="dxa"/>
            <w:gridSpan w:val="2"/>
            <w:shd w:val="clear" w:color="auto" w:fill="FFFFFF"/>
            <w:vAlign w:val="center"/>
          </w:tcPr>
          <w:p w14:paraId="050AB77F">
            <w:pPr>
              <w:keepNext w:val="0"/>
              <w:keepLines w:val="0"/>
              <w:widowControl/>
              <w:suppressLineNumbers w:val="0"/>
              <w:jc w:val="center"/>
              <w:textAlignment w:val="center"/>
              <w:rPr>
                <w:color w:val="auto"/>
                <w:kern w:val="0"/>
                <w:szCs w:val="21"/>
                <w:lang w:bidi="ar"/>
              </w:rPr>
            </w:pPr>
            <w:r>
              <w:rPr>
                <w:rFonts w:hint="default" w:ascii="Times New Roman" w:hAnsi="Times New Roman" w:eastAsia="宋体" w:cs="Times New Roman"/>
                <w:i w:val="0"/>
                <w:iCs w:val="0"/>
                <w:color w:val="auto"/>
                <w:kern w:val="0"/>
                <w:sz w:val="21"/>
                <w:szCs w:val="21"/>
                <w:u w:val="none"/>
                <w:lang w:val="en-US" w:eastAsia="zh-CN" w:bidi="ar"/>
              </w:rPr>
              <w:t xml:space="preserve">0.0001 </w:t>
            </w:r>
          </w:p>
        </w:tc>
        <w:tc>
          <w:tcPr>
            <w:tcW w:w="561" w:type="pct"/>
            <w:gridSpan w:val="2"/>
            <w:shd w:val="clear" w:color="auto" w:fill="FFFFFF"/>
            <w:vAlign w:val="center"/>
          </w:tcPr>
          <w:p w14:paraId="174E6421">
            <w:pPr>
              <w:widowControl/>
              <w:jc w:val="center"/>
              <w:textAlignment w:val="center"/>
              <w:rPr>
                <w:color w:val="auto"/>
                <w:kern w:val="0"/>
                <w:szCs w:val="21"/>
                <w:lang w:bidi="ar"/>
              </w:rPr>
            </w:pPr>
            <w:r>
              <w:rPr>
                <w:color w:val="auto"/>
                <w:kern w:val="0"/>
                <w:szCs w:val="21"/>
                <w:lang w:bidi="ar"/>
              </w:rPr>
              <w:t>0</w:t>
            </w:r>
          </w:p>
        </w:tc>
        <w:tc>
          <w:tcPr>
            <w:tcW w:w="1588" w:type="dxa"/>
            <w:gridSpan w:val="2"/>
            <w:shd w:val="clear" w:color="auto" w:fill="FFFFFF"/>
            <w:vAlign w:val="center"/>
          </w:tcPr>
          <w:p w14:paraId="506EE63F">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 xml:space="preserve">0.00095 </w:t>
            </w:r>
          </w:p>
        </w:tc>
        <w:tc>
          <w:tcPr>
            <w:tcW w:w="564" w:type="pct"/>
            <w:gridSpan w:val="2"/>
            <w:shd w:val="clear" w:color="auto" w:fill="FFFFFF"/>
            <w:vAlign w:val="center"/>
          </w:tcPr>
          <w:p w14:paraId="5D5D6AAF">
            <w:pPr>
              <w:widowControl/>
              <w:jc w:val="center"/>
              <w:textAlignment w:val="center"/>
              <w:rPr>
                <w:color w:val="auto"/>
                <w:szCs w:val="21"/>
              </w:rPr>
            </w:pPr>
            <w:r>
              <w:rPr>
                <w:color w:val="auto"/>
                <w:kern w:val="0"/>
                <w:szCs w:val="21"/>
                <w:lang w:bidi="ar"/>
              </w:rPr>
              <w:t>0</w:t>
            </w:r>
          </w:p>
        </w:tc>
        <w:tc>
          <w:tcPr>
            <w:tcW w:w="2008" w:type="dxa"/>
            <w:gridSpan w:val="2"/>
            <w:shd w:val="clear" w:color="auto" w:fill="FFFFFF"/>
            <w:vAlign w:val="center"/>
          </w:tcPr>
          <w:p w14:paraId="32B6E0EE">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 xml:space="preserve">0.00105 </w:t>
            </w:r>
          </w:p>
        </w:tc>
        <w:tc>
          <w:tcPr>
            <w:tcW w:w="1589" w:type="dxa"/>
            <w:gridSpan w:val="2"/>
            <w:shd w:val="clear" w:color="auto" w:fill="FFFFFF"/>
            <w:vAlign w:val="center"/>
          </w:tcPr>
          <w:p w14:paraId="6C273112">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 xml:space="preserve">0.00095 </w:t>
            </w:r>
          </w:p>
        </w:tc>
      </w:tr>
      <w:tr w14:paraId="260D1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52" w:type="pct"/>
            <w:vMerge w:val="continue"/>
            <w:shd w:val="clear" w:color="auto" w:fill="FFFFFF"/>
            <w:vAlign w:val="center"/>
          </w:tcPr>
          <w:p w14:paraId="73F375B7">
            <w:pPr>
              <w:jc w:val="center"/>
              <w:rPr>
                <w:rFonts w:ascii="宋体" w:hAnsi="宋体" w:cs="宋体"/>
                <w:color w:val="auto"/>
                <w:szCs w:val="21"/>
              </w:rPr>
            </w:pPr>
          </w:p>
        </w:tc>
        <w:tc>
          <w:tcPr>
            <w:tcW w:w="151" w:type="pct"/>
            <w:vMerge w:val="continue"/>
            <w:shd w:val="clear" w:color="auto" w:fill="FFFFFF"/>
            <w:vAlign w:val="center"/>
          </w:tcPr>
          <w:p w14:paraId="2210033C">
            <w:pPr>
              <w:jc w:val="center"/>
              <w:rPr>
                <w:rFonts w:ascii="宋体" w:hAnsi="宋体" w:cs="宋体"/>
                <w:color w:val="auto"/>
                <w:szCs w:val="21"/>
              </w:rPr>
            </w:pPr>
          </w:p>
        </w:tc>
        <w:tc>
          <w:tcPr>
            <w:tcW w:w="300" w:type="pct"/>
            <w:shd w:val="clear" w:color="auto" w:fill="FFFFFF"/>
            <w:vAlign w:val="center"/>
          </w:tcPr>
          <w:p w14:paraId="2E7304F4">
            <w:pPr>
              <w:keepNext w:val="0"/>
              <w:keepLines w:val="0"/>
              <w:widowControl/>
              <w:suppressLineNumbers w:val="0"/>
              <w:jc w:val="center"/>
              <w:textAlignment w:val="center"/>
              <w:rPr>
                <w:rFonts w:ascii="宋体" w:hAnsi="宋体" w:cs="宋体"/>
                <w:color w:val="auto"/>
                <w:szCs w:val="21"/>
              </w:rPr>
            </w:pPr>
            <w:r>
              <w:rPr>
                <w:rFonts w:hint="eastAsia" w:ascii="宋体" w:hAnsi="宋体" w:eastAsia="宋体" w:cs="宋体"/>
                <w:i w:val="0"/>
                <w:iCs w:val="0"/>
                <w:color w:val="auto"/>
                <w:kern w:val="0"/>
                <w:sz w:val="21"/>
                <w:szCs w:val="21"/>
                <w:u w:val="none"/>
                <w:lang w:val="en-US" w:eastAsia="zh-CN" w:bidi="ar"/>
              </w:rPr>
              <w:t>乙酸丁酯</w:t>
            </w:r>
          </w:p>
        </w:tc>
        <w:tc>
          <w:tcPr>
            <w:tcW w:w="713" w:type="pct"/>
            <w:gridSpan w:val="2"/>
            <w:shd w:val="clear" w:color="auto" w:fill="FFFFFF"/>
            <w:vAlign w:val="center"/>
          </w:tcPr>
          <w:p w14:paraId="10847864">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0.024</w:t>
            </w:r>
          </w:p>
        </w:tc>
        <w:tc>
          <w:tcPr>
            <w:tcW w:w="2008" w:type="dxa"/>
            <w:gridSpan w:val="2"/>
            <w:shd w:val="clear" w:color="auto" w:fill="FFFFFF"/>
            <w:vAlign w:val="center"/>
          </w:tcPr>
          <w:p w14:paraId="017B8FF5">
            <w:pPr>
              <w:keepNext w:val="0"/>
              <w:keepLines w:val="0"/>
              <w:widowControl/>
              <w:suppressLineNumbers w:val="0"/>
              <w:jc w:val="center"/>
              <w:textAlignment w:val="center"/>
              <w:rPr>
                <w:color w:val="auto"/>
                <w:kern w:val="0"/>
                <w:szCs w:val="21"/>
                <w:lang w:bidi="ar"/>
              </w:rPr>
            </w:pPr>
            <w:r>
              <w:rPr>
                <w:rFonts w:hint="default" w:ascii="Times New Roman" w:hAnsi="Times New Roman" w:eastAsia="宋体" w:cs="Times New Roman"/>
                <w:i w:val="0"/>
                <w:iCs w:val="0"/>
                <w:color w:val="auto"/>
                <w:kern w:val="0"/>
                <w:sz w:val="21"/>
                <w:szCs w:val="21"/>
                <w:u w:val="none"/>
                <w:lang w:val="en-US" w:eastAsia="zh-CN" w:bidi="ar"/>
              </w:rPr>
              <w:t>0.024</w:t>
            </w:r>
          </w:p>
        </w:tc>
        <w:tc>
          <w:tcPr>
            <w:tcW w:w="561" w:type="pct"/>
            <w:gridSpan w:val="2"/>
            <w:shd w:val="clear" w:color="auto" w:fill="FFFFFF"/>
            <w:vAlign w:val="center"/>
          </w:tcPr>
          <w:p w14:paraId="07BCB73C">
            <w:pPr>
              <w:widowControl/>
              <w:jc w:val="center"/>
              <w:textAlignment w:val="center"/>
              <w:rPr>
                <w:color w:val="auto"/>
                <w:kern w:val="0"/>
                <w:szCs w:val="21"/>
                <w:lang w:bidi="ar"/>
              </w:rPr>
            </w:pPr>
            <w:r>
              <w:rPr>
                <w:color w:val="auto"/>
                <w:kern w:val="0"/>
                <w:szCs w:val="21"/>
                <w:lang w:bidi="ar"/>
              </w:rPr>
              <w:t>0</w:t>
            </w:r>
          </w:p>
        </w:tc>
        <w:tc>
          <w:tcPr>
            <w:tcW w:w="1588" w:type="dxa"/>
            <w:gridSpan w:val="2"/>
            <w:shd w:val="clear" w:color="auto" w:fill="FFFFFF"/>
            <w:vAlign w:val="center"/>
          </w:tcPr>
          <w:p w14:paraId="5506B548">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0</w:t>
            </w:r>
          </w:p>
        </w:tc>
        <w:tc>
          <w:tcPr>
            <w:tcW w:w="564" w:type="pct"/>
            <w:gridSpan w:val="2"/>
            <w:shd w:val="clear" w:color="auto" w:fill="FFFFFF"/>
            <w:vAlign w:val="center"/>
          </w:tcPr>
          <w:p w14:paraId="32E13601">
            <w:pPr>
              <w:widowControl/>
              <w:jc w:val="center"/>
              <w:textAlignment w:val="center"/>
              <w:rPr>
                <w:color w:val="auto"/>
                <w:szCs w:val="21"/>
              </w:rPr>
            </w:pPr>
            <w:r>
              <w:rPr>
                <w:color w:val="auto"/>
                <w:kern w:val="0"/>
                <w:szCs w:val="21"/>
                <w:lang w:bidi="ar"/>
              </w:rPr>
              <w:t>0</w:t>
            </w:r>
          </w:p>
        </w:tc>
        <w:tc>
          <w:tcPr>
            <w:tcW w:w="2008" w:type="dxa"/>
            <w:gridSpan w:val="2"/>
            <w:shd w:val="clear" w:color="auto" w:fill="FFFFFF"/>
            <w:vAlign w:val="center"/>
          </w:tcPr>
          <w:p w14:paraId="60B0A1E1">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 xml:space="preserve">0.024 </w:t>
            </w:r>
          </w:p>
        </w:tc>
        <w:tc>
          <w:tcPr>
            <w:tcW w:w="1589" w:type="dxa"/>
            <w:gridSpan w:val="2"/>
            <w:shd w:val="clear" w:color="auto" w:fill="FFFFFF"/>
            <w:vAlign w:val="center"/>
          </w:tcPr>
          <w:p w14:paraId="0D837347">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0</w:t>
            </w:r>
          </w:p>
        </w:tc>
      </w:tr>
      <w:tr w14:paraId="7F07D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52" w:type="pct"/>
            <w:vMerge w:val="continue"/>
            <w:shd w:val="clear" w:color="auto" w:fill="FFFFFF"/>
            <w:vAlign w:val="center"/>
          </w:tcPr>
          <w:p w14:paraId="753497FC">
            <w:pPr>
              <w:jc w:val="center"/>
              <w:rPr>
                <w:rFonts w:ascii="宋体" w:hAnsi="宋体" w:cs="宋体"/>
                <w:color w:val="auto"/>
                <w:szCs w:val="21"/>
              </w:rPr>
            </w:pPr>
          </w:p>
        </w:tc>
        <w:tc>
          <w:tcPr>
            <w:tcW w:w="151" w:type="pct"/>
            <w:vMerge w:val="continue"/>
            <w:shd w:val="clear" w:color="auto" w:fill="FFFFFF"/>
            <w:vAlign w:val="center"/>
          </w:tcPr>
          <w:p w14:paraId="6579B245">
            <w:pPr>
              <w:jc w:val="center"/>
              <w:rPr>
                <w:rFonts w:ascii="宋体" w:hAnsi="宋体" w:cs="宋体"/>
                <w:color w:val="auto"/>
                <w:szCs w:val="21"/>
              </w:rPr>
            </w:pPr>
          </w:p>
        </w:tc>
        <w:tc>
          <w:tcPr>
            <w:tcW w:w="300" w:type="pct"/>
            <w:shd w:val="clear" w:color="auto" w:fill="FFFFFF"/>
            <w:vAlign w:val="center"/>
          </w:tcPr>
          <w:p w14:paraId="370076C5">
            <w:pPr>
              <w:keepNext w:val="0"/>
              <w:keepLines w:val="0"/>
              <w:widowControl/>
              <w:suppressLineNumbers w:val="0"/>
              <w:jc w:val="center"/>
              <w:textAlignment w:val="center"/>
              <w:rPr>
                <w:rFonts w:ascii="宋体" w:hAnsi="宋体" w:cs="宋体"/>
                <w:color w:val="auto"/>
                <w:szCs w:val="21"/>
              </w:rPr>
            </w:pPr>
            <w:r>
              <w:rPr>
                <w:rFonts w:hint="eastAsia" w:ascii="宋体" w:hAnsi="宋体" w:eastAsia="宋体" w:cs="宋体"/>
                <w:i w:val="0"/>
                <w:iCs w:val="0"/>
                <w:color w:val="auto"/>
                <w:kern w:val="0"/>
                <w:sz w:val="21"/>
                <w:szCs w:val="21"/>
                <w:u w:val="none"/>
                <w:lang w:val="en-US" w:eastAsia="zh-CN" w:bidi="ar"/>
              </w:rPr>
              <w:t>丁醇</w:t>
            </w:r>
          </w:p>
        </w:tc>
        <w:tc>
          <w:tcPr>
            <w:tcW w:w="713" w:type="pct"/>
            <w:gridSpan w:val="2"/>
            <w:shd w:val="clear" w:color="auto" w:fill="FFFFFF"/>
            <w:vAlign w:val="center"/>
          </w:tcPr>
          <w:p w14:paraId="3B32A7BA">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0.0003</w:t>
            </w:r>
          </w:p>
        </w:tc>
        <w:tc>
          <w:tcPr>
            <w:tcW w:w="2008" w:type="dxa"/>
            <w:gridSpan w:val="2"/>
            <w:shd w:val="clear" w:color="auto" w:fill="FFFFFF"/>
            <w:vAlign w:val="center"/>
          </w:tcPr>
          <w:p w14:paraId="1B7A4AFB">
            <w:pPr>
              <w:keepNext w:val="0"/>
              <w:keepLines w:val="0"/>
              <w:widowControl/>
              <w:suppressLineNumbers w:val="0"/>
              <w:jc w:val="center"/>
              <w:textAlignment w:val="center"/>
              <w:rPr>
                <w:color w:val="auto"/>
                <w:kern w:val="0"/>
                <w:szCs w:val="21"/>
                <w:lang w:bidi="ar"/>
              </w:rPr>
            </w:pPr>
            <w:r>
              <w:rPr>
                <w:rFonts w:hint="default" w:ascii="Times New Roman" w:hAnsi="Times New Roman" w:eastAsia="宋体" w:cs="Times New Roman"/>
                <w:i w:val="0"/>
                <w:iCs w:val="0"/>
                <w:color w:val="auto"/>
                <w:kern w:val="0"/>
                <w:sz w:val="21"/>
                <w:szCs w:val="21"/>
                <w:u w:val="none"/>
                <w:lang w:val="en-US" w:eastAsia="zh-CN" w:bidi="ar"/>
              </w:rPr>
              <w:t>0.0003</w:t>
            </w:r>
          </w:p>
        </w:tc>
        <w:tc>
          <w:tcPr>
            <w:tcW w:w="561" w:type="pct"/>
            <w:gridSpan w:val="2"/>
            <w:shd w:val="clear" w:color="auto" w:fill="FFFFFF"/>
            <w:vAlign w:val="center"/>
          </w:tcPr>
          <w:p w14:paraId="45CD7A35">
            <w:pPr>
              <w:widowControl/>
              <w:jc w:val="center"/>
              <w:textAlignment w:val="center"/>
              <w:rPr>
                <w:color w:val="auto"/>
                <w:kern w:val="0"/>
                <w:szCs w:val="21"/>
                <w:lang w:bidi="ar"/>
              </w:rPr>
            </w:pPr>
            <w:r>
              <w:rPr>
                <w:color w:val="auto"/>
                <w:kern w:val="0"/>
                <w:szCs w:val="21"/>
                <w:lang w:bidi="ar"/>
              </w:rPr>
              <w:t>0</w:t>
            </w:r>
          </w:p>
        </w:tc>
        <w:tc>
          <w:tcPr>
            <w:tcW w:w="1588" w:type="dxa"/>
            <w:gridSpan w:val="2"/>
            <w:shd w:val="clear" w:color="auto" w:fill="FFFFFF"/>
            <w:vAlign w:val="center"/>
          </w:tcPr>
          <w:p w14:paraId="75D5E608">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0</w:t>
            </w:r>
          </w:p>
        </w:tc>
        <w:tc>
          <w:tcPr>
            <w:tcW w:w="564" w:type="pct"/>
            <w:gridSpan w:val="2"/>
            <w:shd w:val="clear" w:color="auto" w:fill="FFFFFF"/>
            <w:vAlign w:val="center"/>
          </w:tcPr>
          <w:p w14:paraId="14C35BC8">
            <w:pPr>
              <w:widowControl/>
              <w:jc w:val="center"/>
              <w:textAlignment w:val="center"/>
              <w:rPr>
                <w:color w:val="auto"/>
                <w:szCs w:val="21"/>
              </w:rPr>
            </w:pPr>
            <w:r>
              <w:rPr>
                <w:color w:val="auto"/>
                <w:kern w:val="0"/>
                <w:szCs w:val="21"/>
                <w:lang w:bidi="ar"/>
              </w:rPr>
              <w:t>0</w:t>
            </w:r>
          </w:p>
        </w:tc>
        <w:tc>
          <w:tcPr>
            <w:tcW w:w="2008" w:type="dxa"/>
            <w:gridSpan w:val="2"/>
            <w:shd w:val="clear" w:color="auto" w:fill="FFFFFF"/>
            <w:vAlign w:val="center"/>
          </w:tcPr>
          <w:p w14:paraId="0619A10A">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 xml:space="preserve">0.0003 </w:t>
            </w:r>
          </w:p>
        </w:tc>
        <w:tc>
          <w:tcPr>
            <w:tcW w:w="1589" w:type="dxa"/>
            <w:gridSpan w:val="2"/>
            <w:shd w:val="clear" w:color="auto" w:fill="FFFFFF"/>
            <w:vAlign w:val="center"/>
          </w:tcPr>
          <w:p w14:paraId="1CD102F8">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0</w:t>
            </w:r>
          </w:p>
        </w:tc>
      </w:tr>
      <w:tr w14:paraId="03FA0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52" w:type="pct"/>
            <w:vMerge w:val="continue"/>
            <w:shd w:val="clear" w:color="auto" w:fill="FFFFFF"/>
            <w:vAlign w:val="center"/>
          </w:tcPr>
          <w:p w14:paraId="4B7AB15C">
            <w:pPr>
              <w:jc w:val="center"/>
              <w:rPr>
                <w:rFonts w:ascii="宋体" w:hAnsi="宋体" w:cs="宋体"/>
                <w:color w:val="auto"/>
                <w:szCs w:val="21"/>
              </w:rPr>
            </w:pPr>
          </w:p>
        </w:tc>
        <w:tc>
          <w:tcPr>
            <w:tcW w:w="151" w:type="pct"/>
            <w:vMerge w:val="continue"/>
            <w:shd w:val="clear" w:color="auto" w:fill="FFFFFF"/>
            <w:vAlign w:val="center"/>
          </w:tcPr>
          <w:p w14:paraId="4B70B4AB">
            <w:pPr>
              <w:jc w:val="center"/>
              <w:rPr>
                <w:rFonts w:ascii="宋体" w:hAnsi="宋体" w:cs="宋体"/>
                <w:color w:val="auto"/>
                <w:szCs w:val="21"/>
              </w:rPr>
            </w:pPr>
          </w:p>
        </w:tc>
        <w:tc>
          <w:tcPr>
            <w:tcW w:w="300" w:type="pct"/>
            <w:shd w:val="clear" w:color="auto" w:fill="FFFFFF"/>
            <w:vAlign w:val="center"/>
          </w:tcPr>
          <w:p w14:paraId="14D4A4EE">
            <w:pPr>
              <w:keepNext w:val="0"/>
              <w:keepLines w:val="0"/>
              <w:widowControl/>
              <w:suppressLineNumbers w:val="0"/>
              <w:jc w:val="center"/>
              <w:textAlignment w:val="center"/>
              <w:rPr>
                <w:rFonts w:ascii="宋体" w:hAnsi="宋体" w:cs="宋体"/>
                <w:color w:val="auto"/>
                <w:szCs w:val="21"/>
              </w:rPr>
            </w:pPr>
            <w:r>
              <w:rPr>
                <w:rFonts w:hint="eastAsia" w:ascii="宋体" w:hAnsi="宋体" w:eastAsia="宋体" w:cs="宋体"/>
                <w:i w:val="0"/>
                <w:iCs w:val="0"/>
                <w:color w:val="auto"/>
                <w:kern w:val="0"/>
                <w:sz w:val="21"/>
                <w:szCs w:val="21"/>
                <w:u w:val="none"/>
                <w:lang w:val="en-US" w:eastAsia="zh-CN" w:bidi="ar"/>
              </w:rPr>
              <w:t>马来酸酐</w:t>
            </w:r>
          </w:p>
        </w:tc>
        <w:tc>
          <w:tcPr>
            <w:tcW w:w="713" w:type="pct"/>
            <w:gridSpan w:val="2"/>
            <w:shd w:val="clear" w:color="auto" w:fill="FFFFFF"/>
            <w:vAlign w:val="center"/>
          </w:tcPr>
          <w:p w14:paraId="2E362A08">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0.0002</w:t>
            </w:r>
          </w:p>
        </w:tc>
        <w:tc>
          <w:tcPr>
            <w:tcW w:w="2008" w:type="dxa"/>
            <w:gridSpan w:val="2"/>
            <w:shd w:val="clear" w:color="auto" w:fill="FFFFFF"/>
            <w:vAlign w:val="center"/>
          </w:tcPr>
          <w:p w14:paraId="4834DD7E">
            <w:pPr>
              <w:keepNext w:val="0"/>
              <w:keepLines w:val="0"/>
              <w:widowControl/>
              <w:suppressLineNumbers w:val="0"/>
              <w:jc w:val="center"/>
              <w:textAlignment w:val="center"/>
              <w:rPr>
                <w:color w:val="auto"/>
                <w:kern w:val="0"/>
                <w:szCs w:val="21"/>
                <w:lang w:bidi="ar"/>
              </w:rPr>
            </w:pPr>
            <w:r>
              <w:rPr>
                <w:rFonts w:hint="default" w:ascii="Times New Roman" w:hAnsi="Times New Roman" w:eastAsia="宋体" w:cs="Times New Roman"/>
                <w:i w:val="0"/>
                <w:iCs w:val="0"/>
                <w:color w:val="auto"/>
                <w:kern w:val="0"/>
                <w:sz w:val="21"/>
                <w:szCs w:val="21"/>
                <w:u w:val="none"/>
                <w:lang w:val="en-US" w:eastAsia="zh-CN" w:bidi="ar"/>
              </w:rPr>
              <w:t>0.0002</w:t>
            </w:r>
          </w:p>
        </w:tc>
        <w:tc>
          <w:tcPr>
            <w:tcW w:w="561" w:type="pct"/>
            <w:gridSpan w:val="2"/>
            <w:shd w:val="clear" w:color="auto" w:fill="FFFFFF"/>
            <w:vAlign w:val="center"/>
          </w:tcPr>
          <w:p w14:paraId="4B526E99">
            <w:pPr>
              <w:widowControl/>
              <w:jc w:val="center"/>
              <w:textAlignment w:val="center"/>
              <w:rPr>
                <w:color w:val="auto"/>
                <w:kern w:val="0"/>
                <w:szCs w:val="21"/>
                <w:lang w:bidi="ar"/>
              </w:rPr>
            </w:pPr>
            <w:r>
              <w:rPr>
                <w:color w:val="auto"/>
                <w:kern w:val="0"/>
                <w:szCs w:val="21"/>
                <w:lang w:bidi="ar"/>
              </w:rPr>
              <w:t>0</w:t>
            </w:r>
          </w:p>
        </w:tc>
        <w:tc>
          <w:tcPr>
            <w:tcW w:w="1588" w:type="dxa"/>
            <w:gridSpan w:val="2"/>
            <w:shd w:val="clear" w:color="auto" w:fill="FFFFFF"/>
            <w:vAlign w:val="center"/>
          </w:tcPr>
          <w:p w14:paraId="2317C5B6">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0</w:t>
            </w:r>
          </w:p>
        </w:tc>
        <w:tc>
          <w:tcPr>
            <w:tcW w:w="564" w:type="pct"/>
            <w:gridSpan w:val="2"/>
            <w:shd w:val="clear" w:color="auto" w:fill="FFFFFF"/>
            <w:vAlign w:val="center"/>
          </w:tcPr>
          <w:p w14:paraId="2DF2F64D">
            <w:pPr>
              <w:widowControl/>
              <w:jc w:val="center"/>
              <w:textAlignment w:val="center"/>
              <w:rPr>
                <w:color w:val="auto"/>
                <w:szCs w:val="21"/>
              </w:rPr>
            </w:pPr>
            <w:r>
              <w:rPr>
                <w:color w:val="auto"/>
                <w:kern w:val="0"/>
                <w:szCs w:val="21"/>
                <w:lang w:bidi="ar"/>
              </w:rPr>
              <w:t>0</w:t>
            </w:r>
          </w:p>
        </w:tc>
        <w:tc>
          <w:tcPr>
            <w:tcW w:w="2008" w:type="dxa"/>
            <w:gridSpan w:val="2"/>
            <w:shd w:val="clear" w:color="auto" w:fill="FFFFFF"/>
            <w:vAlign w:val="center"/>
          </w:tcPr>
          <w:p w14:paraId="1813D6C0">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 xml:space="preserve">0.0002 </w:t>
            </w:r>
          </w:p>
        </w:tc>
        <w:tc>
          <w:tcPr>
            <w:tcW w:w="1589" w:type="dxa"/>
            <w:gridSpan w:val="2"/>
            <w:shd w:val="clear" w:color="auto" w:fill="FFFFFF"/>
            <w:vAlign w:val="center"/>
          </w:tcPr>
          <w:p w14:paraId="0C289DF4">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0</w:t>
            </w:r>
          </w:p>
        </w:tc>
      </w:tr>
      <w:tr w14:paraId="42245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52" w:type="pct"/>
            <w:vMerge w:val="continue"/>
            <w:shd w:val="clear" w:color="auto" w:fill="FFFFFF"/>
            <w:vAlign w:val="center"/>
          </w:tcPr>
          <w:p w14:paraId="76E82E5D">
            <w:pPr>
              <w:jc w:val="center"/>
              <w:rPr>
                <w:rFonts w:ascii="宋体" w:hAnsi="宋体" w:cs="宋体"/>
                <w:color w:val="auto"/>
                <w:szCs w:val="21"/>
              </w:rPr>
            </w:pPr>
          </w:p>
        </w:tc>
        <w:tc>
          <w:tcPr>
            <w:tcW w:w="151" w:type="pct"/>
            <w:vMerge w:val="continue"/>
            <w:shd w:val="clear" w:color="auto" w:fill="FFFFFF"/>
            <w:vAlign w:val="center"/>
          </w:tcPr>
          <w:p w14:paraId="2C9EB6B4">
            <w:pPr>
              <w:jc w:val="center"/>
              <w:rPr>
                <w:rFonts w:ascii="宋体" w:hAnsi="宋体" w:cs="宋体"/>
                <w:color w:val="auto"/>
                <w:szCs w:val="21"/>
              </w:rPr>
            </w:pPr>
          </w:p>
        </w:tc>
        <w:tc>
          <w:tcPr>
            <w:tcW w:w="300" w:type="pct"/>
            <w:shd w:val="clear" w:color="auto" w:fill="FFFFFF"/>
            <w:vAlign w:val="center"/>
          </w:tcPr>
          <w:p w14:paraId="2B6ED55A">
            <w:pPr>
              <w:keepNext w:val="0"/>
              <w:keepLines w:val="0"/>
              <w:widowControl/>
              <w:suppressLineNumbers w:val="0"/>
              <w:jc w:val="center"/>
              <w:textAlignment w:val="center"/>
              <w:rPr>
                <w:rFonts w:ascii="宋体" w:hAnsi="宋体" w:cs="宋体"/>
                <w:color w:val="auto"/>
                <w:szCs w:val="21"/>
              </w:rPr>
            </w:pPr>
            <w:r>
              <w:rPr>
                <w:rFonts w:hint="eastAsia" w:ascii="宋体" w:hAnsi="宋体" w:eastAsia="宋体" w:cs="宋体"/>
                <w:i w:val="0"/>
                <w:iCs w:val="0"/>
                <w:color w:val="auto"/>
                <w:kern w:val="0"/>
                <w:sz w:val="21"/>
                <w:szCs w:val="21"/>
                <w:u w:val="none"/>
                <w:lang w:val="en-US" w:eastAsia="zh-CN" w:bidi="ar"/>
              </w:rPr>
              <w:t>甲醇</w:t>
            </w:r>
          </w:p>
        </w:tc>
        <w:tc>
          <w:tcPr>
            <w:tcW w:w="713" w:type="pct"/>
            <w:gridSpan w:val="2"/>
            <w:shd w:val="clear" w:color="auto" w:fill="FFFFFF"/>
            <w:vAlign w:val="center"/>
          </w:tcPr>
          <w:p w14:paraId="7A7902D4">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0</w:t>
            </w:r>
          </w:p>
        </w:tc>
        <w:tc>
          <w:tcPr>
            <w:tcW w:w="2008" w:type="dxa"/>
            <w:gridSpan w:val="2"/>
            <w:shd w:val="clear" w:color="auto" w:fill="FFFFFF"/>
            <w:vAlign w:val="center"/>
          </w:tcPr>
          <w:p w14:paraId="34CB0F88">
            <w:pPr>
              <w:keepNext w:val="0"/>
              <w:keepLines w:val="0"/>
              <w:widowControl/>
              <w:suppressLineNumbers w:val="0"/>
              <w:jc w:val="center"/>
              <w:textAlignment w:val="center"/>
              <w:rPr>
                <w:color w:val="auto"/>
                <w:kern w:val="0"/>
                <w:szCs w:val="21"/>
                <w:lang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561" w:type="pct"/>
            <w:gridSpan w:val="2"/>
            <w:shd w:val="clear" w:color="auto" w:fill="FFFFFF"/>
            <w:vAlign w:val="center"/>
          </w:tcPr>
          <w:p w14:paraId="29565E88">
            <w:pPr>
              <w:widowControl/>
              <w:jc w:val="center"/>
              <w:textAlignment w:val="center"/>
              <w:rPr>
                <w:color w:val="auto"/>
                <w:kern w:val="0"/>
                <w:szCs w:val="21"/>
                <w:lang w:bidi="ar"/>
              </w:rPr>
            </w:pPr>
            <w:r>
              <w:rPr>
                <w:color w:val="auto"/>
                <w:kern w:val="0"/>
                <w:szCs w:val="21"/>
                <w:lang w:bidi="ar"/>
              </w:rPr>
              <w:t>0</w:t>
            </w:r>
          </w:p>
        </w:tc>
        <w:tc>
          <w:tcPr>
            <w:tcW w:w="1588" w:type="dxa"/>
            <w:gridSpan w:val="2"/>
            <w:shd w:val="clear" w:color="auto" w:fill="FFFFFF"/>
            <w:vAlign w:val="center"/>
          </w:tcPr>
          <w:p w14:paraId="0AEB6530">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 xml:space="preserve">0.0171 </w:t>
            </w:r>
          </w:p>
        </w:tc>
        <w:tc>
          <w:tcPr>
            <w:tcW w:w="564" w:type="pct"/>
            <w:gridSpan w:val="2"/>
            <w:shd w:val="clear" w:color="auto" w:fill="FFFFFF"/>
            <w:vAlign w:val="center"/>
          </w:tcPr>
          <w:p w14:paraId="50C9A64D">
            <w:pPr>
              <w:widowControl/>
              <w:jc w:val="center"/>
              <w:textAlignment w:val="center"/>
              <w:rPr>
                <w:color w:val="auto"/>
                <w:szCs w:val="21"/>
              </w:rPr>
            </w:pPr>
            <w:r>
              <w:rPr>
                <w:color w:val="auto"/>
                <w:kern w:val="0"/>
                <w:szCs w:val="21"/>
                <w:lang w:bidi="ar"/>
              </w:rPr>
              <w:t>0</w:t>
            </w:r>
          </w:p>
        </w:tc>
        <w:tc>
          <w:tcPr>
            <w:tcW w:w="2008" w:type="dxa"/>
            <w:gridSpan w:val="2"/>
            <w:shd w:val="clear" w:color="auto" w:fill="FFFFFF"/>
            <w:vAlign w:val="center"/>
          </w:tcPr>
          <w:p w14:paraId="708C1451">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 xml:space="preserve">0.0171 </w:t>
            </w:r>
          </w:p>
        </w:tc>
        <w:tc>
          <w:tcPr>
            <w:tcW w:w="1589" w:type="dxa"/>
            <w:gridSpan w:val="2"/>
            <w:shd w:val="clear" w:color="auto" w:fill="FFFFFF"/>
            <w:vAlign w:val="center"/>
          </w:tcPr>
          <w:p w14:paraId="28BE0592">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 xml:space="preserve">0.0171 </w:t>
            </w:r>
          </w:p>
        </w:tc>
      </w:tr>
      <w:tr w14:paraId="7386D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52" w:type="pct"/>
            <w:vMerge w:val="continue"/>
            <w:shd w:val="clear" w:color="auto" w:fill="FFFFFF"/>
            <w:vAlign w:val="center"/>
          </w:tcPr>
          <w:p w14:paraId="17664CE3">
            <w:pPr>
              <w:jc w:val="center"/>
              <w:rPr>
                <w:rFonts w:ascii="宋体" w:hAnsi="宋体" w:cs="宋体"/>
                <w:color w:val="auto"/>
                <w:szCs w:val="21"/>
              </w:rPr>
            </w:pPr>
          </w:p>
        </w:tc>
        <w:tc>
          <w:tcPr>
            <w:tcW w:w="151" w:type="pct"/>
            <w:vMerge w:val="continue"/>
            <w:shd w:val="clear" w:color="auto" w:fill="FFFFFF"/>
            <w:vAlign w:val="center"/>
          </w:tcPr>
          <w:p w14:paraId="61F20C36">
            <w:pPr>
              <w:jc w:val="center"/>
              <w:rPr>
                <w:rFonts w:ascii="宋体" w:hAnsi="宋体" w:cs="宋体"/>
                <w:color w:val="auto"/>
                <w:szCs w:val="21"/>
              </w:rPr>
            </w:pPr>
          </w:p>
        </w:tc>
        <w:tc>
          <w:tcPr>
            <w:tcW w:w="300" w:type="pct"/>
            <w:shd w:val="clear" w:color="auto" w:fill="FFFFFF"/>
            <w:vAlign w:val="center"/>
          </w:tcPr>
          <w:p w14:paraId="2064114D">
            <w:pPr>
              <w:keepNext w:val="0"/>
              <w:keepLines w:val="0"/>
              <w:widowControl/>
              <w:suppressLineNumbers w:val="0"/>
              <w:jc w:val="center"/>
              <w:textAlignment w:val="center"/>
              <w:rPr>
                <w:rFonts w:ascii="宋体" w:hAnsi="宋体" w:cs="宋体"/>
                <w:color w:val="auto"/>
                <w:szCs w:val="21"/>
              </w:rPr>
            </w:pPr>
            <w:r>
              <w:rPr>
                <w:rFonts w:hint="eastAsia" w:ascii="宋体" w:hAnsi="宋体" w:eastAsia="宋体" w:cs="宋体"/>
                <w:i w:val="0"/>
                <w:iCs w:val="0"/>
                <w:color w:val="auto"/>
                <w:kern w:val="0"/>
                <w:sz w:val="21"/>
                <w:szCs w:val="21"/>
                <w:u w:val="none"/>
                <w:lang w:val="en-US" w:eastAsia="zh-CN" w:bidi="ar"/>
              </w:rPr>
              <w:t>丙酮</w:t>
            </w:r>
          </w:p>
        </w:tc>
        <w:tc>
          <w:tcPr>
            <w:tcW w:w="713" w:type="pct"/>
            <w:gridSpan w:val="2"/>
            <w:shd w:val="clear" w:color="auto" w:fill="FFFFFF"/>
            <w:vAlign w:val="center"/>
          </w:tcPr>
          <w:p w14:paraId="18B6CB28">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0.004</w:t>
            </w:r>
          </w:p>
        </w:tc>
        <w:tc>
          <w:tcPr>
            <w:tcW w:w="2008" w:type="dxa"/>
            <w:gridSpan w:val="2"/>
            <w:shd w:val="clear" w:color="auto" w:fill="FFFFFF"/>
            <w:vAlign w:val="center"/>
          </w:tcPr>
          <w:p w14:paraId="2818260D">
            <w:pPr>
              <w:keepNext w:val="0"/>
              <w:keepLines w:val="0"/>
              <w:widowControl/>
              <w:suppressLineNumbers w:val="0"/>
              <w:jc w:val="center"/>
              <w:textAlignment w:val="center"/>
              <w:rPr>
                <w:color w:val="auto"/>
                <w:kern w:val="0"/>
                <w:szCs w:val="21"/>
                <w:lang w:bidi="ar"/>
              </w:rPr>
            </w:pPr>
            <w:r>
              <w:rPr>
                <w:rFonts w:hint="default" w:ascii="Times New Roman" w:hAnsi="Times New Roman" w:eastAsia="宋体" w:cs="Times New Roman"/>
                <w:i w:val="0"/>
                <w:iCs w:val="0"/>
                <w:color w:val="auto"/>
                <w:kern w:val="0"/>
                <w:sz w:val="21"/>
                <w:szCs w:val="21"/>
                <w:u w:val="none"/>
                <w:lang w:val="en-US" w:eastAsia="zh-CN" w:bidi="ar"/>
              </w:rPr>
              <w:t>0.004</w:t>
            </w:r>
          </w:p>
        </w:tc>
        <w:tc>
          <w:tcPr>
            <w:tcW w:w="561" w:type="pct"/>
            <w:gridSpan w:val="2"/>
            <w:shd w:val="clear" w:color="auto" w:fill="FFFFFF"/>
            <w:vAlign w:val="center"/>
          </w:tcPr>
          <w:p w14:paraId="1FF38453">
            <w:pPr>
              <w:widowControl/>
              <w:jc w:val="center"/>
              <w:textAlignment w:val="center"/>
              <w:rPr>
                <w:color w:val="auto"/>
                <w:kern w:val="0"/>
                <w:szCs w:val="21"/>
                <w:lang w:bidi="ar"/>
              </w:rPr>
            </w:pPr>
            <w:r>
              <w:rPr>
                <w:color w:val="auto"/>
                <w:kern w:val="0"/>
                <w:szCs w:val="21"/>
                <w:lang w:bidi="ar"/>
              </w:rPr>
              <w:t>0</w:t>
            </w:r>
          </w:p>
        </w:tc>
        <w:tc>
          <w:tcPr>
            <w:tcW w:w="1588" w:type="dxa"/>
            <w:gridSpan w:val="2"/>
            <w:shd w:val="clear" w:color="auto" w:fill="FFFFFF"/>
            <w:vAlign w:val="center"/>
          </w:tcPr>
          <w:p w14:paraId="2060E7EA">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 xml:space="preserve">0 </w:t>
            </w:r>
          </w:p>
        </w:tc>
        <w:tc>
          <w:tcPr>
            <w:tcW w:w="564" w:type="pct"/>
            <w:gridSpan w:val="2"/>
            <w:shd w:val="clear" w:color="auto" w:fill="FFFFFF"/>
            <w:vAlign w:val="center"/>
          </w:tcPr>
          <w:p w14:paraId="1DB9FB19">
            <w:pPr>
              <w:widowControl/>
              <w:jc w:val="center"/>
              <w:textAlignment w:val="center"/>
              <w:rPr>
                <w:color w:val="auto"/>
                <w:szCs w:val="21"/>
              </w:rPr>
            </w:pPr>
            <w:r>
              <w:rPr>
                <w:color w:val="auto"/>
                <w:kern w:val="0"/>
                <w:szCs w:val="21"/>
                <w:lang w:bidi="ar"/>
              </w:rPr>
              <w:t>0</w:t>
            </w:r>
          </w:p>
        </w:tc>
        <w:tc>
          <w:tcPr>
            <w:tcW w:w="2008" w:type="dxa"/>
            <w:gridSpan w:val="2"/>
            <w:shd w:val="clear" w:color="auto" w:fill="FFFFFF"/>
            <w:vAlign w:val="center"/>
          </w:tcPr>
          <w:p w14:paraId="503BEB96">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 xml:space="preserve">0.0040 </w:t>
            </w:r>
          </w:p>
        </w:tc>
        <w:tc>
          <w:tcPr>
            <w:tcW w:w="1589" w:type="dxa"/>
            <w:gridSpan w:val="2"/>
            <w:shd w:val="clear" w:color="auto" w:fill="FFFFFF"/>
            <w:vAlign w:val="center"/>
          </w:tcPr>
          <w:p w14:paraId="49C357C6">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 xml:space="preserve">0 </w:t>
            </w:r>
          </w:p>
        </w:tc>
      </w:tr>
      <w:tr w14:paraId="32CB5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52" w:type="pct"/>
            <w:vMerge w:val="continue"/>
            <w:shd w:val="clear" w:color="auto" w:fill="FFFFFF"/>
            <w:vAlign w:val="center"/>
          </w:tcPr>
          <w:p w14:paraId="6589F5E7">
            <w:pPr>
              <w:jc w:val="center"/>
              <w:rPr>
                <w:rFonts w:ascii="宋体" w:hAnsi="宋体" w:cs="宋体"/>
                <w:color w:val="auto"/>
                <w:szCs w:val="21"/>
              </w:rPr>
            </w:pPr>
          </w:p>
        </w:tc>
        <w:tc>
          <w:tcPr>
            <w:tcW w:w="151" w:type="pct"/>
            <w:vMerge w:val="continue"/>
            <w:shd w:val="clear" w:color="auto" w:fill="FFFFFF"/>
            <w:vAlign w:val="center"/>
          </w:tcPr>
          <w:p w14:paraId="43C91071">
            <w:pPr>
              <w:jc w:val="center"/>
              <w:rPr>
                <w:rFonts w:ascii="宋体" w:hAnsi="宋体" w:cs="宋体"/>
                <w:color w:val="auto"/>
                <w:szCs w:val="21"/>
              </w:rPr>
            </w:pPr>
          </w:p>
        </w:tc>
        <w:tc>
          <w:tcPr>
            <w:tcW w:w="300" w:type="pct"/>
            <w:shd w:val="clear" w:color="auto" w:fill="FFFFFF"/>
            <w:vAlign w:val="center"/>
          </w:tcPr>
          <w:p w14:paraId="02CD592F">
            <w:pPr>
              <w:keepNext w:val="0"/>
              <w:keepLines w:val="0"/>
              <w:widowControl/>
              <w:suppressLineNumbers w:val="0"/>
              <w:jc w:val="center"/>
              <w:textAlignment w:val="center"/>
              <w:rPr>
                <w:rFonts w:ascii="宋体" w:hAnsi="宋体" w:cs="宋体"/>
                <w:color w:val="auto"/>
                <w:szCs w:val="21"/>
              </w:rPr>
            </w:pPr>
            <w:r>
              <w:rPr>
                <w:rFonts w:hint="eastAsia" w:ascii="宋体" w:hAnsi="宋体" w:eastAsia="宋体" w:cs="宋体"/>
                <w:i w:val="0"/>
                <w:iCs w:val="0"/>
                <w:color w:val="auto"/>
                <w:kern w:val="0"/>
                <w:sz w:val="21"/>
                <w:szCs w:val="21"/>
                <w:u w:val="none"/>
                <w:lang w:val="en-US" w:eastAsia="zh-CN" w:bidi="ar"/>
              </w:rPr>
              <w:t>乙二醇</w:t>
            </w:r>
          </w:p>
        </w:tc>
        <w:tc>
          <w:tcPr>
            <w:tcW w:w="713" w:type="pct"/>
            <w:gridSpan w:val="2"/>
            <w:shd w:val="clear" w:color="auto" w:fill="FFFFFF"/>
            <w:vAlign w:val="center"/>
          </w:tcPr>
          <w:p w14:paraId="615C9413">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0</w:t>
            </w:r>
          </w:p>
        </w:tc>
        <w:tc>
          <w:tcPr>
            <w:tcW w:w="2008" w:type="dxa"/>
            <w:gridSpan w:val="2"/>
            <w:shd w:val="clear" w:color="auto" w:fill="FFFFFF"/>
            <w:vAlign w:val="center"/>
          </w:tcPr>
          <w:p w14:paraId="3722CB9E">
            <w:pPr>
              <w:keepNext w:val="0"/>
              <w:keepLines w:val="0"/>
              <w:widowControl/>
              <w:suppressLineNumbers w:val="0"/>
              <w:jc w:val="center"/>
              <w:textAlignment w:val="center"/>
              <w:rPr>
                <w:color w:val="auto"/>
                <w:kern w:val="0"/>
                <w:szCs w:val="21"/>
                <w:lang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561" w:type="pct"/>
            <w:gridSpan w:val="2"/>
            <w:shd w:val="clear" w:color="auto" w:fill="FFFFFF"/>
            <w:vAlign w:val="center"/>
          </w:tcPr>
          <w:p w14:paraId="48F08C82">
            <w:pPr>
              <w:widowControl/>
              <w:jc w:val="center"/>
              <w:textAlignment w:val="center"/>
              <w:rPr>
                <w:color w:val="auto"/>
                <w:kern w:val="0"/>
                <w:szCs w:val="21"/>
                <w:lang w:bidi="ar"/>
              </w:rPr>
            </w:pPr>
            <w:r>
              <w:rPr>
                <w:color w:val="auto"/>
                <w:kern w:val="0"/>
                <w:szCs w:val="21"/>
                <w:lang w:bidi="ar"/>
              </w:rPr>
              <w:t>0</w:t>
            </w:r>
          </w:p>
        </w:tc>
        <w:tc>
          <w:tcPr>
            <w:tcW w:w="1588" w:type="dxa"/>
            <w:gridSpan w:val="2"/>
            <w:shd w:val="clear" w:color="auto" w:fill="FFFFFF"/>
            <w:vAlign w:val="center"/>
          </w:tcPr>
          <w:p w14:paraId="390CDF0D">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 xml:space="preserve">0.0095 </w:t>
            </w:r>
          </w:p>
        </w:tc>
        <w:tc>
          <w:tcPr>
            <w:tcW w:w="564" w:type="pct"/>
            <w:gridSpan w:val="2"/>
            <w:shd w:val="clear" w:color="auto" w:fill="FFFFFF"/>
            <w:vAlign w:val="center"/>
          </w:tcPr>
          <w:p w14:paraId="6E26789D">
            <w:pPr>
              <w:widowControl/>
              <w:jc w:val="center"/>
              <w:textAlignment w:val="center"/>
              <w:rPr>
                <w:color w:val="auto"/>
                <w:szCs w:val="21"/>
              </w:rPr>
            </w:pPr>
            <w:r>
              <w:rPr>
                <w:color w:val="auto"/>
                <w:kern w:val="0"/>
                <w:szCs w:val="21"/>
                <w:lang w:bidi="ar"/>
              </w:rPr>
              <w:t>0</w:t>
            </w:r>
          </w:p>
        </w:tc>
        <w:tc>
          <w:tcPr>
            <w:tcW w:w="2008" w:type="dxa"/>
            <w:gridSpan w:val="2"/>
            <w:shd w:val="clear" w:color="auto" w:fill="FFFFFF"/>
            <w:vAlign w:val="center"/>
          </w:tcPr>
          <w:p w14:paraId="372C864A">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 xml:space="preserve">0.0095 </w:t>
            </w:r>
          </w:p>
        </w:tc>
        <w:tc>
          <w:tcPr>
            <w:tcW w:w="1589" w:type="dxa"/>
            <w:gridSpan w:val="2"/>
            <w:shd w:val="clear" w:color="auto" w:fill="FFFFFF"/>
            <w:vAlign w:val="center"/>
          </w:tcPr>
          <w:p w14:paraId="438C4080">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 xml:space="preserve">0.0095 </w:t>
            </w:r>
          </w:p>
        </w:tc>
      </w:tr>
      <w:tr w14:paraId="5BF28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52" w:type="pct"/>
            <w:vMerge w:val="continue"/>
            <w:shd w:val="clear" w:color="auto" w:fill="FFFFFF"/>
            <w:vAlign w:val="center"/>
          </w:tcPr>
          <w:p w14:paraId="5CF99ABF">
            <w:pPr>
              <w:jc w:val="center"/>
              <w:rPr>
                <w:rFonts w:ascii="宋体" w:hAnsi="宋体" w:cs="宋体"/>
                <w:color w:val="auto"/>
                <w:szCs w:val="21"/>
              </w:rPr>
            </w:pPr>
          </w:p>
        </w:tc>
        <w:tc>
          <w:tcPr>
            <w:tcW w:w="151" w:type="pct"/>
            <w:vMerge w:val="continue"/>
            <w:shd w:val="clear" w:color="auto" w:fill="FFFFFF"/>
            <w:vAlign w:val="center"/>
          </w:tcPr>
          <w:p w14:paraId="6D6C4B71">
            <w:pPr>
              <w:jc w:val="center"/>
              <w:rPr>
                <w:rFonts w:ascii="宋体" w:hAnsi="宋体" w:cs="宋体"/>
                <w:color w:val="auto"/>
                <w:szCs w:val="21"/>
              </w:rPr>
            </w:pPr>
          </w:p>
        </w:tc>
        <w:tc>
          <w:tcPr>
            <w:tcW w:w="300" w:type="pct"/>
            <w:shd w:val="clear" w:color="auto" w:fill="FFFFFF"/>
            <w:vAlign w:val="center"/>
          </w:tcPr>
          <w:p w14:paraId="49D788D8">
            <w:pPr>
              <w:keepNext w:val="0"/>
              <w:keepLines w:val="0"/>
              <w:widowControl/>
              <w:suppressLineNumbers w:val="0"/>
              <w:jc w:val="center"/>
              <w:textAlignment w:val="center"/>
              <w:rPr>
                <w:rFonts w:ascii="宋体" w:hAnsi="宋体" w:cs="宋体"/>
                <w:color w:val="auto"/>
                <w:szCs w:val="21"/>
              </w:rPr>
            </w:pPr>
            <w:r>
              <w:rPr>
                <w:rFonts w:hint="eastAsia" w:ascii="宋体" w:hAnsi="宋体" w:eastAsia="宋体" w:cs="宋体"/>
                <w:i w:val="0"/>
                <w:iCs w:val="0"/>
                <w:color w:val="auto"/>
                <w:kern w:val="0"/>
                <w:sz w:val="21"/>
                <w:szCs w:val="21"/>
                <w:u w:val="none"/>
                <w:lang w:val="en-US" w:eastAsia="zh-CN" w:bidi="ar"/>
              </w:rPr>
              <w:t>四氯化碳</w:t>
            </w:r>
          </w:p>
        </w:tc>
        <w:tc>
          <w:tcPr>
            <w:tcW w:w="713" w:type="pct"/>
            <w:gridSpan w:val="2"/>
            <w:shd w:val="clear" w:color="auto" w:fill="FFFFFF"/>
            <w:vAlign w:val="center"/>
          </w:tcPr>
          <w:p w14:paraId="7D8B94B9">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0</w:t>
            </w:r>
          </w:p>
        </w:tc>
        <w:tc>
          <w:tcPr>
            <w:tcW w:w="2008" w:type="dxa"/>
            <w:gridSpan w:val="2"/>
            <w:shd w:val="clear" w:color="auto" w:fill="FFFFFF"/>
            <w:vAlign w:val="center"/>
          </w:tcPr>
          <w:p w14:paraId="4043A224">
            <w:pPr>
              <w:keepNext w:val="0"/>
              <w:keepLines w:val="0"/>
              <w:widowControl/>
              <w:suppressLineNumbers w:val="0"/>
              <w:jc w:val="center"/>
              <w:textAlignment w:val="center"/>
              <w:rPr>
                <w:color w:val="auto"/>
                <w:kern w:val="0"/>
                <w:szCs w:val="21"/>
                <w:lang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561" w:type="pct"/>
            <w:gridSpan w:val="2"/>
            <w:shd w:val="clear" w:color="auto" w:fill="FFFFFF"/>
            <w:vAlign w:val="center"/>
          </w:tcPr>
          <w:p w14:paraId="21836D25">
            <w:pPr>
              <w:widowControl/>
              <w:jc w:val="center"/>
              <w:textAlignment w:val="center"/>
              <w:rPr>
                <w:color w:val="auto"/>
                <w:kern w:val="0"/>
                <w:szCs w:val="21"/>
                <w:lang w:bidi="ar"/>
              </w:rPr>
            </w:pPr>
            <w:r>
              <w:rPr>
                <w:color w:val="auto"/>
                <w:kern w:val="0"/>
                <w:szCs w:val="21"/>
                <w:lang w:bidi="ar"/>
              </w:rPr>
              <w:t>0</w:t>
            </w:r>
          </w:p>
        </w:tc>
        <w:tc>
          <w:tcPr>
            <w:tcW w:w="1588" w:type="dxa"/>
            <w:gridSpan w:val="2"/>
            <w:shd w:val="clear" w:color="auto" w:fill="FFFFFF"/>
            <w:vAlign w:val="center"/>
          </w:tcPr>
          <w:p w14:paraId="63A8DA41">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 xml:space="preserve">0.000076 </w:t>
            </w:r>
          </w:p>
        </w:tc>
        <w:tc>
          <w:tcPr>
            <w:tcW w:w="564" w:type="pct"/>
            <w:gridSpan w:val="2"/>
            <w:shd w:val="clear" w:color="auto" w:fill="FFFFFF"/>
            <w:vAlign w:val="center"/>
          </w:tcPr>
          <w:p w14:paraId="706C860A">
            <w:pPr>
              <w:widowControl/>
              <w:jc w:val="center"/>
              <w:textAlignment w:val="center"/>
              <w:rPr>
                <w:color w:val="auto"/>
                <w:szCs w:val="21"/>
              </w:rPr>
            </w:pPr>
            <w:r>
              <w:rPr>
                <w:color w:val="auto"/>
                <w:kern w:val="0"/>
                <w:szCs w:val="21"/>
                <w:lang w:bidi="ar"/>
              </w:rPr>
              <w:t>0</w:t>
            </w:r>
          </w:p>
        </w:tc>
        <w:tc>
          <w:tcPr>
            <w:tcW w:w="2008" w:type="dxa"/>
            <w:gridSpan w:val="2"/>
            <w:shd w:val="clear" w:color="auto" w:fill="FFFFFF"/>
            <w:vAlign w:val="center"/>
          </w:tcPr>
          <w:p w14:paraId="49C76BFE">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 xml:space="preserve">0.000076 </w:t>
            </w:r>
          </w:p>
        </w:tc>
        <w:tc>
          <w:tcPr>
            <w:tcW w:w="1589" w:type="dxa"/>
            <w:gridSpan w:val="2"/>
            <w:shd w:val="clear" w:color="auto" w:fill="FFFFFF"/>
            <w:vAlign w:val="center"/>
          </w:tcPr>
          <w:p w14:paraId="11E2DBCC">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 xml:space="preserve">0.000076 </w:t>
            </w:r>
          </w:p>
        </w:tc>
      </w:tr>
      <w:tr w14:paraId="10F81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52" w:type="pct"/>
            <w:vMerge w:val="continue"/>
            <w:shd w:val="clear" w:color="auto" w:fill="FFFFFF"/>
            <w:vAlign w:val="center"/>
          </w:tcPr>
          <w:p w14:paraId="651A4323">
            <w:pPr>
              <w:jc w:val="center"/>
              <w:rPr>
                <w:rFonts w:ascii="宋体" w:hAnsi="宋体" w:cs="宋体"/>
                <w:color w:val="auto"/>
                <w:szCs w:val="21"/>
              </w:rPr>
            </w:pPr>
          </w:p>
        </w:tc>
        <w:tc>
          <w:tcPr>
            <w:tcW w:w="151" w:type="pct"/>
            <w:vMerge w:val="continue"/>
            <w:shd w:val="clear" w:color="auto" w:fill="FFFFFF"/>
            <w:vAlign w:val="center"/>
          </w:tcPr>
          <w:p w14:paraId="1AAA6696">
            <w:pPr>
              <w:jc w:val="center"/>
              <w:rPr>
                <w:rFonts w:ascii="宋体" w:hAnsi="宋体" w:cs="宋体"/>
                <w:color w:val="auto"/>
                <w:szCs w:val="21"/>
              </w:rPr>
            </w:pPr>
          </w:p>
        </w:tc>
        <w:tc>
          <w:tcPr>
            <w:tcW w:w="300" w:type="pct"/>
            <w:shd w:val="clear" w:color="auto" w:fill="FFFFFF"/>
            <w:vAlign w:val="center"/>
          </w:tcPr>
          <w:p w14:paraId="66300C2F">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VOCs</w:t>
            </w:r>
            <w:r>
              <w:rPr>
                <w:rFonts w:hint="eastAsia" w:ascii="宋体" w:hAnsi="宋体" w:eastAsia="宋体" w:cs="宋体"/>
                <w:i w:val="0"/>
                <w:iCs w:val="0"/>
                <w:color w:val="auto"/>
                <w:kern w:val="0"/>
                <w:sz w:val="21"/>
                <w:szCs w:val="21"/>
                <w:u w:val="none"/>
                <w:lang w:val="en-US" w:eastAsia="zh-CN" w:bidi="ar"/>
              </w:rPr>
              <w:t>（以非甲烷总烃计）</w:t>
            </w:r>
          </w:p>
        </w:tc>
        <w:tc>
          <w:tcPr>
            <w:tcW w:w="713" w:type="pct"/>
            <w:gridSpan w:val="2"/>
            <w:shd w:val="clear" w:color="auto" w:fill="FFFFFF"/>
            <w:vAlign w:val="center"/>
          </w:tcPr>
          <w:p w14:paraId="654C027F">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0.1092</w:t>
            </w:r>
          </w:p>
        </w:tc>
        <w:tc>
          <w:tcPr>
            <w:tcW w:w="2008" w:type="dxa"/>
            <w:gridSpan w:val="2"/>
            <w:shd w:val="clear" w:color="auto" w:fill="FFFFFF"/>
            <w:vAlign w:val="center"/>
          </w:tcPr>
          <w:p w14:paraId="1F4E0244">
            <w:pPr>
              <w:keepNext w:val="0"/>
              <w:keepLines w:val="0"/>
              <w:widowControl/>
              <w:suppressLineNumbers w:val="0"/>
              <w:jc w:val="center"/>
              <w:textAlignment w:val="center"/>
              <w:rPr>
                <w:color w:val="auto"/>
                <w:kern w:val="0"/>
                <w:szCs w:val="21"/>
                <w:lang w:bidi="ar"/>
              </w:rPr>
            </w:pPr>
            <w:r>
              <w:rPr>
                <w:rFonts w:hint="default" w:ascii="Times New Roman" w:hAnsi="Times New Roman" w:eastAsia="宋体" w:cs="Times New Roman"/>
                <w:i w:val="0"/>
                <w:iCs w:val="0"/>
                <w:color w:val="auto"/>
                <w:kern w:val="0"/>
                <w:sz w:val="21"/>
                <w:szCs w:val="21"/>
                <w:u w:val="none"/>
                <w:lang w:val="en-US" w:eastAsia="zh-CN" w:bidi="ar"/>
              </w:rPr>
              <w:t>0.1092</w:t>
            </w:r>
          </w:p>
        </w:tc>
        <w:tc>
          <w:tcPr>
            <w:tcW w:w="561" w:type="pct"/>
            <w:gridSpan w:val="2"/>
            <w:shd w:val="clear" w:color="auto" w:fill="FFFFFF"/>
            <w:vAlign w:val="center"/>
          </w:tcPr>
          <w:p w14:paraId="0FA17540">
            <w:pPr>
              <w:widowControl/>
              <w:jc w:val="center"/>
              <w:textAlignment w:val="center"/>
              <w:rPr>
                <w:color w:val="auto"/>
                <w:kern w:val="0"/>
                <w:szCs w:val="21"/>
                <w:lang w:bidi="ar"/>
              </w:rPr>
            </w:pPr>
            <w:r>
              <w:rPr>
                <w:color w:val="auto"/>
                <w:kern w:val="0"/>
                <w:szCs w:val="21"/>
                <w:lang w:bidi="ar"/>
              </w:rPr>
              <w:t>0</w:t>
            </w:r>
          </w:p>
        </w:tc>
        <w:tc>
          <w:tcPr>
            <w:tcW w:w="1588" w:type="dxa"/>
            <w:gridSpan w:val="2"/>
            <w:shd w:val="clear" w:color="auto" w:fill="FFFFFF"/>
            <w:vAlign w:val="center"/>
          </w:tcPr>
          <w:p w14:paraId="5F0AC82F">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 xml:space="preserve">0.0276 </w:t>
            </w:r>
          </w:p>
        </w:tc>
        <w:tc>
          <w:tcPr>
            <w:tcW w:w="564" w:type="pct"/>
            <w:gridSpan w:val="2"/>
            <w:shd w:val="clear" w:color="auto" w:fill="FFFFFF"/>
            <w:vAlign w:val="center"/>
          </w:tcPr>
          <w:p w14:paraId="07923F46">
            <w:pPr>
              <w:widowControl/>
              <w:jc w:val="center"/>
              <w:textAlignment w:val="center"/>
              <w:rPr>
                <w:color w:val="auto"/>
                <w:szCs w:val="21"/>
              </w:rPr>
            </w:pPr>
            <w:r>
              <w:rPr>
                <w:color w:val="auto"/>
                <w:kern w:val="0"/>
                <w:szCs w:val="21"/>
                <w:lang w:bidi="ar"/>
              </w:rPr>
              <w:t>0</w:t>
            </w:r>
          </w:p>
        </w:tc>
        <w:tc>
          <w:tcPr>
            <w:tcW w:w="2008" w:type="dxa"/>
            <w:gridSpan w:val="2"/>
            <w:shd w:val="clear" w:color="auto" w:fill="FFFFFF"/>
            <w:vAlign w:val="center"/>
          </w:tcPr>
          <w:p w14:paraId="61CDE36C">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 xml:space="preserve">0.1368 </w:t>
            </w:r>
          </w:p>
        </w:tc>
        <w:tc>
          <w:tcPr>
            <w:tcW w:w="1589" w:type="dxa"/>
            <w:gridSpan w:val="2"/>
            <w:shd w:val="clear" w:color="auto" w:fill="FFFFFF"/>
            <w:vAlign w:val="center"/>
          </w:tcPr>
          <w:p w14:paraId="45364D58">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 xml:space="preserve">0.0276 </w:t>
            </w:r>
          </w:p>
        </w:tc>
      </w:tr>
      <w:tr w14:paraId="047F5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52" w:type="pct"/>
            <w:vMerge w:val="continue"/>
            <w:shd w:val="clear" w:color="auto" w:fill="FFFFFF"/>
            <w:vAlign w:val="center"/>
          </w:tcPr>
          <w:p w14:paraId="03E9A282">
            <w:pPr>
              <w:jc w:val="center"/>
              <w:rPr>
                <w:rFonts w:ascii="宋体" w:hAnsi="宋体" w:cs="宋体"/>
                <w:color w:val="auto"/>
                <w:szCs w:val="21"/>
              </w:rPr>
            </w:pPr>
          </w:p>
        </w:tc>
        <w:tc>
          <w:tcPr>
            <w:tcW w:w="151" w:type="pct"/>
            <w:vMerge w:val="restart"/>
            <w:shd w:val="clear" w:color="auto" w:fill="FFFFFF"/>
            <w:vAlign w:val="center"/>
          </w:tcPr>
          <w:p w14:paraId="4D3C8D1D">
            <w:pPr>
              <w:widowControl/>
              <w:jc w:val="center"/>
              <w:textAlignment w:val="center"/>
              <w:rPr>
                <w:rFonts w:ascii="宋体" w:hAnsi="宋体" w:cs="宋体"/>
                <w:color w:val="auto"/>
                <w:szCs w:val="21"/>
              </w:rPr>
            </w:pPr>
            <w:r>
              <w:rPr>
                <w:rFonts w:hint="eastAsia" w:ascii="宋体" w:hAnsi="宋体" w:cs="宋体"/>
                <w:color w:val="auto"/>
                <w:kern w:val="0"/>
                <w:szCs w:val="21"/>
                <w:lang w:bidi="ar"/>
              </w:rPr>
              <w:t>无组织</w:t>
            </w:r>
          </w:p>
        </w:tc>
        <w:tc>
          <w:tcPr>
            <w:tcW w:w="300" w:type="pct"/>
            <w:shd w:val="clear" w:color="auto" w:fill="FFFFFF"/>
            <w:vAlign w:val="center"/>
          </w:tcPr>
          <w:p w14:paraId="3AF02CD9">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NH</w:t>
            </w:r>
            <w:r>
              <w:rPr>
                <w:rFonts w:hint="default" w:ascii="Times New Roman" w:hAnsi="Times New Roman" w:eastAsia="宋体" w:cs="Times New Roman"/>
                <w:i w:val="0"/>
                <w:iCs w:val="0"/>
                <w:color w:val="auto"/>
                <w:kern w:val="0"/>
                <w:sz w:val="21"/>
                <w:szCs w:val="21"/>
                <w:u w:val="none"/>
                <w:vertAlign w:val="subscript"/>
                <w:lang w:val="en-US" w:eastAsia="zh-CN" w:bidi="ar"/>
              </w:rPr>
              <w:t>3</w:t>
            </w:r>
          </w:p>
        </w:tc>
        <w:tc>
          <w:tcPr>
            <w:tcW w:w="713" w:type="pct"/>
            <w:gridSpan w:val="2"/>
            <w:shd w:val="clear" w:color="auto" w:fill="FFFFFF"/>
            <w:vAlign w:val="center"/>
          </w:tcPr>
          <w:p w14:paraId="14A3BB4F">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0.0078</w:t>
            </w:r>
          </w:p>
        </w:tc>
        <w:tc>
          <w:tcPr>
            <w:tcW w:w="2008" w:type="dxa"/>
            <w:gridSpan w:val="2"/>
            <w:shd w:val="clear" w:color="auto" w:fill="FFFFFF"/>
            <w:vAlign w:val="center"/>
          </w:tcPr>
          <w:p w14:paraId="1E2BC03B">
            <w:pPr>
              <w:keepNext w:val="0"/>
              <w:keepLines w:val="0"/>
              <w:widowControl/>
              <w:suppressLineNumbers w:val="0"/>
              <w:jc w:val="center"/>
              <w:textAlignment w:val="center"/>
              <w:rPr>
                <w:color w:val="auto"/>
                <w:kern w:val="0"/>
                <w:szCs w:val="21"/>
                <w:lang w:bidi="ar"/>
              </w:rPr>
            </w:pPr>
            <w:r>
              <w:rPr>
                <w:rFonts w:hint="default" w:ascii="Times New Roman" w:hAnsi="Times New Roman" w:eastAsia="宋体" w:cs="Times New Roman"/>
                <w:i w:val="0"/>
                <w:iCs w:val="0"/>
                <w:color w:val="auto"/>
                <w:kern w:val="0"/>
                <w:sz w:val="21"/>
                <w:szCs w:val="21"/>
                <w:u w:val="none"/>
                <w:lang w:val="en-US" w:eastAsia="zh-CN" w:bidi="ar"/>
              </w:rPr>
              <w:t>0.0078</w:t>
            </w:r>
          </w:p>
        </w:tc>
        <w:tc>
          <w:tcPr>
            <w:tcW w:w="561" w:type="pct"/>
            <w:gridSpan w:val="2"/>
            <w:shd w:val="clear" w:color="auto" w:fill="FFFFFF"/>
            <w:vAlign w:val="center"/>
          </w:tcPr>
          <w:p w14:paraId="35D340B6">
            <w:pPr>
              <w:widowControl/>
              <w:jc w:val="center"/>
              <w:textAlignment w:val="center"/>
              <w:rPr>
                <w:color w:val="auto"/>
                <w:kern w:val="0"/>
                <w:szCs w:val="21"/>
                <w:lang w:bidi="ar"/>
              </w:rPr>
            </w:pPr>
            <w:r>
              <w:rPr>
                <w:color w:val="auto"/>
                <w:kern w:val="0"/>
                <w:szCs w:val="21"/>
                <w:lang w:bidi="ar"/>
              </w:rPr>
              <w:t>0</w:t>
            </w:r>
          </w:p>
        </w:tc>
        <w:tc>
          <w:tcPr>
            <w:tcW w:w="1588" w:type="dxa"/>
            <w:gridSpan w:val="2"/>
            <w:shd w:val="clear" w:color="auto" w:fill="FFFFFF"/>
            <w:vAlign w:val="center"/>
          </w:tcPr>
          <w:p w14:paraId="66574F7C">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 xml:space="preserve">0.00000053 </w:t>
            </w:r>
          </w:p>
        </w:tc>
        <w:tc>
          <w:tcPr>
            <w:tcW w:w="564" w:type="pct"/>
            <w:gridSpan w:val="2"/>
            <w:shd w:val="clear" w:color="auto" w:fill="FFFFFF"/>
            <w:vAlign w:val="center"/>
          </w:tcPr>
          <w:p w14:paraId="0BD1EE2A">
            <w:pPr>
              <w:widowControl/>
              <w:jc w:val="center"/>
              <w:textAlignment w:val="center"/>
              <w:rPr>
                <w:color w:val="auto"/>
                <w:szCs w:val="21"/>
              </w:rPr>
            </w:pPr>
            <w:r>
              <w:rPr>
                <w:color w:val="auto"/>
                <w:kern w:val="0"/>
                <w:szCs w:val="21"/>
                <w:lang w:bidi="ar"/>
              </w:rPr>
              <w:t>0</w:t>
            </w:r>
          </w:p>
        </w:tc>
        <w:tc>
          <w:tcPr>
            <w:tcW w:w="2008" w:type="dxa"/>
            <w:gridSpan w:val="2"/>
            <w:shd w:val="clear" w:color="auto" w:fill="FFFFFF"/>
            <w:vAlign w:val="center"/>
          </w:tcPr>
          <w:p w14:paraId="003ABCE4">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 xml:space="preserve">0.00780053 </w:t>
            </w:r>
          </w:p>
        </w:tc>
        <w:tc>
          <w:tcPr>
            <w:tcW w:w="1589" w:type="dxa"/>
            <w:gridSpan w:val="2"/>
            <w:shd w:val="clear" w:color="auto" w:fill="FFFFFF"/>
            <w:vAlign w:val="center"/>
          </w:tcPr>
          <w:p w14:paraId="0A6EF175">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 xml:space="preserve">0.00000053 </w:t>
            </w:r>
          </w:p>
        </w:tc>
      </w:tr>
      <w:tr w14:paraId="01387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52" w:type="pct"/>
            <w:vMerge w:val="continue"/>
            <w:shd w:val="clear" w:color="auto" w:fill="FFFFFF"/>
            <w:vAlign w:val="center"/>
          </w:tcPr>
          <w:p w14:paraId="42A1DE8D">
            <w:pPr>
              <w:jc w:val="center"/>
              <w:rPr>
                <w:rFonts w:ascii="宋体" w:hAnsi="宋体" w:cs="宋体"/>
                <w:color w:val="auto"/>
                <w:szCs w:val="21"/>
              </w:rPr>
            </w:pPr>
          </w:p>
        </w:tc>
        <w:tc>
          <w:tcPr>
            <w:tcW w:w="151" w:type="pct"/>
            <w:vMerge w:val="continue"/>
            <w:shd w:val="clear" w:color="auto" w:fill="FFFFFF"/>
            <w:vAlign w:val="center"/>
          </w:tcPr>
          <w:p w14:paraId="1E6D1C33">
            <w:pPr>
              <w:jc w:val="center"/>
              <w:rPr>
                <w:rFonts w:ascii="宋体" w:hAnsi="宋体" w:cs="宋体"/>
                <w:color w:val="auto"/>
                <w:szCs w:val="21"/>
              </w:rPr>
            </w:pPr>
          </w:p>
        </w:tc>
        <w:tc>
          <w:tcPr>
            <w:tcW w:w="300" w:type="pct"/>
            <w:shd w:val="clear" w:color="auto" w:fill="FFFFFF"/>
            <w:vAlign w:val="center"/>
          </w:tcPr>
          <w:p w14:paraId="2C26E361">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Cl</w:t>
            </w:r>
            <w:r>
              <w:rPr>
                <w:rFonts w:hint="default" w:ascii="Times New Roman" w:hAnsi="Times New Roman" w:eastAsia="宋体" w:cs="Times New Roman"/>
                <w:i w:val="0"/>
                <w:iCs w:val="0"/>
                <w:color w:val="auto"/>
                <w:kern w:val="0"/>
                <w:sz w:val="21"/>
                <w:szCs w:val="21"/>
                <w:u w:val="none"/>
                <w:vertAlign w:val="subscript"/>
                <w:lang w:val="en-US" w:eastAsia="zh-CN" w:bidi="ar"/>
              </w:rPr>
              <w:t>2</w:t>
            </w:r>
          </w:p>
        </w:tc>
        <w:tc>
          <w:tcPr>
            <w:tcW w:w="713" w:type="pct"/>
            <w:gridSpan w:val="2"/>
            <w:shd w:val="clear" w:color="auto" w:fill="FFFFFF"/>
            <w:vAlign w:val="center"/>
          </w:tcPr>
          <w:p w14:paraId="701B777D">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0.0029</w:t>
            </w:r>
          </w:p>
        </w:tc>
        <w:tc>
          <w:tcPr>
            <w:tcW w:w="2008" w:type="dxa"/>
            <w:gridSpan w:val="2"/>
            <w:shd w:val="clear" w:color="auto" w:fill="FFFFFF"/>
            <w:vAlign w:val="center"/>
          </w:tcPr>
          <w:p w14:paraId="387E6646">
            <w:pPr>
              <w:keepNext w:val="0"/>
              <w:keepLines w:val="0"/>
              <w:widowControl/>
              <w:suppressLineNumbers w:val="0"/>
              <w:jc w:val="center"/>
              <w:textAlignment w:val="center"/>
              <w:rPr>
                <w:color w:val="auto"/>
                <w:kern w:val="0"/>
                <w:szCs w:val="21"/>
                <w:lang w:bidi="ar"/>
              </w:rPr>
            </w:pPr>
            <w:r>
              <w:rPr>
                <w:rFonts w:hint="default" w:ascii="Times New Roman" w:hAnsi="Times New Roman" w:eastAsia="宋体" w:cs="Times New Roman"/>
                <w:i w:val="0"/>
                <w:iCs w:val="0"/>
                <w:color w:val="auto"/>
                <w:kern w:val="0"/>
                <w:sz w:val="21"/>
                <w:szCs w:val="21"/>
                <w:u w:val="none"/>
                <w:lang w:val="en-US" w:eastAsia="zh-CN" w:bidi="ar"/>
              </w:rPr>
              <w:t>0.0029</w:t>
            </w:r>
          </w:p>
        </w:tc>
        <w:tc>
          <w:tcPr>
            <w:tcW w:w="561" w:type="pct"/>
            <w:gridSpan w:val="2"/>
            <w:shd w:val="clear" w:color="auto" w:fill="FFFFFF"/>
            <w:vAlign w:val="center"/>
          </w:tcPr>
          <w:p w14:paraId="05DA51CB">
            <w:pPr>
              <w:widowControl/>
              <w:jc w:val="center"/>
              <w:textAlignment w:val="center"/>
              <w:rPr>
                <w:color w:val="auto"/>
                <w:kern w:val="0"/>
                <w:szCs w:val="21"/>
                <w:lang w:bidi="ar"/>
              </w:rPr>
            </w:pPr>
            <w:r>
              <w:rPr>
                <w:color w:val="auto"/>
                <w:kern w:val="0"/>
                <w:szCs w:val="21"/>
                <w:lang w:bidi="ar"/>
              </w:rPr>
              <w:t>0</w:t>
            </w:r>
          </w:p>
        </w:tc>
        <w:tc>
          <w:tcPr>
            <w:tcW w:w="1588" w:type="dxa"/>
            <w:gridSpan w:val="2"/>
            <w:shd w:val="clear" w:color="auto" w:fill="FFFFFF"/>
            <w:vAlign w:val="center"/>
          </w:tcPr>
          <w:p w14:paraId="304C2E36">
            <w:pPr>
              <w:keepNext w:val="0"/>
              <w:keepLines w:val="0"/>
              <w:widowControl/>
              <w:suppressLineNumbers w:val="0"/>
              <w:jc w:val="center"/>
              <w:textAlignment w:val="center"/>
              <w:rPr>
                <w:color w:val="auto"/>
                <w:szCs w:val="21"/>
              </w:rPr>
            </w:pPr>
            <w:r>
              <w:rPr>
                <w:rFonts w:hint="eastAsia" w:cs="Times New Roman"/>
                <w:i w:val="0"/>
                <w:iCs w:val="0"/>
                <w:color w:val="auto"/>
                <w:kern w:val="0"/>
                <w:sz w:val="21"/>
                <w:szCs w:val="21"/>
                <w:u w:val="none"/>
                <w:lang w:val="en-US" w:eastAsia="zh-CN" w:bidi="ar"/>
              </w:rPr>
              <w:t>0</w:t>
            </w:r>
            <w:r>
              <w:rPr>
                <w:rFonts w:hint="default" w:ascii="Times New Roman" w:hAnsi="Times New Roman" w:eastAsia="宋体" w:cs="Times New Roman"/>
                <w:i w:val="0"/>
                <w:iCs w:val="0"/>
                <w:color w:val="auto"/>
                <w:kern w:val="0"/>
                <w:sz w:val="21"/>
                <w:szCs w:val="21"/>
                <w:u w:val="none"/>
                <w:lang w:val="en-US" w:eastAsia="zh-CN" w:bidi="ar"/>
              </w:rPr>
              <w:t xml:space="preserve"> </w:t>
            </w:r>
          </w:p>
        </w:tc>
        <w:tc>
          <w:tcPr>
            <w:tcW w:w="564" w:type="pct"/>
            <w:gridSpan w:val="2"/>
            <w:shd w:val="clear" w:color="auto" w:fill="FFFFFF"/>
            <w:vAlign w:val="center"/>
          </w:tcPr>
          <w:p w14:paraId="2DA1B152">
            <w:pPr>
              <w:widowControl/>
              <w:jc w:val="center"/>
              <w:textAlignment w:val="center"/>
              <w:rPr>
                <w:color w:val="auto"/>
                <w:szCs w:val="21"/>
              </w:rPr>
            </w:pPr>
            <w:r>
              <w:rPr>
                <w:color w:val="auto"/>
                <w:kern w:val="0"/>
                <w:szCs w:val="21"/>
                <w:lang w:bidi="ar"/>
              </w:rPr>
              <w:t>0</w:t>
            </w:r>
          </w:p>
        </w:tc>
        <w:tc>
          <w:tcPr>
            <w:tcW w:w="2008" w:type="dxa"/>
            <w:gridSpan w:val="2"/>
            <w:shd w:val="clear" w:color="auto" w:fill="FFFFFF"/>
            <w:vAlign w:val="center"/>
          </w:tcPr>
          <w:p w14:paraId="2DE91C20">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0.0029</w:t>
            </w:r>
          </w:p>
        </w:tc>
        <w:tc>
          <w:tcPr>
            <w:tcW w:w="1589" w:type="dxa"/>
            <w:gridSpan w:val="2"/>
            <w:shd w:val="clear" w:color="auto" w:fill="FFFFFF"/>
            <w:vAlign w:val="center"/>
          </w:tcPr>
          <w:p w14:paraId="502AFD13">
            <w:pPr>
              <w:keepNext w:val="0"/>
              <w:keepLines w:val="0"/>
              <w:widowControl/>
              <w:suppressLineNumbers w:val="0"/>
              <w:jc w:val="center"/>
              <w:textAlignment w:val="center"/>
              <w:rPr>
                <w:color w:val="auto"/>
                <w:szCs w:val="21"/>
              </w:rPr>
            </w:pPr>
            <w:r>
              <w:rPr>
                <w:rFonts w:hint="eastAsia" w:cs="Times New Roman"/>
                <w:i w:val="0"/>
                <w:iCs w:val="0"/>
                <w:color w:val="auto"/>
                <w:kern w:val="0"/>
                <w:sz w:val="21"/>
                <w:szCs w:val="21"/>
                <w:u w:val="none"/>
                <w:lang w:val="en-US" w:eastAsia="zh-CN" w:bidi="ar"/>
              </w:rPr>
              <w:t>0</w:t>
            </w:r>
          </w:p>
        </w:tc>
      </w:tr>
      <w:tr w14:paraId="213D6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52" w:type="pct"/>
            <w:vMerge w:val="continue"/>
            <w:shd w:val="clear" w:color="auto" w:fill="FFFFFF"/>
            <w:vAlign w:val="center"/>
          </w:tcPr>
          <w:p w14:paraId="73BAA238">
            <w:pPr>
              <w:jc w:val="center"/>
              <w:rPr>
                <w:rFonts w:ascii="宋体" w:hAnsi="宋体" w:cs="宋体"/>
                <w:color w:val="auto"/>
                <w:szCs w:val="21"/>
              </w:rPr>
            </w:pPr>
          </w:p>
        </w:tc>
        <w:tc>
          <w:tcPr>
            <w:tcW w:w="151" w:type="pct"/>
            <w:vMerge w:val="continue"/>
            <w:shd w:val="clear" w:color="auto" w:fill="FFFFFF"/>
            <w:vAlign w:val="center"/>
          </w:tcPr>
          <w:p w14:paraId="3494356A">
            <w:pPr>
              <w:jc w:val="center"/>
              <w:rPr>
                <w:rFonts w:ascii="宋体" w:hAnsi="宋体" w:cs="宋体"/>
                <w:color w:val="auto"/>
                <w:szCs w:val="21"/>
              </w:rPr>
            </w:pPr>
          </w:p>
        </w:tc>
        <w:tc>
          <w:tcPr>
            <w:tcW w:w="300" w:type="pct"/>
            <w:shd w:val="clear" w:color="auto" w:fill="FFFFFF"/>
            <w:vAlign w:val="center"/>
          </w:tcPr>
          <w:p w14:paraId="0E2863A7">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HCl</w:t>
            </w:r>
          </w:p>
        </w:tc>
        <w:tc>
          <w:tcPr>
            <w:tcW w:w="713" w:type="pct"/>
            <w:gridSpan w:val="2"/>
            <w:shd w:val="clear" w:color="auto" w:fill="FFFFFF"/>
            <w:vAlign w:val="center"/>
          </w:tcPr>
          <w:p w14:paraId="2F45935D">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0.0001</w:t>
            </w:r>
          </w:p>
        </w:tc>
        <w:tc>
          <w:tcPr>
            <w:tcW w:w="2008" w:type="dxa"/>
            <w:gridSpan w:val="2"/>
            <w:shd w:val="clear" w:color="auto" w:fill="FFFFFF"/>
            <w:vAlign w:val="center"/>
          </w:tcPr>
          <w:p w14:paraId="0A934055">
            <w:pPr>
              <w:keepNext w:val="0"/>
              <w:keepLines w:val="0"/>
              <w:widowControl/>
              <w:suppressLineNumbers w:val="0"/>
              <w:jc w:val="center"/>
              <w:textAlignment w:val="center"/>
              <w:rPr>
                <w:color w:val="auto"/>
                <w:kern w:val="0"/>
                <w:szCs w:val="21"/>
                <w:lang w:bidi="ar"/>
              </w:rPr>
            </w:pPr>
            <w:r>
              <w:rPr>
                <w:rFonts w:hint="default" w:ascii="Times New Roman" w:hAnsi="Times New Roman" w:eastAsia="宋体" w:cs="Times New Roman"/>
                <w:i w:val="0"/>
                <w:iCs w:val="0"/>
                <w:color w:val="auto"/>
                <w:kern w:val="0"/>
                <w:sz w:val="21"/>
                <w:szCs w:val="21"/>
                <w:u w:val="none"/>
                <w:lang w:val="en-US" w:eastAsia="zh-CN" w:bidi="ar"/>
              </w:rPr>
              <w:t>0.0001</w:t>
            </w:r>
          </w:p>
        </w:tc>
        <w:tc>
          <w:tcPr>
            <w:tcW w:w="561" w:type="pct"/>
            <w:gridSpan w:val="2"/>
            <w:shd w:val="clear" w:color="auto" w:fill="FFFFFF"/>
            <w:vAlign w:val="center"/>
          </w:tcPr>
          <w:p w14:paraId="403D9A18">
            <w:pPr>
              <w:widowControl/>
              <w:jc w:val="center"/>
              <w:textAlignment w:val="center"/>
              <w:rPr>
                <w:color w:val="auto"/>
                <w:kern w:val="0"/>
                <w:szCs w:val="21"/>
                <w:lang w:bidi="ar"/>
              </w:rPr>
            </w:pPr>
            <w:r>
              <w:rPr>
                <w:color w:val="auto"/>
                <w:kern w:val="0"/>
                <w:szCs w:val="21"/>
                <w:lang w:bidi="ar"/>
              </w:rPr>
              <w:t>0</w:t>
            </w:r>
          </w:p>
        </w:tc>
        <w:tc>
          <w:tcPr>
            <w:tcW w:w="1588" w:type="dxa"/>
            <w:gridSpan w:val="2"/>
            <w:shd w:val="clear" w:color="auto" w:fill="FFFFFF"/>
            <w:vAlign w:val="center"/>
          </w:tcPr>
          <w:p w14:paraId="5E9FB9EA">
            <w:pPr>
              <w:keepNext w:val="0"/>
              <w:keepLines w:val="0"/>
              <w:widowControl/>
              <w:suppressLineNumbers w:val="0"/>
              <w:jc w:val="center"/>
              <w:textAlignment w:val="center"/>
              <w:rPr>
                <w:color w:val="auto"/>
                <w:szCs w:val="21"/>
              </w:rPr>
            </w:pPr>
            <w:r>
              <w:rPr>
                <w:rFonts w:hint="eastAsia" w:cs="Times New Roman"/>
                <w:i w:val="0"/>
                <w:iCs w:val="0"/>
                <w:color w:val="auto"/>
                <w:kern w:val="0"/>
                <w:sz w:val="21"/>
                <w:szCs w:val="21"/>
                <w:u w:val="none"/>
                <w:lang w:val="en-US" w:eastAsia="zh-CN" w:bidi="ar"/>
              </w:rPr>
              <w:t>0</w:t>
            </w:r>
          </w:p>
        </w:tc>
        <w:tc>
          <w:tcPr>
            <w:tcW w:w="564" w:type="pct"/>
            <w:gridSpan w:val="2"/>
            <w:shd w:val="clear" w:color="auto" w:fill="FFFFFF"/>
            <w:vAlign w:val="center"/>
          </w:tcPr>
          <w:p w14:paraId="16349C92">
            <w:pPr>
              <w:widowControl/>
              <w:jc w:val="center"/>
              <w:textAlignment w:val="center"/>
              <w:rPr>
                <w:color w:val="auto"/>
                <w:szCs w:val="21"/>
              </w:rPr>
            </w:pPr>
            <w:r>
              <w:rPr>
                <w:color w:val="auto"/>
                <w:kern w:val="0"/>
                <w:szCs w:val="21"/>
                <w:lang w:bidi="ar"/>
              </w:rPr>
              <w:t>0</w:t>
            </w:r>
          </w:p>
        </w:tc>
        <w:tc>
          <w:tcPr>
            <w:tcW w:w="2008" w:type="dxa"/>
            <w:gridSpan w:val="2"/>
            <w:shd w:val="clear" w:color="auto" w:fill="FFFFFF"/>
            <w:vAlign w:val="center"/>
          </w:tcPr>
          <w:p w14:paraId="60B4F2A9">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0.0001</w:t>
            </w:r>
          </w:p>
        </w:tc>
        <w:tc>
          <w:tcPr>
            <w:tcW w:w="1589" w:type="dxa"/>
            <w:gridSpan w:val="2"/>
            <w:shd w:val="clear" w:color="auto" w:fill="FFFFFF"/>
            <w:vAlign w:val="center"/>
          </w:tcPr>
          <w:p w14:paraId="694D4936">
            <w:pPr>
              <w:keepNext w:val="0"/>
              <w:keepLines w:val="0"/>
              <w:widowControl/>
              <w:suppressLineNumbers w:val="0"/>
              <w:jc w:val="center"/>
              <w:textAlignment w:val="center"/>
              <w:rPr>
                <w:color w:val="auto"/>
                <w:szCs w:val="21"/>
              </w:rPr>
            </w:pPr>
            <w:r>
              <w:rPr>
                <w:rFonts w:hint="eastAsia" w:cs="Times New Roman"/>
                <w:i w:val="0"/>
                <w:iCs w:val="0"/>
                <w:color w:val="auto"/>
                <w:kern w:val="0"/>
                <w:sz w:val="21"/>
                <w:szCs w:val="21"/>
                <w:u w:val="none"/>
                <w:lang w:val="en-US" w:eastAsia="zh-CN" w:bidi="ar"/>
              </w:rPr>
              <w:t>0</w:t>
            </w:r>
          </w:p>
        </w:tc>
      </w:tr>
      <w:tr w14:paraId="09913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52" w:type="pct"/>
            <w:vMerge w:val="continue"/>
            <w:shd w:val="clear" w:color="auto" w:fill="FFFFFF"/>
            <w:vAlign w:val="center"/>
          </w:tcPr>
          <w:p w14:paraId="733ABC4A">
            <w:pPr>
              <w:jc w:val="center"/>
              <w:rPr>
                <w:rFonts w:ascii="宋体" w:hAnsi="宋体" w:cs="宋体"/>
                <w:color w:val="auto"/>
                <w:szCs w:val="21"/>
              </w:rPr>
            </w:pPr>
          </w:p>
        </w:tc>
        <w:tc>
          <w:tcPr>
            <w:tcW w:w="151" w:type="pct"/>
            <w:vMerge w:val="continue"/>
            <w:shd w:val="clear" w:color="auto" w:fill="FFFFFF"/>
            <w:vAlign w:val="center"/>
          </w:tcPr>
          <w:p w14:paraId="285C6552">
            <w:pPr>
              <w:jc w:val="center"/>
              <w:rPr>
                <w:rFonts w:ascii="宋体" w:hAnsi="宋体" w:cs="宋体"/>
                <w:color w:val="auto"/>
                <w:szCs w:val="21"/>
              </w:rPr>
            </w:pPr>
          </w:p>
        </w:tc>
        <w:tc>
          <w:tcPr>
            <w:tcW w:w="300" w:type="pct"/>
            <w:shd w:val="clear" w:color="auto" w:fill="FFFFFF"/>
            <w:vAlign w:val="center"/>
          </w:tcPr>
          <w:p w14:paraId="34A82669">
            <w:pPr>
              <w:keepNext w:val="0"/>
              <w:keepLines w:val="0"/>
              <w:widowControl/>
              <w:suppressLineNumbers w:val="0"/>
              <w:jc w:val="center"/>
              <w:textAlignment w:val="center"/>
              <w:rPr>
                <w:rFonts w:ascii="宋体" w:hAnsi="宋体" w:cs="宋体"/>
                <w:color w:val="auto"/>
                <w:szCs w:val="21"/>
              </w:rPr>
            </w:pPr>
            <w:r>
              <w:rPr>
                <w:rFonts w:hint="eastAsia" w:ascii="宋体" w:hAnsi="宋体" w:eastAsia="宋体" w:cs="宋体"/>
                <w:i w:val="0"/>
                <w:iCs w:val="0"/>
                <w:color w:val="auto"/>
                <w:kern w:val="0"/>
                <w:sz w:val="21"/>
                <w:szCs w:val="21"/>
                <w:u w:val="none"/>
                <w:lang w:val="en-US" w:eastAsia="zh-CN" w:bidi="ar"/>
              </w:rPr>
              <w:t>硫酸雾</w:t>
            </w:r>
          </w:p>
        </w:tc>
        <w:tc>
          <w:tcPr>
            <w:tcW w:w="713" w:type="pct"/>
            <w:gridSpan w:val="2"/>
            <w:shd w:val="clear" w:color="auto" w:fill="FFFFFF"/>
            <w:vAlign w:val="center"/>
          </w:tcPr>
          <w:p w14:paraId="2855080A">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0.0022</w:t>
            </w:r>
          </w:p>
        </w:tc>
        <w:tc>
          <w:tcPr>
            <w:tcW w:w="2008" w:type="dxa"/>
            <w:gridSpan w:val="2"/>
            <w:shd w:val="clear" w:color="auto" w:fill="FFFFFF"/>
            <w:vAlign w:val="center"/>
          </w:tcPr>
          <w:p w14:paraId="7D2ECDDB">
            <w:pPr>
              <w:keepNext w:val="0"/>
              <w:keepLines w:val="0"/>
              <w:widowControl/>
              <w:suppressLineNumbers w:val="0"/>
              <w:jc w:val="center"/>
              <w:textAlignment w:val="center"/>
              <w:rPr>
                <w:color w:val="auto"/>
                <w:kern w:val="0"/>
                <w:szCs w:val="21"/>
                <w:lang w:bidi="ar"/>
              </w:rPr>
            </w:pPr>
            <w:r>
              <w:rPr>
                <w:rFonts w:hint="default" w:ascii="Times New Roman" w:hAnsi="Times New Roman" w:eastAsia="宋体" w:cs="Times New Roman"/>
                <w:i w:val="0"/>
                <w:iCs w:val="0"/>
                <w:color w:val="auto"/>
                <w:kern w:val="0"/>
                <w:sz w:val="21"/>
                <w:szCs w:val="21"/>
                <w:u w:val="none"/>
                <w:lang w:val="en-US" w:eastAsia="zh-CN" w:bidi="ar"/>
              </w:rPr>
              <w:t>0.0022</w:t>
            </w:r>
          </w:p>
        </w:tc>
        <w:tc>
          <w:tcPr>
            <w:tcW w:w="561" w:type="pct"/>
            <w:gridSpan w:val="2"/>
            <w:shd w:val="clear" w:color="auto" w:fill="FFFFFF"/>
            <w:vAlign w:val="center"/>
          </w:tcPr>
          <w:p w14:paraId="7B04F6AC">
            <w:pPr>
              <w:widowControl/>
              <w:jc w:val="center"/>
              <w:textAlignment w:val="center"/>
              <w:rPr>
                <w:color w:val="auto"/>
                <w:kern w:val="0"/>
                <w:szCs w:val="21"/>
                <w:lang w:bidi="ar"/>
              </w:rPr>
            </w:pPr>
            <w:r>
              <w:rPr>
                <w:color w:val="auto"/>
                <w:kern w:val="0"/>
                <w:szCs w:val="21"/>
                <w:lang w:bidi="ar"/>
              </w:rPr>
              <w:t>0</w:t>
            </w:r>
          </w:p>
        </w:tc>
        <w:tc>
          <w:tcPr>
            <w:tcW w:w="1588" w:type="dxa"/>
            <w:gridSpan w:val="2"/>
            <w:shd w:val="clear" w:color="auto" w:fill="FFFFFF"/>
            <w:vAlign w:val="center"/>
          </w:tcPr>
          <w:p w14:paraId="753464C7">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 xml:space="preserve">0.0002 </w:t>
            </w:r>
          </w:p>
        </w:tc>
        <w:tc>
          <w:tcPr>
            <w:tcW w:w="564" w:type="pct"/>
            <w:gridSpan w:val="2"/>
            <w:shd w:val="clear" w:color="auto" w:fill="FFFFFF"/>
            <w:vAlign w:val="center"/>
          </w:tcPr>
          <w:p w14:paraId="42A7F367">
            <w:pPr>
              <w:widowControl/>
              <w:jc w:val="center"/>
              <w:textAlignment w:val="center"/>
              <w:rPr>
                <w:color w:val="auto"/>
                <w:szCs w:val="21"/>
              </w:rPr>
            </w:pPr>
            <w:r>
              <w:rPr>
                <w:color w:val="auto"/>
                <w:kern w:val="0"/>
                <w:szCs w:val="21"/>
                <w:lang w:bidi="ar"/>
              </w:rPr>
              <w:t>0</w:t>
            </w:r>
          </w:p>
        </w:tc>
        <w:tc>
          <w:tcPr>
            <w:tcW w:w="2008" w:type="dxa"/>
            <w:gridSpan w:val="2"/>
            <w:shd w:val="clear" w:color="auto" w:fill="FFFFFF"/>
            <w:vAlign w:val="center"/>
          </w:tcPr>
          <w:p w14:paraId="6588E8E4">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 xml:space="preserve">0.0024 </w:t>
            </w:r>
          </w:p>
        </w:tc>
        <w:tc>
          <w:tcPr>
            <w:tcW w:w="1589" w:type="dxa"/>
            <w:gridSpan w:val="2"/>
            <w:shd w:val="clear" w:color="auto" w:fill="FFFFFF"/>
            <w:vAlign w:val="center"/>
          </w:tcPr>
          <w:p w14:paraId="6399CF19">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 xml:space="preserve">0.0002 </w:t>
            </w:r>
          </w:p>
        </w:tc>
      </w:tr>
      <w:tr w14:paraId="3B1FD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52" w:type="pct"/>
            <w:vMerge w:val="continue"/>
            <w:shd w:val="clear" w:color="auto" w:fill="FFFFFF"/>
            <w:vAlign w:val="center"/>
          </w:tcPr>
          <w:p w14:paraId="6191A753">
            <w:pPr>
              <w:jc w:val="center"/>
              <w:rPr>
                <w:rFonts w:ascii="宋体" w:hAnsi="宋体" w:cs="宋体"/>
                <w:color w:val="auto"/>
                <w:szCs w:val="21"/>
              </w:rPr>
            </w:pPr>
          </w:p>
        </w:tc>
        <w:tc>
          <w:tcPr>
            <w:tcW w:w="151" w:type="pct"/>
            <w:vMerge w:val="continue"/>
            <w:shd w:val="clear" w:color="auto" w:fill="FFFFFF"/>
            <w:vAlign w:val="center"/>
          </w:tcPr>
          <w:p w14:paraId="5A93A991">
            <w:pPr>
              <w:jc w:val="center"/>
              <w:rPr>
                <w:rFonts w:ascii="宋体" w:hAnsi="宋体" w:cs="宋体"/>
                <w:color w:val="auto"/>
                <w:szCs w:val="21"/>
              </w:rPr>
            </w:pPr>
          </w:p>
        </w:tc>
        <w:tc>
          <w:tcPr>
            <w:tcW w:w="300" w:type="pct"/>
            <w:shd w:val="clear" w:color="auto" w:fill="FFFFFF"/>
            <w:vAlign w:val="center"/>
          </w:tcPr>
          <w:p w14:paraId="48CFC55E">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SO</w:t>
            </w:r>
            <w:r>
              <w:rPr>
                <w:rFonts w:hint="default" w:ascii="Times New Roman" w:hAnsi="Times New Roman" w:eastAsia="宋体" w:cs="Times New Roman"/>
                <w:i w:val="0"/>
                <w:iCs w:val="0"/>
                <w:color w:val="auto"/>
                <w:kern w:val="0"/>
                <w:sz w:val="21"/>
                <w:szCs w:val="21"/>
                <w:u w:val="none"/>
                <w:vertAlign w:val="subscript"/>
                <w:lang w:val="en-US" w:eastAsia="zh-CN" w:bidi="ar"/>
              </w:rPr>
              <w:t>2</w:t>
            </w:r>
          </w:p>
        </w:tc>
        <w:tc>
          <w:tcPr>
            <w:tcW w:w="713" w:type="pct"/>
            <w:gridSpan w:val="2"/>
            <w:shd w:val="clear" w:color="auto" w:fill="FFFFFF"/>
            <w:vAlign w:val="center"/>
          </w:tcPr>
          <w:p w14:paraId="1A81623B">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0.0016</w:t>
            </w:r>
          </w:p>
        </w:tc>
        <w:tc>
          <w:tcPr>
            <w:tcW w:w="2008" w:type="dxa"/>
            <w:gridSpan w:val="2"/>
            <w:shd w:val="clear" w:color="auto" w:fill="FFFFFF"/>
            <w:vAlign w:val="center"/>
          </w:tcPr>
          <w:p w14:paraId="2EEEA92F">
            <w:pPr>
              <w:keepNext w:val="0"/>
              <w:keepLines w:val="0"/>
              <w:widowControl/>
              <w:suppressLineNumbers w:val="0"/>
              <w:jc w:val="center"/>
              <w:textAlignment w:val="center"/>
              <w:rPr>
                <w:color w:val="auto"/>
                <w:kern w:val="0"/>
                <w:szCs w:val="21"/>
                <w:lang w:bidi="ar"/>
              </w:rPr>
            </w:pPr>
            <w:r>
              <w:rPr>
                <w:rFonts w:hint="default" w:ascii="Times New Roman" w:hAnsi="Times New Roman" w:eastAsia="宋体" w:cs="Times New Roman"/>
                <w:i w:val="0"/>
                <w:iCs w:val="0"/>
                <w:color w:val="auto"/>
                <w:kern w:val="0"/>
                <w:sz w:val="21"/>
                <w:szCs w:val="21"/>
                <w:u w:val="none"/>
                <w:lang w:val="en-US" w:eastAsia="zh-CN" w:bidi="ar"/>
              </w:rPr>
              <w:t>0.0016</w:t>
            </w:r>
          </w:p>
        </w:tc>
        <w:tc>
          <w:tcPr>
            <w:tcW w:w="561" w:type="pct"/>
            <w:gridSpan w:val="2"/>
            <w:shd w:val="clear" w:color="auto" w:fill="FFFFFF"/>
            <w:vAlign w:val="center"/>
          </w:tcPr>
          <w:p w14:paraId="0598307E">
            <w:pPr>
              <w:widowControl/>
              <w:jc w:val="center"/>
              <w:textAlignment w:val="center"/>
              <w:rPr>
                <w:color w:val="auto"/>
                <w:kern w:val="0"/>
                <w:szCs w:val="21"/>
                <w:lang w:bidi="ar"/>
              </w:rPr>
            </w:pPr>
            <w:r>
              <w:rPr>
                <w:color w:val="auto"/>
                <w:kern w:val="0"/>
                <w:szCs w:val="21"/>
                <w:lang w:bidi="ar"/>
              </w:rPr>
              <w:t>0</w:t>
            </w:r>
          </w:p>
        </w:tc>
        <w:tc>
          <w:tcPr>
            <w:tcW w:w="1588" w:type="dxa"/>
            <w:gridSpan w:val="2"/>
            <w:shd w:val="clear" w:color="auto" w:fill="FFFFFF"/>
            <w:vAlign w:val="center"/>
          </w:tcPr>
          <w:p w14:paraId="46438E85">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0</w:t>
            </w:r>
          </w:p>
        </w:tc>
        <w:tc>
          <w:tcPr>
            <w:tcW w:w="564" w:type="pct"/>
            <w:gridSpan w:val="2"/>
            <w:shd w:val="clear" w:color="auto" w:fill="FFFFFF"/>
            <w:vAlign w:val="center"/>
          </w:tcPr>
          <w:p w14:paraId="76E341A9">
            <w:pPr>
              <w:widowControl/>
              <w:jc w:val="center"/>
              <w:textAlignment w:val="center"/>
              <w:rPr>
                <w:color w:val="auto"/>
                <w:szCs w:val="21"/>
              </w:rPr>
            </w:pPr>
            <w:r>
              <w:rPr>
                <w:color w:val="auto"/>
                <w:kern w:val="0"/>
                <w:szCs w:val="21"/>
                <w:lang w:bidi="ar"/>
              </w:rPr>
              <w:t>0</w:t>
            </w:r>
          </w:p>
        </w:tc>
        <w:tc>
          <w:tcPr>
            <w:tcW w:w="2008" w:type="dxa"/>
            <w:gridSpan w:val="2"/>
            <w:shd w:val="clear" w:color="auto" w:fill="FFFFFF"/>
            <w:vAlign w:val="center"/>
          </w:tcPr>
          <w:p w14:paraId="717A2DB1">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 xml:space="preserve">0.0016 </w:t>
            </w:r>
          </w:p>
        </w:tc>
        <w:tc>
          <w:tcPr>
            <w:tcW w:w="1589" w:type="dxa"/>
            <w:gridSpan w:val="2"/>
            <w:shd w:val="clear" w:color="auto" w:fill="FFFFFF"/>
            <w:vAlign w:val="center"/>
          </w:tcPr>
          <w:p w14:paraId="4A81C859">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0</w:t>
            </w:r>
          </w:p>
        </w:tc>
      </w:tr>
      <w:tr w14:paraId="23C50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52" w:type="pct"/>
            <w:vMerge w:val="continue"/>
            <w:shd w:val="clear" w:color="auto" w:fill="FFFFFF"/>
            <w:vAlign w:val="center"/>
          </w:tcPr>
          <w:p w14:paraId="7276B693">
            <w:pPr>
              <w:jc w:val="center"/>
              <w:rPr>
                <w:rFonts w:ascii="宋体" w:hAnsi="宋体" w:cs="宋体"/>
                <w:color w:val="auto"/>
                <w:szCs w:val="21"/>
              </w:rPr>
            </w:pPr>
          </w:p>
        </w:tc>
        <w:tc>
          <w:tcPr>
            <w:tcW w:w="151" w:type="pct"/>
            <w:vMerge w:val="continue"/>
            <w:shd w:val="clear" w:color="auto" w:fill="FFFFFF"/>
            <w:vAlign w:val="center"/>
          </w:tcPr>
          <w:p w14:paraId="291A2130">
            <w:pPr>
              <w:jc w:val="center"/>
              <w:rPr>
                <w:rFonts w:ascii="宋体" w:hAnsi="宋体" w:cs="宋体"/>
                <w:color w:val="auto"/>
                <w:szCs w:val="21"/>
              </w:rPr>
            </w:pPr>
          </w:p>
        </w:tc>
        <w:tc>
          <w:tcPr>
            <w:tcW w:w="300" w:type="pct"/>
            <w:shd w:val="clear" w:color="auto" w:fill="FFFFFF"/>
            <w:vAlign w:val="center"/>
          </w:tcPr>
          <w:p w14:paraId="479165B5">
            <w:pPr>
              <w:keepNext w:val="0"/>
              <w:keepLines w:val="0"/>
              <w:widowControl/>
              <w:suppressLineNumbers w:val="0"/>
              <w:jc w:val="center"/>
              <w:textAlignment w:val="center"/>
              <w:rPr>
                <w:rFonts w:ascii="宋体" w:hAnsi="宋体" w:cs="宋体"/>
                <w:color w:val="auto"/>
                <w:szCs w:val="21"/>
              </w:rPr>
            </w:pPr>
            <w:r>
              <w:rPr>
                <w:rFonts w:hint="eastAsia" w:ascii="宋体" w:hAnsi="宋体" w:eastAsia="宋体" w:cs="宋体"/>
                <w:i w:val="0"/>
                <w:iCs w:val="0"/>
                <w:color w:val="auto"/>
                <w:kern w:val="0"/>
                <w:sz w:val="21"/>
                <w:szCs w:val="21"/>
                <w:u w:val="none"/>
                <w:lang w:val="en-US" w:eastAsia="zh-CN" w:bidi="ar"/>
              </w:rPr>
              <w:t>粉尘</w:t>
            </w:r>
          </w:p>
        </w:tc>
        <w:tc>
          <w:tcPr>
            <w:tcW w:w="713" w:type="pct"/>
            <w:gridSpan w:val="2"/>
            <w:shd w:val="clear" w:color="auto" w:fill="FFFFFF"/>
            <w:vAlign w:val="center"/>
          </w:tcPr>
          <w:p w14:paraId="4DB3AA4C">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0.0202</w:t>
            </w:r>
          </w:p>
        </w:tc>
        <w:tc>
          <w:tcPr>
            <w:tcW w:w="2008" w:type="dxa"/>
            <w:gridSpan w:val="2"/>
            <w:shd w:val="clear" w:color="auto" w:fill="FFFFFF"/>
            <w:vAlign w:val="center"/>
          </w:tcPr>
          <w:p w14:paraId="0DB5E0C5">
            <w:pPr>
              <w:keepNext w:val="0"/>
              <w:keepLines w:val="0"/>
              <w:widowControl/>
              <w:suppressLineNumbers w:val="0"/>
              <w:jc w:val="center"/>
              <w:textAlignment w:val="center"/>
              <w:rPr>
                <w:color w:val="auto"/>
                <w:kern w:val="0"/>
                <w:szCs w:val="21"/>
                <w:lang w:bidi="ar"/>
              </w:rPr>
            </w:pPr>
            <w:r>
              <w:rPr>
                <w:rFonts w:hint="default" w:ascii="Times New Roman" w:hAnsi="Times New Roman" w:eastAsia="宋体" w:cs="Times New Roman"/>
                <w:i w:val="0"/>
                <w:iCs w:val="0"/>
                <w:color w:val="auto"/>
                <w:kern w:val="0"/>
                <w:sz w:val="21"/>
                <w:szCs w:val="21"/>
                <w:u w:val="none"/>
                <w:lang w:val="en-US" w:eastAsia="zh-CN" w:bidi="ar"/>
              </w:rPr>
              <w:t>0.0202</w:t>
            </w:r>
          </w:p>
        </w:tc>
        <w:tc>
          <w:tcPr>
            <w:tcW w:w="561" w:type="pct"/>
            <w:gridSpan w:val="2"/>
            <w:shd w:val="clear" w:color="auto" w:fill="FFFFFF"/>
            <w:vAlign w:val="center"/>
          </w:tcPr>
          <w:p w14:paraId="13648053">
            <w:pPr>
              <w:widowControl/>
              <w:jc w:val="center"/>
              <w:textAlignment w:val="center"/>
              <w:rPr>
                <w:color w:val="auto"/>
                <w:kern w:val="0"/>
                <w:szCs w:val="21"/>
                <w:lang w:bidi="ar"/>
              </w:rPr>
            </w:pPr>
            <w:r>
              <w:rPr>
                <w:color w:val="auto"/>
                <w:kern w:val="0"/>
                <w:szCs w:val="21"/>
                <w:lang w:bidi="ar"/>
              </w:rPr>
              <w:t>0</w:t>
            </w:r>
          </w:p>
        </w:tc>
        <w:tc>
          <w:tcPr>
            <w:tcW w:w="1588" w:type="dxa"/>
            <w:gridSpan w:val="2"/>
            <w:shd w:val="clear" w:color="auto" w:fill="FFFFFF"/>
            <w:vAlign w:val="center"/>
          </w:tcPr>
          <w:p w14:paraId="3CE91CC0">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0</w:t>
            </w:r>
          </w:p>
        </w:tc>
        <w:tc>
          <w:tcPr>
            <w:tcW w:w="564" w:type="pct"/>
            <w:gridSpan w:val="2"/>
            <w:shd w:val="clear" w:color="auto" w:fill="FFFFFF"/>
            <w:vAlign w:val="center"/>
          </w:tcPr>
          <w:p w14:paraId="30A0F2A8">
            <w:pPr>
              <w:widowControl/>
              <w:jc w:val="center"/>
              <w:textAlignment w:val="center"/>
              <w:rPr>
                <w:color w:val="auto"/>
                <w:szCs w:val="21"/>
              </w:rPr>
            </w:pPr>
            <w:r>
              <w:rPr>
                <w:color w:val="auto"/>
                <w:kern w:val="0"/>
                <w:szCs w:val="21"/>
                <w:lang w:bidi="ar"/>
              </w:rPr>
              <w:t>0</w:t>
            </w:r>
          </w:p>
        </w:tc>
        <w:tc>
          <w:tcPr>
            <w:tcW w:w="2008" w:type="dxa"/>
            <w:gridSpan w:val="2"/>
            <w:shd w:val="clear" w:color="auto" w:fill="FFFFFF"/>
            <w:vAlign w:val="center"/>
          </w:tcPr>
          <w:p w14:paraId="6E0B3EE9">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 xml:space="preserve">0.0202 </w:t>
            </w:r>
          </w:p>
        </w:tc>
        <w:tc>
          <w:tcPr>
            <w:tcW w:w="1589" w:type="dxa"/>
            <w:gridSpan w:val="2"/>
            <w:shd w:val="clear" w:color="auto" w:fill="FFFFFF"/>
            <w:vAlign w:val="center"/>
          </w:tcPr>
          <w:p w14:paraId="63867979">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0</w:t>
            </w:r>
          </w:p>
        </w:tc>
      </w:tr>
      <w:tr w14:paraId="61CC7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52" w:type="pct"/>
            <w:vMerge w:val="continue"/>
            <w:shd w:val="clear" w:color="auto" w:fill="FFFFFF"/>
            <w:vAlign w:val="center"/>
          </w:tcPr>
          <w:p w14:paraId="73FB3460">
            <w:pPr>
              <w:jc w:val="center"/>
              <w:rPr>
                <w:rFonts w:ascii="宋体" w:hAnsi="宋体" w:cs="宋体"/>
                <w:color w:val="auto"/>
                <w:szCs w:val="21"/>
              </w:rPr>
            </w:pPr>
          </w:p>
        </w:tc>
        <w:tc>
          <w:tcPr>
            <w:tcW w:w="151" w:type="pct"/>
            <w:vMerge w:val="continue"/>
            <w:shd w:val="clear" w:color="auto" w:fill="FFFFFF"/>
            <w:vAlign w:val="center"/>
          </w:tcPr>
          <w:p w14:paraId="32AA44B9">
            <w:pPr>
              <w:jc w:val="center"/>
              <w:rPr>
                <w:rFonts w:ascii="宋体" w:hAnsi="宋体" w:cs="宋体"/>
                <w:color w:val="auto"/>
                <w:szCs w:val="21"/>
              </w:rPr>
            </w:pPr>
          </w:p>
        </w:tc>
        <w:tc>
          <w:tcPr>
            <w:tcW w:w="300" w:type="pct"/>
            <w:shd w:val="clear" w:color="auto" w:fill="FFFFFF"/>
            <w:vAlign w:val="center"/>
          </w:tcPr>
          <w:p w14:paraId="767F966A">
            <w:pPr>
              <w:keepNext w:val="0"/>
              <w:keepLines w:val="0"/>
              <w:widowControl/>
              <w:suppressLineNumbers w:val="0"/>
              <w:jc w:val="center"/>
              <w:textAlignment w:val="center"/>
              <w:rPr>
                <w:rFonts w:ascii="宋体" w:hAnsi="宋体" w:cs="宋体"/>
                <w:color w:val="auto"/>
                <w:szCs w:val="21"/>
              </w:rPr>
            </w:pPr>
            <w:r>
              <w:rPr>
                <w:rFonts w:hint="eastAsia" w:ascii="宋体" w:hAnsi="宋体" w:eastAsia="宋体" w:cs="宋体"/>
                <w:i w:val="0"/>
                <w:iCs w:val="0"/>
                <w:color w:val="auto"/>
                <w:kern w:val="0"/>
                <w:sz w:val="21"/>
                <w:szCs w:val="21"/>
                <w:u w:val="none"/>
                <w:lang w:val="en-US" w:eastAsia="zh-CN" w:bidi="ar"/>
              </w:rPr>
              <w:t>氟化物</w:t>
            </w:r>
          </w:p>
        </w:tc>
        <w:tc>
          <w:tcPr>
            <w:tcW w:w="713" w:type="pct"/>
            <w:gridSpan w:val="2"/>
            <w:shd w:val="clear" w:color="auto" w:fill="FFFFFF"/>
            <w:vAlign w:val="center"/>
          </w:tcPr>
          <w:p w14:paraId="3A9B0ED3">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0.0007</w:t>
            </w:r>
          </w:p>
        </w:tc>
        <w:tc>
          <w:tcPr>
            <w:tcW w:w="2008" w:type="dxa"/>
            <w:gridSpan w:val="2"/>
            <w:shd w:val="clear" w:color="auto" w:fill="FFFFFF"/>
            <w:vAlign w:val="center"/>
          </w:tcPr>
          <w:p w14:paraId="40257D22">
            <w:pPr>
              <w:keepNext w:val="0"/>
              <w:keepLines w:val="0"/>
              <w:widowControl/>
              <w:suppressLineNumbers w:val="0"/>
              <w:jc w:val="center"/>
              <w:textAlignment w:val="center"/>
              <w:rPr>
                <w:color w:val="auto"/>
                <w:kern w:val="0"/>
                <w:szCs w:val="21"/>
                <w:lang w:bidi="ar"/>
              </w:rPr>
            </w:pPr>
            <w:r>
              <w:rPr>
                <w:rFonts w:hint="default" w:ascii="Times New Roman" w:hAnsi="Times New Roman" w:eastAsia="宋体" w:cs="Times New Roman"/>
                <w:i w:val="0"/>
                <w:iCs w:val="0"/>
                <w:color w:val="auto"/>
                <w:kern w:val="0"/>
                <w:sz w:val="21"/>
                <w:szCs w:val="21"/>
                <w:u w:val="none"/>
                <w:lang w:val="en-US" w:eastAsia="zh-CN" w:bidi="ar"/>
              </w:rPr>
              <w:t>0.0007</w:t>
            </w:r>
          </w:p>
        </w:tc>
        <w:tc>
          <w:tcPr>
            <w:tcW w:w="561" w:type="pct"/>
            <w:gridSpan w:val="2"/>
            <w:shd w:val="clear" w:color="auto" w:fill="FFFFFF"/>
            <w:vAlign w:val="center"/>
          </w:tcPr>
          <w:p w14:paraId="2C706EDC">
            <w:pPr>
              <w:widowControl/>
              <w:jc w:val="center"/>
              <w:textAlignment w:val="center"/>
              <w:rPr>
                <w:color w:val="auto"/>
                <w:kern w:val="0"/>
                <w:szCs w:val="21"/>
                <w:lang w:bidi="ar"/>
              </w:rPr>
            </w:pPr>
            <w:r>
              <w:rPr>
                <w:color w:val="auto"/>
                <w:kern w:val="0"/>
                <w:szCs w:val="21"/>
                <w:lang w:bidi="ar"/>
              </w:rPr>
              <w:t>0</w:t>
            </w:r>
          </w:p>
        </w:tc>
        <w:tc>
          <w:tcPr>
            <w:tcW w:w="1588" w:type="dxa"/>
            <w:gridSpan w:val="2"/>
            <w:shd w:val="clear" w:color="auto" w:fill="FFFFFF"/>
            <w:vAlign w:val="center"/>
          </w:tcPr>
          <w:p w14:paraId="3D4C3290">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0</w:t>
            </w:r>
          </w:p>
        </w:tc>
        <w:tc>
          <w:tcPr>
            <w:tcW w:w="564" w:type="pct"/>
            <w:gridSpan w:val="2"/>
            <w:shd w:val="clear" w:color="auto" w:fill="FFFFFF"/>
            <w:vAlign w:val="center"/>
          </w:tcPr>
          <w:p w14:paraId="3FE793D0">
            <w:pPr>
              <w:widowControl/>
              <w:jc w:val="center"/>
              <w:textAlignment w:val="center"/>
              <w:rPr>
                <w:color w:val="auto"/>
                <w:szCs w:val="21"/>
              </w:rPr>
            </w:pPr>
            <w:r>
              <w:rPr>
                <w:color w:val="auto"/>
                <w:kern w:val="0"/>
                <w:szCs w:val="21"/>
                <w:lang w:bidi="ar"/>
              </w:rPr>
              <w:t>0</w:t>
            </w:r>
          </w:p>
        </w:tc>
        <w:tc>
          <w:tcPr>
            <w:tcW w:w="2008" w:type="dxa"/>
            <w:gridSpan w:val="2"/>
            <w:shd w:val="clear" w:color="auto" w:fill="FFFFFF"/>
            <w:vAlign w:val="center"/>
          </w:tcPr>
          <w:p w14:paraId="46B3AE3F">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 xml:space="preserve">0.0007 </w:t>
            </w:r>
          </w:p>
        </w:tc>
        <w:tc>
          <w:tcPr>
            <w:tcW w:w="1589" w:type="dxa"/>
            <w:gridSpan w:val="2"/>
            <w:shd w:val="clear" w:color="auto" w:fill="FFFFFF"/>
            <w:vAlign w:val="center"/>
          </w:tcPr>
          <w:p w14:paraId="49CBC53F">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0</w:t>
            </w:r>
          </w:p>
        </w:tc>
      </w:tr>
      <w:tr w14:paraId="609CB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52" w:type="pct"/>
            <w:vMerge w:val="continue"/>
            <w:shd w:val="clear" w:color="auto" w:fill="FFFFFF"/>
            <w:vAlign w:val="center"/>
          </w:tcPr>
          <w:p w14:paraId="347FE58F">
            <w:pPr>
              <w:jc w:val="center"/>
              <w:rPr>
                <w:rFonts w:ascii="宋体" w:hAnsi="宋体" w:cs="宋体"/>
                <w:color w:val="auto"/>
                <w:szCs w:val="21"/>
              </w:rPr>
            </w:pPr>
          </w:p>
        </w:tc>
        <w:tc>
          <w:tcPr>
            <w:tcW w:w="151" w:type="pct"/>
            <w:vMerge w:val="continue"/>
            <w:shd w:val="clear" w:color="auto" w:fill="FFFFFF"/>
            <w:vAlign w:val="center"/>
          </w:tcPr>
          <w:p w14:paraId="76A42E2F">
            <w:pPr>
              <w:jc w:val="center"/>
              <w:rPr>
                <w:rFonts w:ascii="宋体" w:hAnsi="宋体" w:cs="宋体"/>
                <w:color w:val="auto"/>
                <w:szCs w:val="21"/>
              </w:rPr>
            </w:pPr>
          </w:p>
        </w:tc>
        <w:tc>
          <w:tcPr>
            <w:tcW w:w="300" w:type="pct"/>
            <w:shd w:val="clear" w:color="auto" w:fill="FFFFFF"/>
            <w:vAlign w:val="center"/>
          </w:tcPr>
          <w:p w14:paraId="5DE3D99E">
            <w:pPr>
              <w:keepNext w:val="0"/>
              <w:keepLines w:val="0"/>
              <w:widowControl/>
              <w:suppressLineNumbers w:val="0"/>
              <w:jc w:val="center"/>
              <w:textAlignment w:val="center"/>
              <w:rPr>
                <w:rFonts w:ascii="宋体" w:hAnsi="宋体" w:cs="宋体"/>
                <w:color w:val="auto"/>
                <w:szCs w:val="21"/>
              </w:rPr>
            </w:pPr>
            <w:r>
              <w:rPr>
                <w:rFonts w:hint="eastAsia" w:ascii="宋体" w:hAnsi="宋体" w:eastAsia="宋体" w:cs="宋体"/>
                <w:i w:val="0"/>
                <w:iCs w:val="0"/>
                <w:color w:val="auto"/>
                <w:kern w:val="0"/>
                <w:sz w:val="21"/>
                <w:szCs w:val="21"/>
                <w:u w:val="none"/>
                <w:lang w:val="en-US" w:eastAsia="zh-CN" w:bidi="ar"/>
              </w:rPr>
              <w:t>异丙醇</w:t>
            </w:r>
          </w:p>
        </w:tc>
        <w:tc>
          <w:tcPr>
            <w:tcW w:w="713" w:type="pct"/>
            <w:gridSpan w:val="2"/>
            <w:shd w:val="clear" w:color="auto" w:fill="FFFFFF"/>
            <w:vAlign w:val="center"/>
          </w:tcPr>
          <w:p w14:paraId="133F1F6D">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0.0002</w:t>
            </w:r>
          </w:p>
        </w:tc>
        <w:tc>
          <w:tcPr>
            <w:tcW w:w="2008" w:type="dxa"/>
            <w:gridSpan w:val="2"/>
            <w:shd w:val="clear" w:color="auto" w:fill="FFFFFF"/>
            <w:vAlign w:val="center"/>
          </w:tcPr>
          <w:p w14:paraId="2AA63615">
            <w:pPr>
              <w:keepNext w:val="0"/>
              <w:keepLines w:val="0"/>
              <w:widowControl/>
              <w:suppressLineNumbers w:val="0"/>
              <w:jc w:val="center"/>
              <w:textAlignment w:val="center"/>
              <w:rPr>
                <w:color w:val="auto"/>
                <w:kern w:val="0"/>
                <w:szCs w:val="21"/>
                <w:lang w:bidi="ar"/>
              </w:rPr>
            </w:pPr>
            <w:r>
              <w:rPr>
                <w:rFonts w:hint="default" w:ascii="Times New Roman" w:hAnsi="Times New Roman" w:eastAsia="宋体" w:cs="Times New Roman"/>
                <w:i w:val="0"/>
                <w:iCs w:val="0"/>
                <w:color w:val="auto"/>
                <w:kern w:val="0"/>
                <w:sz w:val="21"/>
                <w:szCs w:val="21"/>
                <w:u w:val="none"/>
                <w:lang w:val="en-US" w:eastAsia="zh-CN" w:bidi="ar"/>
              </w:rPr>
              <w:t>0.0002</w:t>
            </w:r>
          </w:p>
        </w:tc>
        <w:tc>
          <w:tcPr>
            <w:tcW w:w="561" w:type="pct"/>
            <w:gridSpan w:val="2"/>
            <w:shd w:val="clear" w:color="auto" w:fill="FFFFFF"/>
            <w:vAlign w:val="center"/>
          </w:tcPr>
          <w:p w14:paraId="261D4126">
            <w:pPr>
              <w:widowControl/>
              <w:jc w:val="center"/>
              <w:textAlignment w:val="center"/>
              <w:rPr>
                <w:color w:val="auto"/>
                <w:kern w:val="0"/>
                <w:szCs w:val="21"/>
                <w:lang w:bidi="ar"/>
              </w:rPr>
            </w:pPr>
            <w:r>
              <w:rPr>
                <w:color w:val="auto"/>
                <w:kern w:val="0"/>
                <w:szCs w:val="21"/>
                <w:lang w:bidi="ar"/>
              </w:rPr>
              <w:t>0</w:t>
            </w:r>
          </w:p>
        </w:tc>
        <w:tc>
          <w:tcPr>
            <w:tcW w:w="1588" w:type="dxa"/>
            <w:gridSpan w:val="2"/>
            <w:shd w:val="clear" w:color="auto" w:fill="FFFFFF"/>
            <w:vAlign w:val="center"/>
          </w:tcPr>
          <w:p w14:paraId="53AF9BAF">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0</w:t>
            </w:r>
          </w:p>
        </w:tc>
        <w:tc>
          <w:tcPr>
            <w:tcW w:w="564" w:type="pct"/>
            <w:gridSpan w:val="2"/>
            <w:shd w:val="clear" w:color="auto" w:fill="FFFFFF"/>
            <w:vAlign w:val="center"/>
          </w:tcPr>
          <w:p w14:paraId="626EC28A">
            <w:pPr>
              <w:widowControl/>
              <w:jc w:val="center"/>
              <w:textAlignment w:val="center"/>
              <w:rPr>
                <w:color w:val="auto"/>
                <w:szCs w:val="21"/>
              </w:rPr>
            </w:pPr>
            <w:r>
              <w:rPr>
                <w:color w:val="auto"/>
                <w:kern w:val="0"/>
                <w:szCs w:val="21"/>
                <w:lang w:bidi="ar"/>
              </w:rPr>
              <w:t>0</w:t>
            </w:r>
          </w:p>
        </w:tc>
        <w:tc>
          <w:tcPr>
            <w:tcW w:w="2008" w:type="dxa"/>
            <w:gridSpan w:val="2"/>
            <w:shd w:val="clear" w:color="auto" w:fill="FFFFFF"/>
            <w:vAlign w:val="center"/>
          </w:tcPr>
          <w:p w14:paraId="2EA62E3B">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 xml:space="preserve">0.0002 </w:t>
            </w:r>
          </w:p>
        </w:tc>
        <w:tc>
          <w:tcPr>
            <w:tcW w:w="1589" w:type="dxa"/>
            <w:gridSpan w:val="2"/>
            <w:shd w:val="clear" w:color="auto" w:fill="FFFFFF"/>
            <w:vAlign w:val="center"/>
          </w:tcPr>
          <w:p w14:paraId="7F95FE41">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0</w:t>
            </w:r>
          </w:p>
        </w:tc>
      </w:tr>
      <w:tr w14:paraId="7CDCD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52" w:type="pct"/>
            <w:vMerge w:val="continue"/>
            <w:shd w:val="clear" w:color="auto" w:fill="FFFFFF"/>
            <w:vAlign w:val="center"/>
          </w:tcPr>
          <w:p w14:paraId="22597272">
            <w:pPr>
              <w:jc w:val="center"/>
              <w:rPr>
                <w:rFonts w:ascii="宋体" w:hAnsi="宋体" w:cs="宋体"/>
                <w:color w:val="auto"/>
                <w:szCs w:val="21"/>
              </w:rPr>
            </w:pPr>
          </w:p>
        </w:tc>
        <w:tc>
          <w:tcPr>
            <w:tcW w:w="151" w:type="pct"/>
            <w:vMerge w:val="continue"/>
            <w:shd w:val="clear" w:color="auto" w:fill="FFFFFF"/>
            <w:vAlign w:val="center"/>
          </w:tcPr>
          <w:p w14:paraId="69E1F03E">
            <w:pPr>
              <w:jc w:val="center"/>
              <w:rPr>
                <w:rFonts w:ascii="宋体" w:hAnsi="宋体" w:cs="宋体"/>
                <w:color w:val="auto"/>
                <w:szCs w:val="21"/>
              </w:rPr>
            </w:pPr>
          </w:p>
        </w:tc>
        <w:tc>
          <w:tcPr>
            <w:tcW w:w="300" w:type="pct"/>
            <w:shd w:val="clear" w:color="auto" w:fill="FFFFFF"/>
            <w:vAlign w:val="center"/>
          </w:tcPr>
          <w:p w14:paraId="286F96E7">
            <w:pPr>
              <w:keepNext w:val="0"/>
              <w:keepLines w:val="0"/>
              <w:widowControl/>
              <w:suppressLineNumbers w:val="0"/>
              <w:jc w:val="center"/>
              <w:textAlignment w:val="center"/>
              <w:rPr>
                <w:rFonts w:ascii="宋体" w:hAnsi="宋体" w:cs="宋体"/>
                <w:color w:val="auto"/>
                <w:szCs w:val="21"/>
              </w:rPr>
            </w:pPr>
            <w:r>
              <w:rPr>
                <w:rFonts w:hint="eastAsia" w:ascii="宋体" w:hAnsi="宋体" w:eastAsia="宋体" w:cs="宋体"/>
                <w:i w:val="0"/>
                <w:iCs w:val="0"/>
                <w:color w:val="auto"/>
                <w:kern w:val="0"/>
                <w:sz w:val="21"/>
                <w:szCs w:val="21"/>
                <w:u w:val="none"/>
                <w:lang w:val="en-US" w:eastAsia="zh-CN" w:bidi="ar"/>
              </w:rPr>
              <w:t>甲醛</w:t>
            </w:r>
          </w:p>
        </w:tc>
        <w:tc>
          <w:tcPr>
            <w:tcW w:w="713" w:type="pct"/>
            <w:gridSpan w:val="2"/>
            <w:shd w:val="clear" w:color="auto" w:fill="FFFFFF"/>
            <w:vAlign w:val="center"/>
          </w:tcPr>
          <w:p w14:paraId="37D01172">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0.0001</w:t>
            </w:r>
          </w:p>
        </w:tc>
        <w:tc>
          <w:tcPr>
            <w:tcW w:w="2008" w:type="dxa"/>
            <w:gridSpan w:val="2"/>
            <w:shd w:val="clear" w:color="auto" w:fill="FFFFFF"/>
            <w:vAlign w:val="center"/>
          </w:tcPr>
          <w:p w14:paraId="3A12069C">
            <w:pPr>
              <w:keepNext w:val="0"/>
              <w:keepLines w:val="0"/>
              <w:widowControl/>
              <w:suppressLineNumbers w:val="0"/>
              <w:jc w:val="center"/>
              <w:textAlignment w:val="center"/>
              <w:rPr>
                <w:color w:val="auto"/>
                <w:kern w:val="0"/>
                <w:szCs w:val="21"/>
                <w:lang w:bidi="ar"/>
              </w:rPr>
            </w:pPr>
            <w:r>
              <w:rPr>
                <w:rFonts w:hint="default" w:ascii="Times New Roman" w:hAnsi="Times New Roman" w:eastAsia="宋体" w:cs="Times New Roman"/>
                <w:i w:val="0"/>
                <w:iCs w:val="0"/>
                <w:color w:val="auto"/>
                <w:kern w:val="0"/>
                <w:sz w:val="21"/>
                <w:szCs w:val="21"/>
                <w:u w:val="none"/>
                <w:lang w:val="en-US" w:eastAsia="zh-CN" w:bidi="ar"/>
              </w:rPr>
              <w:t>0.0001</w:t>
            </w:r>
          </w:p>
        </w:tc>
        <w:tc>
          <w:tcPr>
            <w:tcW w:w="561" w:type="pct"/>
            <w:gridSpan w:val="2"/>
            <w:shd w:val="clear" w:color="auto" w:fill="FFFFFF"/>
            <w:vAlign w:val="center"/>
          </w:tcPr>
          <w:p w14:paraId="1E8131AB">
            <w:pPr>
              <w:widowControl/>
              <w:jc w:val="center"/>
              <w:textAlignment w:val="center"/>
              <w:rPr>
                <w:color w:val="auto"/>
                <w:kern w:val="0"/>
                <w:szCs w:val="21"/>
                <w:lang w:bidi="ar"/>
              </w:rPr>
            </w:pPr>
            <w:r>
              <w:rPr>
                <w:color w:val="auto"/>
                <w:kern w:val="0"/>
                <w:szCs w:val="21"/>
                <w:lang w:bidi="ar"/>
              </w:rPr>
              <w:t>0</w:t>
            </w:r>
          </w:p>
        </w:tc>
        <w:tc>
          <w:tcPr>
            <w:tcW w:w="1588" w:type="dxa"/>
            <w:gridSpan w:val="2"/>
            <w:shd w:val="clear" w:color="auto" w:fill="FFFFFF"/>
            <w:vAlign w:val="center"/>
          </w:tcPr>
          <w:p w14:paraId="76E11AEF">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0</w:t>
            </w:r>
          </w:p>
        </w:tc>
        <w:tc>
          <w:tcPr>
            <w:tcW w:w="564" w:type="pct"/>
            <w:gridSpan w:val="2"/>
            <w:shd w:val="clear" w:color="auto" w:fill="FFFFFF"/>
            <w:vAlign w:val="center"/>
          </w:tcPr>
          <w:p w14:paraId="4B47C5A7">
            <w:pPr>
              <w:widowControl/>
              <w:jc w:val="center"/>
              <w:textAlignment w:val="center"/>
              <w:rPr>
                <w:color w:val="auto"/>
                <w:szCs w:val="21"/>
              </w:rPr>
            </w:pPr>
            <w:r>
              <w:rPr>
                <w:color w:val="auto"/>
                <w:kern w:val="0"/>
                <w:szCs w:val="21"/>
                <w:lang w:bidi="ar"/>
              </w:rPr>
              <w:t>0</w:t>
            </w:r>
          </w:p>
        </w:tc>
        <w:tc>
          <w:tcPr>
            <w:tcW w:w="2008" w:type="dxa"/>
            <w:gridSpan w:val="2"/>
            <w:shd w:val="clear" w:color="auto" w:fill="FFFFFF"/>
            <w:vAlign w:val="center"/>
          </w:tcPr>
          <w:p w14:paraId="20C6D666">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 xml:space="preserve">0.0001 </w:t>
            </w:r>
          </w:p>
        </w:tc>
        <w:tc>
          <w:tcPr>
            <w:tcW w:w="1589" w:type="dxa"/>
            <w:gridSpan w:val="2"/>
            <w:shd w:val="clear" w:color="auto" w:fill="FFFFFF"/>
            <w:vAlign w:val="center"/>
          </w:tcPr>
          <w:p w14:paraId="2247B4B9">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0</w:t>
            </w:r>
          </w:p>
        </w:tc>
      </w:tr>
      <w:tr w14:paraId="6D841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52" w:type="pct"/>
            <w:vMerge w:val="continue"/>
            <w:shd w:val="clear" w:color="auto" w:fill="FFFFFF"/>
            <w:vAlign w:val="center"/>
          </w:tcPr>
          <w:p w14:paraId="2A5F80D8">
            <w:pPr>
              <w:jc w:val="center"/>
              <w:rPr>
                <w:rFonts w:ascii="宋体" w:hAnsi="宋体" w:cs="宋体"/>
                <w:color w:val="auto"/>
                <w:szCs w:val="21"/>
              </w:rPr>
            </w:pPr>
          </w:p>
        </w:tc>
        <w:tc>
          <w:tcPr>
            <w:tcW w:w="151" w:type="pct"/>
            <w:vMerge w:val="continue"/>
            <w:shd w:val="clear" w:color="auto" w:fill="FFFFFF"/>
            <w:vAlign w:val="center"/>
          </w:tcPr>
          <w:p w14:paraId="5F0F797B">
            <w:pPr>
              <w:jc w:val="center"/>
              <w:rPr>
                <w:rFonts w:ascii="宋体" w:hAnsi="宋体" w:cs="宋体"/>
                <w:color w:val="auto"/>
                <w:szCs w:val="21"/>
              </w:rPr>
            </w:pPr>
          </w:p>
        </w:tc>
        <w:tc>
          <w:tcPr>
            <w:tcW w:w="300" w:type="pct"/>
            <w:shd w:val="clear" w:color="auto" w:fill="FFFFFF"/>
            <w:vAlign w:val="center"/>
          </w:tcPr>
          <w:p w14:paraId="7D2C2DB9">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NOx</w:t>
            </w:r>
          </w:p>
        </w:tc>
        <w:tc>
          <w:tcPr>
            <w:tcW w:w="713" w:type="pct"/>
            <w:gridSpan w:val="2"/>
            <w:shd w:val="clear" w:color="auto" w:fill="FFFFFF"/>
            <w:vAlign w:val="center"/>
          </w:tcPr>
          <w:p w14:paraId="610FDBE6">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0.00003</w:t>
            </w:r>
          </w:p>
        </w:tc>
        <w:tc>
          <w:tcPr>
            <w:tcW w:w="2008" w:type="dxa"/>
            <w:gridSpan w:val="2"/>
            <w:shd w:val="clear" w:color="auto" w:fill="FFFFFF"/>
            <w:vAlign w:val="center"/>
          </w:tcPr>
          <w:p w14:paraId="63694C90">
            <w:pPr>
              <w:keepNext w:val="0"/>
              <w:keepLines w:val="0"/>
              <w:widowControl/>
              <w:suppressLineNumbers w:val="0"/>
              <w:jc w:val="center"/>
              <w:textAlignment w:val="center"/>
              <w:rPr>
                <w:color w:val="auto"/>
                <w:kern w:val="0"/>
                <w:szCs w:val="21"/>
                <w:lang w:bidi="ar"/>
              </w:rPr>
            </w:pPr>
            <w:r>
              <w:rPr>
                <w:rFonts w:hint="default" w:ascii="Times New Roman" w:hAnsi="Times New Roman" w:eastAsia="宋体" w:cs="Times New Roman"/>
                <w:i w:val="0"/>
                <w:iCs w:val="0"/>
                <w:color w:val="auto"/>
                <w:kern w:val="0"/>
                <w:sz w:val="21"/>
                <w:szCs w:val="21"/>
                <w:u w:val="none"/>
                <w:lang w:val="en-US" w:eastAsia="zh-CN" w:bidi="ar"/>
              </w:rPr>
              <w:t>0.00003</w:t>
            </w:r>
          </w:p>
        </w:tc>
        <w:tc>
          <w:tcPr>
            <w:tcW w:w="561" w:type="pct"/>
            <w:gridSpan w:val="2"/>
            <w:shd w:val="clear" w:color="auto" w:fill="FFFFFF"/>
            <w:vAlign w:val="center"/>
          </w:tcPr>
          <w:p w14:paraId="640FC698">
            <w:pPr>
              <w:widowControl/>
              <w:jc w:val="center"/>
              <w:textAlignment w:val="center"/>
              <w:rPr>
                <w:color w:val="auto"/>
                <w:kern w:val="0"/>
                <w:szCs w:val="21"/>
                <w:lang w:bidi="ar"/>
              </w:rPr>
            </w:pPr>
            <w:r>
              <w:rPr>
                <w:color w:val="auto"/>
                <w:kern w:val="0"/>
                <w:szCs w:val="21"/>
                <w:lang w:bidi="ar"/>
              </w:rPr>
              <w:t>0</w:t>
            </w:r>
          </w:p>
        </w:tc>
        <w:tc>
          <w:tcPr>
            <w:tcW w:w="1588" w:type="dxa"/>
            <w:gridSpan w:val="2"/>
            <w:shd w:val="clear" w:color="auto" w:fill="FFFFFF"/>
            <w:vAlign w:val="center"/>
          </w:tcPr>
          <w:p w14:paraId="28B4A70C">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 xml:space="preserve">0.0001 </w:t>
            </w:r>
          </w:p>
        </w:tc>
        <w:tc>
          <w:tcPr>
            <w:tcW w:w="564" w:type="pct"/>
            <w:gridSpan w:val="2"/>
            <w:shd w:val="clear" w:color="auto" w:fill="FFFFFF"/>
            <w:vAlign w:val="center"/>
          </w:tcPr>
          <w:p w14:paraId="7121A43E">
            <w:pPr>
              <w:widowControl/>
              <w:jc w:val="center"/>
              <w:textAlignment w:val="center"/>
              <w:rPr>
                <w:color w:val="auto"/>
                <w:szCs w:val="21"/>
              </w:rPr>
            </w:pPr>
            <w:r>
              <w:rPr>
                <w:color w:val="auto"/>
                <w:kern w:val="0"/>
                <w:szCs w:val="21"/>
                <w:lang w:bidi="ar"/>
              </w:rPr>
              <w:t>0</w:t>
            </w:r>
          </w:p>
        </w:tc>
        <w:tc>
          <w:tcPr>
            <w:tcW w:w="2008" w:type="dxa"/>
            <w:gridSpan w:val="2"/>
            <w:shd w:val="clear" w:color="auto" w:fill="FFFFFF"/>
            <w:vAlign w:val="center"/>
          </w:tcPr>
          <w:p w14:paraId="328B3AD1">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 xml:space="preserve">0.00013 </w:t>
            </w:r>
          </w:p>
        </w:tc>
        <w:tc>
          <w:tcPr>
            <w:tcW w:w="1589" w:type="dxa"/>
            <w:gridSpan w:val="2"/>
            <w:shd w:val="clear" w:color="auto" w:fill="FFFFFF"/>
            <w:vAlign w:val="center"/>
          </w:tcPr>
          <w:p w14:paraId="79A64AF6">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 xml:space="preserve">0.0001 </w:t>
            </w:r>
          </w:p>
        </w:tc>
      </w:tr>
      <w:tr w14:paraId="3DBC2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52" w:type="pct"/>
            <w:vMerge w:val="continue"/>
            <w:shd w:val="clear" w:color="auto" w:fill="FFFFFF"/>
            <w:vAlign w:val="center"/>
          </w:tcPr>
          <w:p w14:paraId="218C9B02">
            <w:pPr>
              <w:jc w:val="center"/>
              <w:rPr>
                <w:rFonts w:ascii="宋体" w:hAnsi="宋体" w:cs="宋体"/>
                <w:color w:val="auto"/>
                <w:szCs w:val="21"/>
              </w:rPr>
            </w:pPr>
          </w:p>
        </w:tc>
        <w:tc>
          <w:tcPr>
            <w:tcW w:w="151" w:type="pct"/>
            <w:vMerge w:val="continue"/>
            <w:shd w:val="clear" w:color="auto" w:fill="FFFFFF"/>
            <w:vAlign w:val="center"/>
          </w:tcPr>
          <w:p w14:paraId="32B91DD0">
            <w:pPr>
              <w:jc w:val="center"/>
              <w:rPr>
                <w:rFonts w:ascii="宋体" w:hAnsi="宋体" w:cs="宋体"/>
                <w:color w:val="auto"/>
                <w:szCs w:val="21"/>
              </w:rPr>
            </w:pPr>
          </w:p>
        </w:tc>
        <w:tc>
          <w:tcPr>
            <w:tcW w:w="300" w:type="pct"/>
            <w:shd w:val="clear" w:color="auto" w:fill="FFFFFF"/>
            <w:vAlign w:val="center"/>
          </w:tcPr>
          <w:p w14:paraId="670AF915">
            <w:pPr>
              <w:keepNext w:val="0"/>
              <w:keepLines w:val="0"/>
              <w:widowControl/>
              <w:suppressLineNumbers w:val="0"/>
              <w:jc w:val="center"/>
              <w:textAlignment w:val="center"/>
              <w:rPr>
                <w:rFonts w:ascii="宋体" w:hAnsi="宋体" w:cs="宋体"/>
                <w:color w:val="auto"/>
                <w:szCs w:val="21"/>
              </w:rPr>
            </w:pPr>
            <w:r>
              <w:rPr>
                <w:rFonts w:hint="eastAsia" w:ascii="宋体" w:hAnsi="宋体" w:eastAsia="宋体" w:cs="宋体"/>
                <w:i w:val="0"/>
                <w:iCs w:val="0"/>
                <w:color w:val="auto"/>
                <w:kern w:val="0"/>
                <w:sz w:val="21"/>
                <w:szCs w:val="21"/>
                <w:u w:val="none"/>
                <w:lang w:val="en-US" w:eastAsia="zh-CN" w:bidi="ar"/>
              </w:rPr>
              <w:t>甲醇</w:t>
            </w:r>
          </w:p>
        </w:tc>
        <w:tc>
          <w:tcPr>
            <w:tcW w:w="713" w:type="pct"/>
            <w:gridSpan w:val="2"/>
            <w:shd w:val="clear" w:color="auto" w:fill="FFFFFF"/>
            <w:vAlign w:val="center"/>
          </w:tcPr>
          <w:p w14:paraId="183C1370">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0</w:t>
            </w:r>
          </w:p>
        </w:tc>
        <w:tc>
          <w:tcPr>
            <w:tcW w:w="2008" w:type="dxa"/>
            <w:gridSpan w:val="2"/>
            <w:shd w:val="clear" w:color="auto" w:fill="FFFFFF"/>
            <w:vAlign w:val="center"/>
          </w:tcPr>
          <w:p w14:paraId="3B3B0775">
            <w:pPr>
              <w:keepNext w:val="0"/>
              <w:keepLines w:val="0"/>
              <w:widowControl/>
              <w:suppressLineNumbers w:val="0"/>
              <w:jc w:val="center"/>
              <w:textAlignment w:val="center"/>
              <w:rPr>
                <w:color w:val="auto"/>
                <w:kern w:val="0"/>
                <w:szCs w:val="21"/>
                <w:lang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561" w:type="pct"/>
            <w:gridSpan w:val="2"/>
            <w:shd w:val="clear" w:color="auto" w:fill="FFFFFF"/>
            <w:vAlign w:val="center"/>
          </w:tcPr>
          <w:p w14:paraId="24E442FB">
            <w:pPr>
              <w:widowControl/>
              <w:jc w:val="center"/>
              <w:textAlignment w:val="center"/>
              <w:rPr>
                <w:color w:val="auto"/>
                <w:kern w:val="0"/>
                <w:szCs w:val="21"/>
                <w:lang w:bidi="ar"/>
              </w:rPr>
            </w:pPr>
            <w:r>
              <w:rPr>
                <w:color w:val="auto"/>
                <w:kern w:val="0"/>
                <w:szCs w:val="21"/>
                <w:lang w:bidi="ar"/>
              </w:rPr>
              <w:t>0</w:t>
            </w:r>
          </w:p>
        </w:tc>
        <w:tc>
          <w:tcPr>
            <w:tcW w:w="1588" w:type="dxa"/>
            <w:gridSpan w:val="2"/>
            <w:shd w:val="clear" w:color="auto" w:fill="FFFFFF"/>
            <w:vAlign w:val="center"/>
          </w:tcPr>
          <w:p w14:paraId="5E649AD6">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 xml:space="preserve">0.0018 </w:t>
            </w:r>
          </w:p>
        </w:tc>
        <w:tc>
          <w:tcPr>
            <w:tcW w:w="564" w:type="pct"/>
            <w:gridSpan w:val="2"/>
            <w:shd w:val="clear" w:color="auto" w:fill="FFFFFF"/>
            <w:vAlign w:val="center"/>
          </w:tcPr>
          <w:p w14:paraId="47A86267">
            <w:pPr>
              <w:widowControl/>
              <w:jc w:val="center"/>
              <w:textAlignment w:val="center"/>
              <w:rPr>
                <w:color w:val="auto"/>
                <w:szCs w:val="21"/>
              </w:rPr>
            </w:pPr>
            <w:r>
              <w:rPr>
                <w:color w:val="auto"/>
                <w:kern w:val="0"/>
                <w:szCs w:val="21"/>
                <w:lang w:bidi="ar"/>
              </w:rPr>
              <w:t>0</w:t>
            </w:r>
          </w:p>
        </w:tc>
        <w:tc>
          <w:tcPr>
            <w:tcW w:w="2008" w:type="dxa"/>
            <w:gridSpan w:val="2"/>
            <w:shd w:val="clear" w:color="auto" w:fill="FFFFFF"/>
            <w:vAlign w:val="center"/>
          </w:tcPr>
          <w:p w14:paraId="063DB221">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 xml:space="preserve">0.0018 </w:t>
            </w:r>
          </w:p>
        </w:tc>
        <w:tc>
          <w:tcPr>
            <w:tcW w:w="1589" w:type="dxa"/>
            <w:gridSpan w:val="2"/>
            <w:shd w:val="clear" w:color="auto" w:fill="FFFFFF"/>
            <w:vAlign w:val="center"/>
          </w:tcPr>
          <w:p w14:paraId="44A83537">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 xml:space="preserve">0.0018 </w:t>
            </w:r>
          </w:p>
        </w:tc>
      </w:tr>
      <w:tr w14:paraId="14019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52" w:type="pct"/>
            <w:vMerge w:val="continue"/>
            <w:shd w:val="clear" w:color="auto" w:fill="FFFFFF"/>
            <w:vAlign w:val="center"/>
          </w:tcPr>
          <w:p w14:paraId="68FF925C">
            <w:pPr>
              <w:jc w:val="center"/>
              <w:rPr>
                <w:rFonts w:ascii="宋体" w:hAnsi="宋体" w:cs="宋体"/>
                <w:color w:val="auto"/>
                <w:szCs w:val="21"/>
              </w:rPr>
            </w:pPr>
          </w:p>
        </w:tc>
        <w:tc>
          <w:tcPr>
            <w:tcW w:w="151" w:type="pct"/>
            <w:vMerge w:val="continue"/>
            <w:shd w:val="clear" w:color="auto" w:fill="FFFFFF"/>
            <w:vAlign w:val="center"/>
          </w:tcPr>
          <w:p w14:paraId="5FC593F7">
            <w:pPr>
              <w:jc w:val="center"/>
              <w:rPr>
                <w:rFonts w:ascii="宋体" w:hAnsi="宋体" w:cs="宋体"/>
                <w:color w:val="auto"/>
                <w:szCs w:val="21"/>
              </w:rPr>
            </w:pPr>
          </w:p>
        </w:tc>
        <w:tc>
          <w:tcPr>
            <w:tcW w:w="300" w:type="pct"/>
            <w:shd w:val="clear" w:color="auto" w:fill="FFFFFF"/>
            <w:vAlign w:val="center"/>
          </w:tcPr>
          <w:p w14:paraId="44184D0C">
            <w:pPr>
              <w:keepNext w:val="0"/>
              <w:keepLines w:val="0"/>
              <w:widowControl/>
              <w:suppressLineNumbers w:val="0"/>
              <w:jc w:val="center"/>
              <w:textAlignment w:val="center"/>
              <w:rPr>
                <w:rFonts w:ascii="宋体" w:hAnsi="宋体" w:cs="宋体"/>
                <w:color w:val="auto"/>
                <w:szCs w:val="21"/>
              </w:rPr>
            </w:pPr>
            <w:r>
              <w:rPr>
                <w:rFonts w:hint="eastAsia" w:ascii="宋体" w:hAnsi="宋体" w:eastAsia="宋体" w:cs="宋体"/>
                <w:i w:val="0"/>
                <w:iCs w:val="0"/>
                <w:color w:val="auto"/>
                <w:kern w:val="0"/>
                <w:sz w:val="21"/>
                <w:szCs w:val="21"/>
                <w:u w:val="none"/>
                <w:lang w:val="en-US" w:eastAsia="zh-CN" w:bidi="ar"/>
              </w:rPr>
              <w:t>乙二醇</w:t>
            </w:r>
          </w:p>
        </w:tc>
        <w:tc>
          <w:tcPr>
            <w:tcW w:w="713" w:type="pct"/>
            <w:gridSpan w:val="2"/>
            <w:shd w:val="clear" w:color="auto" w:fill="FFFFFF"/>
            <w:vAlign w:val="center"/>
          </w:tcPr>
          <w:p w14:paraId="531BEB4E">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0</w:t>
            </w:r>
          </w:p>
        </w:tc>
        <w:tc>
          <w:tcPr>
            <w:tcW w:w="2008" w:type="dxa"/>
            <w:gridSpan w:val="2"/>
            <w:shd w:val="clear" w:color="auto" w:fill="FFFFFF"/>
            <w:vAlign w:val="center"/>
          </w:tcPr>
          <w:p w14:paraId="51E3882B">
            <w:pPr>
              <w:keepNext w:val="0"/>
              <w:keepLines w:val="0"/>
              <w:widowControl/>
              <w:suppressLineNumbers w:val="0"/>
              <w:jc w:val="center"/>
              <w:textAlignment w:val="center"/>
              <w:rPr>
                <w:color w:val="auto"/>
                <w:kern w:val="0"/>
                <w:szCs w:val="21"/>
                <w:lang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561" w:type="pct"/>
            <w:gridSpan w:val="2"/>
            <w:shd w:val="clear" w:color="auto" w:fill="FFFFFF"/>
            <w:vAlign w:val="center"/>
          </w:tcPr>
          <w:p w14:paraId="4C1D284A">
            <w:pPr>
              <w:widowControl/>
              <w:jc w:val="center"/>
              <w:textAlignment w:val="center"/>
              <w:rPr>
                <w:color w:val="auto"/>
                <w:kern w:val="0"/>
                <w:szCs w:val="21"/>
                <w:lang w:bidi="ar"/>
              </w:rPr>
            </w:pPr>
            <w:r>
              <w:rPr>
                <w:color w:val="auto"/>
                <w:kern w:val="0"/>
                <w:szCs w:val="21"/>
                <w:lang w:bidi="ar"/>
              </w:rPr>
              <w:t>0</w:t>
            </w:r>
          </w:p>
        </w:tc>
        <w:tc>
          <w:tcPr>
            <w:tcW w:w="1588" w:type="dxa"/>
            <w:gridSpan w:val="2"/>
            <w:shd w:val="clear" w:color="auto" w:fill="FFFFFF"/>
            <w:vAlign w:val="center"/>
          </w:tcPr>
          <w:p w14:paraId="1936DDC6">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 xml:space="preserve">0.0010 </w:t>
            </w:r>
          </w:p>
        </w:tc>
        <w:tc>
          <w:tcPr>
            <w:tcW w:w="564" w:type="pct"/>
            <w:gridSpan w:val="2"/>
            <w:shd w:val="clear" w:color="auto" w:fill="FFFFFF"/>
            <w:vAlign w:val="center"/>
          </w:tcPr>
          <w:p w14:paraId="67312AF7">
            <w:pPr>
              <w:widowControl/>
              <w:jc w:val="center"/>
              <w:textAlignment w:val="center"/>
              <w:rPr>
                <w:color w:val="auto"/>
                <w:szCs w:val="21"/>
              </w:rPr>
            </w:pPr>
            <w:r>
              <w:rPr>
                <w:color w:val="auto"/>
                <w:kern w:val="0"/>
                <w:szCs w:val="21"/>
                <w:lang w:bidi="ar"/>
              </w:rPr>
              <w:t>0</w:t>
            </w:r>
          </w:p>
        </w:tc>
        <w:tc>
          <w:tcPr>
            <w:tcW w:w="2008" w:type="dxa"/>
            <w:gridSpan w:val="2"/>
            <w:shd w:val="clear" w:color="auto" w:fill="FFFFFF"/>
            <w:vAlign w:val="center"/>
          </w:tcPr>
          <w:p w14:paraId="316BD11D">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 xml:space="preserve">0.0010 </w:t>
            </w:r>
          </w:p>
        </w:tc>
        <w:tc>
          <w:tcPr>
            <w:tcW w:w="1589" w:type="dxa"/>
            <w:gridSpan w:val="2"/>
            <w:shd w:val="clear" w:color="auto" w:fill="FFFFFF"/>
            <w:vAlign w:val="center"/>
          </w:tcPr>
          <w:p w14:paraId="70BAE4E8">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 xml:space="preserve">0.0010 </w:t>
            </w:r>
          </w:p>
        </w:tc>
      </w:tr>
      <w:tr w14:paraId="5B34F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52" w:type="pct"/>
            <w:vMerge w:val="continue"/>
            <w:shd w:val="clear" w:color="auto" w:fill="FFFFFF"/>
            <w:vAlign w:val="center"/>
          </w:tcPr>
          <w:p w14:paraId="70B087ED">
            <w:pPr>
              <w:jc w:val="center"/>
              <w:rPr>
                <w:rFonts w:ascii="宋体" w:hAnsi="宋体" w:cs="宋体"/>
                <w:color w:val="auto"/>
                <w:szCs w:val="21"/>
              </w:rPr>
            </w:pPr>
          </w:p>
        </w:tc>
        <w:tc>
          <w:tcPr>
            <w:tcW w:w="151" w:type="pct"/>
            <w:vMerge w:val="continue"/>
            <w:shd w:val="clear" w:color="auto" w:fill="FFFFFF"/>
            <w:vAlign w:val="center"/>
          </w:tcPr>
          <w:p w14:paraId="7293A746">
            <w:pPr>
              <w:jc w:val="center"/>
              <w:rPr>
                <w:rFonts w:ascii="宋体" w:hAnsi="宋体" w:cs="宋体"/>
                <w:color w:val="auto"/>
                <w:szCs w:val="21"/>
              </w:rPr>
            </w:pPr>
          </w:p>
        </w:tc>
        <w:tc>
          <w:tcPr>
            <w:tcW w:w="300" w:type="pct"/>
            <w:shd w:val="clear" w:color="auto" w:fill="FFFFFF"/>
            <w:vAlign w:val="center"/>
          </w:tcPr>
          <w:p w14:paraId="2BDE1946">
            <w:pPr>
              <w:keepNext w:val="0"/>
              <w:keepLines w:val="0"/>
              <w:widowControl/>
              <w:suppressLineNumbers w:val="0"/>
              <w:jc w:val="center"/>
              <w:textAlignment w:val="center"/>
              <w:rPr>
                <w:rFonts w:ascii="宋体" w:hAnsi="宋体" w:cs="宋体"/>
                <w:color w:val="auto"/>
                <w:szCs w:val="21"/>
              </w:rPr>
            </w:pPr>
            <w:r>
              <w:rPr>
                <w:rFonts w:hint="eastAsia" w:ascii="宋体" w:hAnsi="宋体" w:eastAsia="宋体" w:cs="宋体"/>
                <w:i w:val="0"/>
                <w:iCs w:val="0"/>
                <w:color w:val="auto"/>
                <w:kern w:val="0"/>
                <w:sz w:val="21"/>
                <w:szCs w:val="21"/>
                <w:u w:val="none"/>
                <w:lang w:val="en-US" w:eastAsia="zh-CN" w:bidi="ar"/>
              </w:rPr>
              <w:t>四氯化碳</w:t>
            </w:r>
          </w:p>
        </w:tc>
        <w:tc>
          <w:tcPr>
            <w:tcW w:w="713" w:type="pct"/>
            <w:gridSpan w:val="2"/>
            <w:shd w:val="clear" w:color="auto" w:fill="FFFFFF"/>
            <w:vAlign w:val="center"/>
          </w:tcPr>
          <w:p w14:paraId="794DAE26">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0</w:t>
            </w:r>
          </w:p>
        </w:tc>
        <w:tc>
          <w:tcPr>
            <w:tcW w:w="2008" w:type="dxa"/>
            <w:gridSpan w:val="2"/>
            <w:shd w:val="clear" w:color="auto" w:fill="FFFFFF"/>
            <w:vAlign w:val="center"/>
          </w:tcPr>
          <w:p w14:paraId="03A03B9F">
            <w:pPr>
              <w:keepNext w:val="0"/>
              <w:keepLines w:val="0"/>
              <w:widowControl/>
              <w:suppressLineNumbers w:val="0"/>
              <w:jc w:val="center"/>
              <w:textAlignment w:val="center"/>
              <w:rPr>
                <w:color w:val="auto"/>
                <w:kern w:val="0"/>
                <w:szCs w:val="21"/>
                <w:lang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561" w:type="pct"/>
            <w:gridSpan w:val="2"/>
            <w:shd w:val="clear" w:color="auto" w:fill="FFFFFF"/>
            <w:vAlign w:val="center"/>
          </w:tcPr>
          <w:p w14:paraId="50CA6A46">
            <w:pPr>
              <w:widowControl/>
              <w:jc w:val="center"/>
              <w:textAlignment w:val="center"/>
              <w:rPr>
                <w:color w:val="auto"/>
                <w:kern w:val="0"/>
                <w:szCs w:val="21"/>
                <w:lang w:bidi="ar"/>
              </w:rPr>
            </w:pPr>
            <w:r>
              <w:rPr>
                <w:color w:val="auto"/>
                <w:kern w:val="0"/>
                <w:szCs w:val="21"/>
                <w:lang w:bidi="ar"/>
              </w:rPr>
              <w:t>0</w:t>
            </w:r>
          </w:p>
        </w:tc>
        <w:tc>
          <w:tcPr>
            <w:tcW w:w="1588" w:type="dxa"/>
            <w:gridSpan w:val="2"/>
            <w:shd w:val="clear" w:color="auto" w:fill="FFFFFF"/>
            <w:vAlign w:val="center"/>
          </w:tcPr>
          <w:p w14:paraId="7B2E0DA7">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 xml:space="preserve">0.000008 </w:t>
            </w:r>
          </w:p>
        </w:tc>
        <w:tc>
          <w:tcPr>
            <w:tcW w:w="564" w:type="pct"/>
            <w:gridSpan w:val="2"/>
            <w:shd w:val="clear" w:color="auto" w:fill="FFFFFF"/>
            <w:vAlign w:val="center"/>
          </w:tcPr>
          <w:p w14:paraId="33D9D318">
            <w:pPr>
              <w:widowControl/>
              <w:jc w:val="center"/>
              <w:textAlignment w:val="center"/>
              <w:rPr>
                <w:color w:val="auto"/>
                <w:szCs w:val="21"/>
              </w:rPr>
            </w:pPr>
            <w:r>
              <w:rPr>
                <w:color w:val="auto"/>
                <w:kern w:val="0"/>
                <w:szCs w:val="21"/>
                <w:lang w:bidi="ar"/>
              </w:rPr>
              <w:t>0</w:t>
            </w:r>
          </w:p>
        </w:tc>
        <w:tc>
          <w:tcPr>
            <w:tcW w:w="2008" w:type="dxa"/>
            <w:gridSpan w:val="2"/>
            <w:shd w:val="clear" w:color="auto" w:fill="FFFFFF"/>
            <w:vAlign w:val="center"/>
          </w:tcPr>
          <w:p w14:paraId="5FA5E04F">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 xml:space="preserve">0.000008 </w:t>
            </w:r>
          </w:p>
        </w:tc>
        <w:tc>
          <w:tcPr>
            <w:tcW w:w="1589" w:type="dxa"/>
            <w:gridSpan w:val="2"/>
            <w:shd w:val="clear" w:color="auto" w:fill="FFFFFF"/>
            <w:vAlign w:val="center"/>
          </w:tcPr>
          <w:p w14:paraId="7ADBFB4A">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 xml:space="preserve">0.000008 </w:t>
            </w:r>
          </w:p>
        </w:tc>
      </w:tr>
      <w:tr w14:paraId="51D7F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52" w:type="pct"/>
            <w:vMerge w:val="continue"/>
            <w:shd w:val="clear" w:color="auto" w:fill="FFFFFF"/>
            <w:vAlign w:val="center"/>
          </w:tcPr>
          <w:p w14:paraId="72939DD7">
            <w:pPr>
              <w:jc w:val="center"/>
              <w:rPr>
                <w:rFonts w:ascii="宋体" w:hAnsi="宋体" w:cs="宋体"/>
                <w:color w:val="auto"/>
                <w:szCs w:val="21"/>
              </w:rPr>
            </w:pPr>
          </w:p>
        </w:tc>
        <w:tc>
          <w:tcPr>
            <w:tcW w:w="151" w:type="pct"/>
            <w:vMerge w:val="continue"/>
            <w:shd w:val="clear" w:color="auto" w:fill="FFFFFF"/>
            <w:vAlign w:val="center"/>
          </w:tcPr>
          <w:p w14:paraId="5310607F">
            <w:pPr>
              <w:jc w:val="center"/>
              <w:rPr>
                <w:rFonts w:ascii="宋体" w:hAnsi="宋体" w:cs="宋体"/>
                <w:color w:val="auto"/>
                <w:szCs w:val="21"/>
              </w:rPr>
            </w:pPr>
          </w:p>
        </w:tc>
        <w:tc>
          <w:tcPr>
            <w:tcW w:w="300" w:type="pct"/>
            <w:shd w:val="clear" w:color="auto" w:fill="FFFFFF"/>
            <w:vAlign w:val="center"/>
          </w:tcPr>
          <w:p w14:paraId="4CFD56A9">
            <w:pPr>
              <w:keepNext w:val="0"/>
              <w:keepLines w:val="0"/>
              <w:widowControl/>
              <w:suppressLineNumbers w:val="0"/>
              <w:jc w:val="center"/>
              <w:textAlignment w:val="center"/>
              <w:rPr>
                <w:rFonts w:ascii="宋体" w:hAnsi="宋体" w:cs="宋体"/>
                <w:color w:val="auto"/>
                <w:szCs w:val="21"/>
              </w:rPr>
            </w:pPr>
            <w:r>
              <w:rPr>
                <w:rFonts w:hint="default" w:ascii="Times New Roman" w:hAnsi="Times New Roman" w:eastAsia="宋体" w:cs="Times New Roman"/>
                <w:i w:val="0"/>
                <w:iCs w:val="0"/>
                <w:color w:val="auto"/>
                <w:kern w:val="0"/>
                <w:sz w:val="21"/>
                <w:szCs w:val="21"/>
                <w:u w:val="none"/>
                <w:lang w:val="en-US" w:eastAsia="zh-CN" w:bidi="ar"/>
              </w:rPr>
              <w:t>VOCs</w:t>
            </w:r>
            <w:r>
              <w:rPr>
                <w:rFonts w:hint="eastAsia" w:ascii="宋体" w:hAnsi="宋体" w:eastAsia="宋体" w:cs="宋体"/>
                <w:i w:val="0"/>
                <w:iCs w:val="0"/>
                <w:color w:val="auto"/>
                <w:kern w:val="0"/>
                <w:sz w:val="21"/>
                <w:szCs w:val="21"/>
                <w:u w:val="none"/>
                <w:lang w:val="en-US" w:eastAsia="zh-CN" w:bidi="ar"/>
              </w:rPr>
              <w:t>（以非甲烷总烃计）</w:t>
            </w:r>
          </w:p>
        </w:tc>
        <w:tc>
          <w:tcPr>
            <w:tcW w:w="713" w:type="pct"/>
            <w:gridSpan w:val="2"/>
            <w:shd w:val="clear" w:color="auto" w:fill="FFFFFF"/>
            <w:vAlign w:val="center"/>
          </w:tcPr>
          <w:p w14:paraId="38F4DCAA">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0.3021</w:t>
            </w:r>
          </w:p>
        </w:tc>
        <w:tc>
          <w:tcPr>
            <w:tcW w:w="2008" w:type="dxa"/>
            <w:gridSpan w:val="2"/>
            <w:shd w:val="clear" w:color="auto" w:fill="FFFFFF"/>
            <w:vAlign w:val="center"/>
          </w:tcPr>
          <w:p w14:paraId="255C5821">
            <w:pPr>
              <w:keepNext w:val="0"/>
              <w:keepLines w:val="0"/>
              <w:widowControl/>
              <w:suppressLineNumbers w:val="0"/>
              <w:jc w:val="center"/>
              <w:textAlignment w:val="center"/>
              <w:rPr>
                <w:color w:val="auto"/>
                <w:kern w:val="0"/>
                <w:szCs w:val="21"/>
                <w:lang w:bidi="ar"/>
              </w:rPr>
            </w:pPr>
            <w:r>
              <w:rPr>
                <w:rFonts w:hint="default" w:ascii="Times New Roman" w:hAnsi="Times New Roman" w:eastAsia="宋体" w:cs="Times New Roman"/>
                <w:i w:val="0"/>
                <w:iCs w:val="0"/>
                <w:color w:val="auto"/>
                <w:kern w:val="0"/>
                <w:sz w:val="21"/>
                <w:szCs w:val="21"/>
                <w:u w:val="none"/>
                <w:lang w:val="en-US" w:eastAsia="zh-CN" w:bidi="ar"/>
              </w:rPr>
              <w:t>0.3021</w:t>
            </w:r>
          </w:p>
        </w:tc>
        <w:tc>
          <w:tcPr>
            <w:tcW w:w="561" w:type="pct"/>
            <w:gridSpan w:val="2"/>
            <w:shd w:val="clear" w:color="auto" w:fill="FFFFFF"/>
            <w:vAlign w:val="center"/>
          </w:tcPr>
          <w:p w14:paraId="6C091D04">
            <w:pPr>
              <w:widowControl/>
              <w:jc w:val="center"/>
              <w:textAlignment w:val="center"/>
              <w:rPr>
                <w:color w:val="auto"/>
                <w:kern w:val="0"/>
                <w:szCs w:val="21"/>
                <w:lang w:bidi="ar"/>
              </w:rPr>
            </w:pPr>
            <w:r>
              <w:rPr>
                <w:color w:val="auto"/>
                <w:kern w:val="0"/>
                <w:szCs w:val="21"/>
                <w:lang w:bidi="ar"/>
              </w:rPr>
              <w:t>0</w:t>
            </w:r>
          </w:p>
        </w:tc>
        <w:tc>
          <w:tcPr>
            <w:tcW w:w="1588" w:type="dxa"/>
            <w:gridSpan w:val="2"/>
            <w:shd w:val="clear" w:color="auto" w:fill="FFFFFF"/>
            <w:vAlign w:val="center"/>
          </w:tcPr>
          <w:p w14:paraId="684E0A7A">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 xml:space="preserve">0.0029 </w:t>
            </w:r>
          </w:p>
        </w:tc>
        <w:tc>
          <w:tcPr>
            <w:tcW w:w="564" w:type="pct"/>
            <w:gridSpan w:val="2"/>
            <w:shd w:val="clear" w:color="auto" w:fill="FFFFFF"/>
            <w:vAlign w:val="center"/>
          </w:tcPr>
          <w:p w14:paraId="669B6613">
            <w:pPr>
              <w:widowControl/>
              <w:jc w:val="center"/>
              <w:textAlignment w:val="center"/>
              <w:rPr>
                <w:color w:val="auto"/>
                <w:szCs w:val="21"/>
              </w:rPr>
            </w:pPr>
            <w:r>
              <w:rPr>
                <w:color w:val="auto"/>
                <w:kern w:val="0"/>
                <w:szCs w:val="21"/>
                <w:lang w:bidi="ar"/>
              </w:rPr>
              <w:t>0</w:t>
            </w:r>
          </w:p>
        </w:tc>
        <w:tc>
          <w:tcPr>
            <w:tcW w:w="2008" w:type="dxa"/>
            <w:gridSpan w:val="2"/>
            <w:shd w:val="clear" w:color="auto" w:fill="FFFFFF"/>
            <w:vAlign w:val="center"/>
          </w:tcPr>
          <w:p w14:paraId="380CA2BF">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 xml:space="preserve">0.3050 </w:t>
            </w:r>
          </w:p>
        </w:tc>
        <w:tc>
          <w:tcPr>
            <w:tcW w:w="1589" w:type="dxa"/>
            <w:gridSpan w:val="2"/>
            <w:shd w:val="clear" w:color="auto" w:fill="FFFFFF"/>
            <w:vAlign w:val="center"/>
          </w:tcPr>
          <w:p w14:paraId="51AA15D0">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 xml:space="preserve">0.0029 </w:t>
            </w:r>
          </w:p>
        </w:tc>
      </w:tr>
      <w:tr w14:paraId="47CC4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52" w:type="pct"/>
            <w:vMerge w:val="continue"/>
            <w:shd w:val="clear" w:color="auto" w:fill="FFFFFF"/>
            <w:vAlign w:val="center"/>
          </w:tcPr>
          <w:p w14:paraId="52457CC1">
            <w:pPr>
              <w:jc w:val="center"/>
              <w:rPr>
                <w:rFonts w:ascii="宋体" w:hAnsi="宋体" w:cs="宋体"/>
                <w:color w:val="auto"/>
                <w:szCs w:val="21"/>
              </w:rPr>
            </w:pPr>
          </w:p>
        </w:tc>
        <w:tc>
          <w:tcPr>
            <w:tcW w:w="151" w:type="pct"/>
            <w:vMerge w:val="continue"/>
            <w:shd w:val="clear" w:color="auto" w:fill="FFFFFF"/>
            <w:vAlign w:val="center"/>
          </w:tcPr>
          <w:p w14:paraId="17D14D7C">
            <w:pPr>
              <w:jc w:val="center"/>
              <w:rPr>
                <w:rFonts w:ascii="宋体" w:hAnsi="宋体" w:cs="宋体"/>
                <w:color w:val="auto"/>
                <w:szCs w:val="21"/>
              </w:rPr>
            </w:pPr>
          </w:p>
        </w:tc>
        <w:tc>
          <w:tcPr>
            <w:tcW w:w="300" w:type="pct"/>
            <w:shd w:val="clear" w:color="auto" w:fill="FFFFFF"/>
            <w:vAlign w:val="center"/>
          </w:tcPr>
          <w:p w14:paraId="578BD4E4">
            <w:pPr>
              <w:keepNext w:val="0"/>
              <w:keepLines w:val="0"/>
              <w:widowControl/>
              <w:suppressLineNumbers w:val="0"/>
              <w:jc w:val="center"/>
              <w:textAlignment w:val="center"/>
              <w:rPr>
                <w:color w:val="auto"/>
                <w:szCs w:val="21"/>
              </w:rPr>
            </w:pPr>
            <w:r>
              <w:rPr>
                <w:rFonts w:hint="eastAsia" w:ascii="宋体" w:hAnsi="宋体" w:eastAsia="宋体" w:cs="宋体"/>
                <w:i w:val="0"/>
                <w:iCs w:val="0"/>
                <w:color w:val="auto"/>
                <w:kern w:val="0"/>
                <w:sz w:val="21"/>
                <w:szCs w:val="21"/>
                <w:u w:val="none"/>
                <w:lang w:val="en-US" w:eastAsia="zh-CN" w:bidi="ar"/>
              </w:rPr>
              <w:t>油烟</w:t>
            </w:r>
          </w:p>
        </w:tc>
        <w:tc>
          <w:tcPr>
            <w:tcW w:w="713" w:type="pct"/>
            <w:gridSpan w:val="2"/>
            <w:shd w:val="clear" w:color="auto" w:fill="FFFFFF"/>
            <w:vAlign w:val="center"/>
          </w:tcPr>
          <w:p w14:paraId="6EF0AC85">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0.0055</w:t>
            </w:r>
          </w:p>
        </w:tc>
        <w:tc>
          <w:tcPr>
            <w:tcW w:w="2008" w:type="dxa"/>
            <w:gridSpan w:val="2"/>
            <w:shd w:val="clear" w:color="auto" w:fill="FFFFFF"/>
            <w:vAlign w:val="center"/>
          </w:tcPr>
          <w:p w14:paraId="407CA31F">
            <w:pPr>
              <w:keepNext w:val="0"/>
              <w:keepLines w:val="0"/>
              <w:widowControl/>
              <w:suppressLineNumbers w:val="0"/>
              <w:jc w:val="center"/>
              <w:textAlignment w:val="center"/>
              <w:rPr>
                <w:color w:val="auto"/>
                <w:kern w:val="0"/>
                <w:szCs w:val="21"/>
                <w:lang w:bidi="ar"/>
              </w:rPr>
            </w:pPr>
            <w:r>
              <w:rPr>
                <w:rFonts w:hint="default" w:ascii="Times New Roman" w:hAnsi="Times New Roman" w:eastAsia="宋体" w:cs="Times New Roman"/>
                <w:i w:val="0"/>
                <w:iCs w:val="0"/>
                <w:color w:val="auto"/>
                <w:kern w:val="0"/>
                <w:sz w:val="21"/>
                <w:szCs w:val="21"/>
                <w:u w:val="none"/>
                <w:lang w:val="en-US" w:eastAsia="zh-CN" w:bidi="ar"/>
              </w:rPr>
              <w:t>0.0055</w:t>
            </w:r>
          </w:p>
        </w:tc>
        <w:tc>
          <w:tcPr>
            <w:tcW w:w="561" w:type="pct"/>
            <w:gridSpan w:val="2"/>
            <w:shd w:val="clear" w:color="auto" w:fill="FFFFFF"/>
            <w:vAlign w:val="center"/>
          </w:tcPr>
          <w:p w14:paraId="2E4C77C3">
            <w:pPr>
              <w:widowControl/>
              <w:jc w:val="center"/>
              <w:textAlignment w:val="center"/>
              <w:rPr>
                <w:color w:val="auto"/>
                <w:kern w:val="0"/>
                <w:szCs w:val="21"/>
                <w:lang w:bidi="ar"/>
              </w:rPr>
            </w:pPr>
            <w:r>
              <w:rPr>
                <w:color w:val="auto"/>
                <w:kern w:val="0"/>
                <w:szCs w:val="21"/>
                <w:lang w:bidi="ar"/>
              </w:rPr>
              <w:t>0</w:t>
            </w:r>
          </w:p>
        </w:tc>
        <w:tc>
          <w:tcPr>
            <w:tcW w:w="1588" w:type="dxa"/>
            <w:gridSpan w:val="2"/>
            <w:shd w:val="clear" w:color="auto" w:fill="FFFFFF"/>
            <w:vAlign w:val="center"/>
          </w:tcPr>
          <w:p w14:paraId="13516A2E">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0</w:t>
            </w:r>
          </w:p>
        </w:tc>
        <w:tc>
          <w:tcPr>
            <w:tcW w:w="564" w:type="pct"/>
            <w:gridSpan w:val="2"/>
            <w:shd w:val="clear" w:color="auto" w:fill="FFFFFF"/>
            <w:vAlign w:val="center"/>
          </w:tcPr>
          <w:p w14:paraId="1E7A8AB9">
            <w:pPr>
              <w:widowControl/>
              <w:jc w:val="center"/>
              <w:textAlignment w:val="center"/>
              <w:rPr>
                <w:color w:val="auto"/>
                <w:szCs w:val="21"/>
              </w:rPr>
            </w:pPr>
            <w:r>
              <w:rPr>
                <w:color w:val="auto"/>
                <w:kern w:val="0"/>
                <w:szCs w:val="21"/>
                <w:lang w:bidi="ar"/>
              </w:rPr>
              <w:t>0</w:t>
            </w:r>
          </w:p>
        </w:tc>
        <w:tc>
          <w:tcPr>
            <w:tcW w:w="2008" w:type="dxa"/>
            <w:gridSpan w:val="2"/>
            <w:shd w:val="clear" w:color="auto" w:fill="FFFFFF"/>
            <w:vAlign w:val="center"/>
          </w:tcPr>
          <w:p w14:paraId="765A7690">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0.0055</w:t>
            </w:r>
          </w:p>
        </w:tc>
        <w:tc>
          <w:tcPr>
            <w:tcW w:w="1589" w:type="dxa"/>
            <w:gridSpan w:val="2"/>
            <w:shd w:val="clear" w:color="auto" w:fill="FFFFFF"/>
            <w:vAlign w:val="center"/>
          </w:tcPr>
          <w:p w14:paraId="43D75B08">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0</w:t>
            </w:r>
          </w:p>
        </w:tc>
      </w:tr>
      <w:tr w14:paraId="40005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04" w:type="pct"/>
            <w:gridSpan w:val="2"/>
            <w:vMerge w:val="restart"/>
            <w:shd w:val="clear" w:color="auto" w:fill="FFFFFF"/>
            <w:vAlign w:val="center"/>
          </w:tcPr>
          <w:p w14:paraId="64542631">
            <w:pPr>
              <w:widowControl/>
              <w:jc w:val="center"/>
              <w:textAlignment w:val="center"/>
              <w:rPr>
                <w:rFonts w:ascii="宋体" w:hAnsi="宋体" w:cs="宋体"/>
                <w:color w:val="auto"/>
                <w:szCs w:val="21"/>
              </w:rPr>
            </w:pPr>
            <w:r>
              <w:rPr>
                <w:rFonts w:hint="eastAsia" w:ascii="宋体" w:hAnsi="宋体" w:cs="宋体"/>
                <w:color w:val="auto"/>
                <w:kern w:val="0"/>
                <w:szCs w:val="21"/>
                <w:lang w:bidi="ar"/>
              </w:rPr>
              <w:t>生产污水</w:t>
            </w:r>
          </w:p>
        </w:tc>
        <w:tc>
          <w:tcPr>
            <w:tcW w:w="300" w:type="pct"/>
            <w:shd w:val="clear" w:color="auto" w:fill="FFFFFF"/>
            <w:noWrap/>
            <w:vAlign w:val="center"/>
          </w:tcPr>
          <w:p w14:paraId="15B0451C">
            <w:pPr>
              <w:widowControl/>
              <w:jc w:val="left"/>
              <w:textAlignment w:val="center"/>
              <w:rPr>
                <w:rFonts w:ascii="宋体" w:hAnsi="宋体" w:cs="宋体"/>
                <w:color w:val="auto"/>
                <w:szCs w:val="21"/>
              </w:rPr>
            </w:pPr>
            <w:r>
              <w:rPr>
                <w:rFonts w:hint="eastAsia" w:ascii="宋体" w:hAnsi="宋体" w:cs="宋体"/>
                <w:color w:val="auto"/>
                <w:kern w:val="0"/>
                <w:szCs w:val="21"/>
                <w:lang w:bidi="ar"/>
              </w:rPr>
              <w:t>水量</w:t>
            </w:r>
          </w:p>
        </w:tc>
        <w:tc>
          <w:tcPr>
            <w:tcW w:w="356" w:type="pct"/>
            <w:shd w:val="clear" w:color="auto" w:fill="FFFFFF"/>
            <w:noWrap/>
            <w:vAlign w:val="center"/>
          </w:tcPr>
          <w:p w14:paraId="5EC74E5B">
            <w:pPr>
              <w:widowControl/>
              <w:jc w:val="center"/>
              <w:textAlignment w:val="center"/>
              <w:rPr>
                <w:color w:val="auto"/>
                <w:szCs w:val="21"/>
              </w:rPr>
            </w:pPr>
            <w:r>
              <w:rPr>
                <w:color w:val="auto"/>
                <w:kern w:val="0"/>
                <w:szCs w:val="21"/>
                <w:lang w:bidi="ar"/>
              </w:rPr>
              <w:t>40297</w:t>
            </w:r>
          </w:p>
        </w:tc>
        <w:tc>
          <w:tcPr>
            <w:tcW w:w="356" w:type="pct"/>
            <w:shd w:val="clear" w:color="auto" w:fill="FFFFFF"/>
            <w:noWrap/>
            <w:vAlign w:val="center"/>
          </w:tcPr>
          <w:p w14:paraId="19A5C09B">
            <w:pPr>
              <w:widowControl/>
              <w:jc w:val="center"/>
              <w:textAlignment w:val="center"/>
              <w:rPr>
                <w:color w:val="auto"/>
                <w:szCs w:val="21"/>
              </w:rPr>
            </w:pPr>
            <w:r>
              <w:rPr>
                <w:color w:val="auto"/>
                <w:kern w:val="0"/>
                <w:szCs w:val="21"/>
                <w:lang w:bidi="ar"/>
              </w:rPr>
              <w:t>12089.1</w:t>
            </w:r>
          </w:p>
        </w:tc>
        <w:tc>
          <w:tcPr>
            <w:tcW w:w="356" w:type="pct"/>
            <w:shd w:val="clear" w:color="auto" w:fill="FFFFFF"/>
            <w:noWrap/>
            <w:vAlign w:val="center"/>
          </w:tcPr>
          <w:p w14:paraId="6BA73C70">
            <w:pPr>
              <w:widowControl/>
              <w:jc w:val="center"/>
              <w:textAlignment w:val="center"/>
              <w:rPr>
                <w:color w:val="auto"/>
                <w:kern w:val="0"/>
                <w:szCs w:val="21"/>
                <w:lang w:bidi="ar"/>
              </w:rPr>
            </w:pPr>
            <w:r>
              <w:rPr>
                <w:color w:val="auto"/>
                <w:kern w:val="0"/>
                <w:szCs w:val="21"/>
                <w:lang w:bidi="ar"/>
              </w:rPr>
              <w:t>40297</w:t>
            </w:r>
          </w:p>
        </w:tc>
        <w:tc>
          <w:tcPr>
            <w:tcW w:w="356" w:type="pct"/>
            <w:shd w:val="clear" w:color="auto" w:fill="FFFFFF"/>
            <w:noWrap/>
            <w:vAlign w:val="center"/>
          </w:tcPr>
          <w:p w14:paraId="342F70BA">
            <w:pPr>
              <w:widowControl/>
              <w:jc w:val="center"/>
              <w:textAlignment w:val="center"/>
              <w:rPr>
                <w:color w:val="auto"/>
              </w:rPr>
            </w:pPr>
            <w:r>
              <w:rPr>
                <w:color w:val="auto"/>
                <w:kern w:val="0"/>
                <w:szCs w:val="21"/>
                <w:lang w:bidi="ar"/>
              </w:rPr>
              <w:t>12089.1</w:t>
            </w:r>
          </w:p>
        </w:tc>
        <w:tc>
          <w:tcPr>
            <w:tcW w:w="280" w:type="pct"/>
            <w:shd w:val="clear" w:color="auto" w:fill="FFFFFF"/>
            <w:noWrap/>
            <w:vAlign w:val="center"/>
          </w:tcPr>
          <w:p w14:paraId="6D5B5791">
            <w:pPr>
              <w:widowControl/>
              <w:jc w:val="center"/>
              <w:textAlignment w:val="center"/>
              <w:rPr>
                <w:color w:val="auto"/>
                <w:kern w:val="0"/>
                <w:szCs w:val="21"/>
                <w:lang w:bidi="ar"/>
              </w:rPr>
            </w:pPr>
            <w:r>
              <w:rPr>
                <w:color w:val="auto"/>
                <w:kern w:val="0"/>
                <w:szCs w:val="21"/>
                <w:lang w:bidi="ar"/>
              </w:rPr>
              <w:t>0</w:t>
            </w:r>
          </w:p>
        </w:tc>
        <w:tc>
          <w:tcPr>
            <w:tcW w:w="280" w:type="pct"/>
            <w:shd w:val="clear" w:color="auto" w:fill="FFFFFF"/>
            <w:noWrap/>
            <w:vAlign w:val="center"/>
          </w:tcPr>
          <w:p w14:paraId="61702FF8">
            <w:pPr>
              <w:widowControl/>
              <w:jc w:val="center"/>
              <w:textAlignment w:val="center"/>
              <w:rPr>
                <w:color w:val="auto"/>
              </w:rPr>
            </w:pPr>
            <w:r>
              <w:rPr>
                <w:color w:val="auto"/>
                <w:kern w:val="0"/>
                <w:szCs w:val="21"/>
                <w:lang w:bidi="ar"/>
              </w:rPr>
              <w:t>0</w:t>
            </w:r>
          </w:p>
        </w:tc>
        <w:tc>
          <w:tcPr>
            <w:tcW w:w="794" w:type="dxa"/>
            <w:shd w:val="clear" w:color="auto" w:fill="FFFFFF"/>
            <w:noWrap/>
            <w:vAlign w:val="center"/>
          </w:tcPr>
          <w:p w14:paraId="11CD0326">
            <w:pPr>
              <w:widowControl/>
              <w:jc w:val="center"/>
              <w:textAlignment w:val="center"/>
              <w:rPr>
                <w:color w:val="auto"/>
                <w:szCs w:val="21"/>
              </w:rPr>
            </w:pPr>
            <w:r>
              <w:rPr>
                <w:color w:val="auto"/>
                <w:kern w:val="0"/>
                <w:szCs w:val="21"/>
                <w:lang w:bidi="ar"/>
              </w:rPr>
              <w:t>1768.9</w:t>
            </w:r>
          </w:p>
        </w:tc>
        <w:tc>
          <w:tcPr>
            <w:tcW w:w="794" w:type="dxa"/>
            <w:shd w:val="clear" w:color="auto" w:fill="FFFFFF"/>
            <w:vAlign w:val="center"/>
          </w:tcPr>
          <w:p w14:paraId="141AD56C">
            <w:pPr>
              <w:widowControl/>
              <w:jc w:val="center"/>
              <w:textAlignment w:val="center"/>
              <w:rPr>
                <w:color w:val="auto"/>
                <w:szCs w:val="21"/>
              </w:rPr>
            </w:pPr>
            <w:r>
              <w:rPr>
                <w:color w:val="auto"/>
                <w:kern w:val="0"/>
                <w:szCs w:val="21"/>
                <w:lang w:bidi="ar"/>
              </w:rPr>
              <w:t>530.67</w:t>
            </w:r>
          </w:p>
        </w:tc>
        <w:tc>
          <w:tcPr>
            <w:tcW w:w="282" w:type="pct"/>
            <w:shd w:val="clear" w:color="auto" w:fill="FFFFFF"/>
            <w:noWrap/>
            <w:vAlign w:val="center"/>
          </w:tcPr>
          <w:p w14:paraId="260E5B53">
            <w:pPr>
              <w:widowControl/>
              <w:jc w:val="center"/>
              <w:textAlignment w:val="center"/>
              <w:rPr>
                <w:color w:val="auto"/>
                <w:szCs w:val="21"/>
              </w:rPr>
            </w:pPr>
            <w:r>
              <w:rPr>
                <w:color w:val="auto"/>
                <w:kern w:val="0"/>
                <w:szCs w:val="21"/>
                <w:lang w:bidi="ar"/>
              </w:rPr>
              <w:t>1768.9</w:t>
            </w:r>
          </w:p>
        </w:tc>
        <w:tc>
          <w:tcPr>
            <w:tcW w:w="282" w:type="pct"/>
            <w:shd w:val="clear" w:color="auto" w:fill="FFFFFF"/>
            <w:noWrap/>
            <w:vAlign w:val="center"/>
          </w:tcPr>
          <w:p w14:paraId="51C554B9">
            <w:pPr>
              <w:widowControl/>
              <w:jc w:val="center"/>
              <w:textAlignment w:val="center"/>
              <w:rPr>
                <w:color w:val="auto"/>
                <w:szCs w:val="21"/>
              </w:rPr>
            </w:pPr>
            <w:r>
              <w:rPr>
                <w:color w:val="auto"/>
                <w:kern w:val="0"/>
                <w:szCs w:val="21"/>
                <w:lang w:bidi="ar"/>
              </w:rPr>
              <w:t>530.67</w:t>
            </w:r>
          </w:p>
        </w:tc>
        <w:tc>
          <w:tcPr>
            <w:tcW w:w="1004" w:type="dxa"/>
            <w:shd w:val="clear" w:color="auto" w:fill="FFFFFF"/>
            <w:noWrap/>
            <w:vAlign w:val="center"/>
          </w:tcPr>
          <w:p w14:paraId="3400D1F2">
            <w:pPr>
              <w:widowControl/>
              <w:jc w:val="center"/>
              <w:textAlignment w:val="center"/>
              <w:rPr>
                <w:color w:val="auto"/>
                <w:szCs w:val="21"/>
              </w:rPr>
            </w:pPr>
            <w:r>
              <w:rPr>
                <w:color w:val="auto"/>
                <w:kern w:val="0"/>
                <w:szCs w:val="21"/>
                <w:lang w:bidi="ar"/>
              </w:rPr>
              <w:t>40297</w:t>
            </w:r>
          </w:p>
        </w:tc>
        <w:tc>
          <w:tcPr>
            <w:tcW w:w="1004" w:type="dxa"/>
            <w:shd w:val="clear" w:color="auto" w:fill="FFFFFF"/>
            <w:noWrap/>
            <w:vAlign w:val="center"/>
          </w:tcPr>
          <w:p w14:paraId="705449DA">
            <w:pPr>
              <w:widowControl/>
              <w:jc w:val="center"/>
              <w:textAlignment w:val="center"/>
              <w:rPr>
                <w:color w:val="auto"/>
                <w:szCs w:val="21"/>
              </w:rPr>
            </w:pPr>
            <w:r>
              <w:rPr>
                <w:color w:val="auto"/>
                <w:kern w:val="0"/>
                <w:szCs w:val="21"/>
                <w:lang w:bidi="ar"/>
              </w:rPr>
              <w:t>12089.1</w:t>
            </w:r>
          </w:p>
        </w:tc>
        <w:tc>
          <w:tcPr>
            <w:tcW w:w="282" w:type="pct"/>
            <w:shd w:val="clear" w:color="auto" w:fill="FFFFFF"/>
            <w:noWrap/>
            <w:vAlign w:val="center"/>
          </w:tcPr>
          <w:p w14:paraId="5617B33C">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23AE89FD">
            <w:pPr>
              <w:widowControl/>
              <w:jc w:val="center"/>
              <w:textAlignment w:val="center"/>
              <w:rPr>
                <w:color w:val="auto"/>
                <w:szCs w:val="21"/>
              </w:rPr>
            </w:pPr>
            <w:r>
              <w:rPr>
                <w:color w:val="auto"/>
                <w:kern w:val="0"/>
                <w:szCs w:val="21"/>
                <w:lang w:bidi="ar"/>
              </w:rPr>
              <w:t>0</w:t>
            </w:r>
          </w:p>
        </w:tc>
      </w:tr>
      <w:tr w14:paraId="127C6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04" w:type="pct"/>
            <w:gridSpan w:val="2"/>
            <w:vMerge w:val="continue"/>
            <w:shd w:val="clear" w:color="auto" w:fill="FFFFFF"/>
            <w:vAlign w:val="center"/>
          </w:tcPr>
          <w:p w14:paraId="7579D822">
            <w:pPr>
              <w:jc w:val="center"/>
              <w:rPr>
                <w:rFonts w:ascii="宋体" w:hAnsi="宋体" w:cs="宋体"/>
                <w:color w:val="auto"/>
                <w:szCs w:val="21"/>
              </w:rPr>
            </w:pPr>
          </w:p>
        </w:tc>
        <w:tc>
          <w:tcPr>
            <w:tcW w:w="300" w:type="pct"/>
            <w:shd w:val="clear" w:color="auto" w:fill="FFFFFF"/>
            <w:noWrap/>
            <w:vAlign w:val="center"/>
          </w:tcPr>
          <w:p w14:paraId="7F340719">
            <w:pPr>
              <w:widowControl/>
              <w:jc w:val="left"/>
              <w:textAlignment w:val="center"/>
              <w:rPr>
                <w:color w:val="auto"/>
                <w:szCs w:val="21"/>
              </w:rPr>
            </w:pPr>
            <w:r>
              <w:rPr>
                <w:color w:val="auto"/>
                <w:kern w:val="0"/>
                <w:szCs w:val="21"/>
                <w:lang w:bidi="ar"/>
              </w:rPr>
              <w:t>COD</w:t>
            </w:r>
          </w:p>
        </w:tc>
        <w:tc>
          <w:tcPr>
            <w:tcW w:w="356" w:type="pct"/>
            <w:shd w:val="clear" w:color="auto" w:fill="FFFFFF"/>
            <w:noWrap/>
            <w:vAlign w:val="center"/>
          </w:tcPr>
          <w:p w14:paraId="7DC996E1">
            <w:pPr>
              <w:widowControl/>
              <w:jc w:val="center"/>
              <w:textAlignment w:val="center"/>
              <w:rPr>
                <w:color w:val="auto"/>
                <w:szCs w:val="21"/>
              </w:rPr>
            </w:pPr>
            <w:r>
              <w:rPr>
                <w:color w:val="auto"/>
                <w:kern w:val="0"/>
                <w:szCs w:val="21"/>
                <w:lang w:bidi="ar"/>
              </w:rPr>
              <w:t>8.164</w:t>
            </w:r>
          </w:p>
        </w:tc>
        <w:tc>
          <w:tcPr>
            <w:tcW w:w="356" w:type="pct"/>
            <w:shd w:val="clear" w:color="auto" w:fill="FFFFFF"/>
            <w:noWrap/>
            <w:vAlign w:val="center"/>
          </w:tcPr>
          <w:p w14:paraId="5020ABC7">
            <w:pPr>
              <w:widowControl/>
              <w:jc w:val="center"/>
              <w:textAlignment w:val="center"/>
              <w:rPr>
                <w:color w:val="auto"/>
                <w:szCs w:val="21"/>
              </w:rPr>
            </w:pPr>
            <w:r>
              <w:rPr>
                <w:color w:val="auto"/>
                <w:kern w:val="0"/>
                <w:szCs w:val="21"/>
                <w:lang w:bidi="ar"/>
              </w:rPr>
              <w:t>0.4836</w:t>
            </w:r>
          </w:p>
        </w:tc>
        <w:tc>
          <w:tcPr>
            <w:tcW w:w="356" w:type="pct"/>
            <w:shd w:val="clear" w:color="auto" w:fill="FFFFFF"/>
            <w:noWrap/>
            <w:vAlign w:val="center"/>
          </w:tcPr>
          <w:p w14:paraId="12E154F7">
            <w:pPr>
              <w:widowControl/>
              <w:jc w:val="center"/>
              <w:textAlignment w:val="center"/>
              <w:rPr>
                <w:color w:val="auto"/>
                <w:kern w:val="0"/>
                <w:szCs w:val="21"/>
                <w:lang w:bidi="ar"/>
              </w:rPr>
            </w:pPr>
            <w:r>
              <w:rPr>
                <w:color w:val="auto"/>
                <w:kern w:val="0"/>
                <w:szCs w:val="21"/>
                <w:lang w:bidi="ar"/>
              </w:rPr>
              <w:t>8.164</w:t>
            </w:r>
          </w:p>
        </w:tc>
        <w:tc>
          <w:tcPr>
            <w:tcW w:w="356" w:type="pct"/>
            <w:shd w:val="clear" w:color="auto" w:fill="FFFFFF"/>
            <w:noWrap/>
            <w:vAlign w:val="center"/>
          </w:tcPr>
          <w:p w14:paraId="2A4AB621">
            <w:pPr>
              <w:widowControl/>
              <w:jc w:val="center"/>
              <w:textAlignment w:val="center"/>
              <w:rPr>
                <w:color w:val="auto"/>
              </w:rPr>
            </w:pPr>
            <w:r>
              <w:rPr>
                <w:color w:val="auto"/>
                <w:kern w:val="0"/>
                <w:szCs w:val="21"/>
                <w:lang w:bidi="ar"/>
              </w:rPr>
              <w:t>0.4836</w:t>
            </w:r>
          </w:p>
        </w:tc>
        <w:tc>
          <w:tcPr>
            <w:tcW w:w="280" w:type="pct"/>
            <w:shd w:val="clear" w:color="auto" w:fill="FFFFFF"/>
            <w:noWrap/>
            <w:vAlign w:val="center"/>
          </w:tcPr>
          <w:p w14:paraId="4775DA6A">
            <w:pPr>
              <w:widowControl/>
              <w:jc w:val="center"/>
              <w:textAlignment w:val="center"/>
              <w:rPr>
                <w:color w:val="auto"/>
                <w:kern w:val="0"/>
                <w:szCs w:val="21"/>
                <w:lang w:bidi="ar"/>
              </w:rPr>
            </w:pPr>
            <w:r>
              <w:rPr>
                <w:color w:val="auto"/>
                <w:kern w:val="0"/>
                <w:szCs w:val="21"/>
                <w:lang w:bidi="ar"/>
              </w:rPr>
              <w:t>0</w:t>
            </w:r>
          </w:p>
        </w:tc>
        <w:tc>
          <w:tcPr>
            <w:tcW w:w="280" w:type="pct"/>
            <w:shd w:val="clear" w:color="auto" w:fill="FFFFFF"/>
            <w:noWrap/>
            <w:vAlign w:val="center"/>
          </w:tcPr>
          <w:p w14:paraId="7A091724">
            <w:pPr>
              <w:widowControl/>
              <w:jc w:val="center"/>
              <w:textAlignment w:val="center"/>
              <w:rPr>
                <w:color w:val="auto"/>
              </w:rPr>
            </w:pPr>
            <w:r>
              <w:rPr>
                <w:color w:val="auto"/>
                <w:kern w:val="0"/>
                <w:szCs w:val="21"/>
                <w:lang w:bidi="ar"/>
              </w:rPr>
              <w:t>0</w:t>
            </w:r>
          </w:p>
        </w:tc>
        <w:tc>
          <w:tcPr>
            <w:tcW w:w="794" w:type="dxa"/>
            <w:shd w:val="clear" w:color="auto" w:fill="FFFFFF"/>
            <w:noWrap/>
            <w:vAlign w:val="center"/>
          </w:tcPr>
          <w:p w14:paraId="796300FA">
            <w:pPr>
              <w:widowControl/>
              <w:jc w:val="center"/>
              <w:textAlignment w:val="center"/>
              <w:rPr>
                <w:color w:val="auto"/>
                <w:szCs w:val="21"/>
              </w:rPr>
            </w:pPr>
            <w:r>
              <w:rPr>
                <w:color w:val="auto"/>
                <w:kern w:val="0"/>
                <w:szCs w:val="21"/>
                <w:lang w:bidi="ar"/>
              </w:rPr>
              <w:t xml:space="preserve">0.3538 </w:t>
            </w:r>
          </w:p>
        </w:tc>
        <w:tc>
          <w:tcPr>
            <w:tcW w:w="794" w:type="dxa"/>
            <w:shd w:val="clear" w:color="auto" w:fill="FFFFFF"/>
            <w:vAlign w:val="center"/>
          </w:tcPr>
          <w:p w14:paraId="0CF0ECBD">
            <w:pPr>
              <w:widowControl/>
              <w:jc w:val="center"/>
              <w:textAlignment w:val="center"/>
              <w:rPr>
                <w:color w:val="auto"/>
                <w:szCs w:val="21"/>
              </w:rPr>
            </w:pPr>
            <w:r>
              <w:rPr>
                <w:color w:val="auto"/>
                <w:kern w:val="0"/>
                <w:szCs w:val="21"/>
                <w:lang w:bidi="ar"/>
              </w:rPr>
              <w:t xml:space="preserve">0.0212 </w:t>
            </w:r>
          </w:p>
        </w:tc>
        <w:tc>
          <w:tcPr>
            <w:tcW w:w="282" w:type="pct"/>
            <w:shd w:val="clear" w:color="auto" w:fill="FFFFFF"/>
            <w:noWrap/>
            <w:vAlign w:val="center"/>
          </w:tcPr>
          <w:p w14:paraId="643696BC">
            <w:pPr>
              <w:widowControl/>
              <w:jc w:val="center"/>
              <w:textAlignment w:val="center"/>
              <w:rPr>
                <w:color w:val="auto"/>
                <w:szCs w:val="21"/>
              </w:rPr>
            </w:pPr>
            <w:r>
              <w:rPr>
                <w:color w:val="auto"/>
                <w:kern w:val="0"/>
                <w:szCs w:val="21"/>
                <w:lang w:bidi="ar"/>
              </w:rPr>
              <w:t xml:space="preserve">0.3538 </w:t>
            </w:r>
          </w:p>
        </w:tc>
        <w:tc>
          <w:tcPr>
            <w:tcW w:w="282" w:type="pct"/>
            <w:shd w:val="clear" w:color="auto" w:fill="FFFFFF"/>
            <w:noWrap/>
            <w:vAlign w:val="center"/>
          </w:tcPr>
          <w:p w14:paraId="32028742">
            <w:pPr>
              <w:widowControl/>
              <w:jc w:val="center"/>
              <w:textAlignment w:val="center"/>
              <w:rPr>
                <w:color w:val="auto"/>
                <w:szCs w:val="21"/>
              </w:rPr>
            </w:pPr>
            <w:r>
              <w:rPr>
                <w:color w:val="auto"/>
                <w:kern w:val="0"/>
                <w:szCs w:val="21"/>
                <w:lang w:bidi="ar"/>
              </w:rPr>
              <w:t xml:space="preserve">0.0212 </w:t>
            </w:r>
          </w:p>
        </w:tc>
        <w:tc>
          <w:tcPr>
            <w:tcW w:w="1004" w:type="dxa"/>
            <w:shd w:val="clear" w:color="auto" w:fill="FFFFFF"/>
            <w:noWrap/>
            <w:vAlign w:val="center"/>
          </w:tcPr>
          <w:p w14:paraId="04CBCB9B">
            <w:pPr>
              <w:widowControl/>
              <w:jc w:val="center"/>
              <w:textAlignment w:val="center"/>
              <w:rPr>
                <w:color w:val="auto"/>
                <w:szCs w:val="21"/>
              </w:rPr>
            </w:pPr>
            <w:r>
              <w:rPr>
                <w:color w:val="auto"/>
                <w:kern w:val="0"/>
                <w:szCs w:val="21"/>
                <w:lang w:bidi="ar"/>
              </w:rPr>
              <w:t>8.164</w:t>
            </w:r>
          </w:p>
        </w:tc>
        <w:tc>
          <w:tcPr>
            <w:tcW w:w="1004" w:type="dxa"/>
            <w:shd w:val="clear" w:color="auto" w:fill="FFFFFF"/>
            <w:noWrap/>
            <w:vAlign w:val="center"/>
          </w:tcPr>
          <w:p w14:paraId="74FAD682">
            <w:pPr>
              <w:widowControl/>
              <w:jc w:val="center"/>
              <w:textAlignment w:val="center"/>
              <w:rPr>
                <w:color w:val="auto"/>
                <w:szCs w:val="21"/>
              </w:rPr>
            </w:pPr>
            <w:r>
              <w:rPr>
                <w:color w:val="auto"/>
                <w:kern w:val="0"/>
                <w:szCs w:val="21"/>
                <w:lang w:bidi="ar"/>
              </w:rPr>
              <w:t>0.4836</w:t>
            </w:r>
          </w:p>
        </w:tc>
        <w:tc>
          <w:tcPr>
            <w:tcW w:w="282" w:type="pct"/>
            <w:shd w:val="clear" w:color="auto" w:fill="FFFFFF"/>
            <w:noWrap/>
            <w:vAlign w:val="center"/>
          </w:tcPr>
          <w:p w14:paraId="5FD6A6F7">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7354DBBE">
            <w:pPr>
              <w:widowControl/>
              <w:jc w:val="center"/>
              <w:textAlignment w:val="center"/>
              <w:rPr>
                <w:color w:val="auto"/>
                <w:szCs w:val="21"/>
              </w:rPr>
            </w:pPr>
            <w:r>
              <w:rPr>
                <w:color w:val="auto"/>
                <w:kern w:val="0"/>
                <w:szCs w:val="21"/>
                <w:lang w:bidi="ar"/>
              </w:rPr>
              <w:t>0</w:t>
            </w:r>
          </w:p>
        </w:tc>
      </w:tr>
      <w:tr w14:paraId="7C79E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04" w:type="pct"/>
            <w:gridSpan w:val="2"/>
            <w:vMerge w:val="continue"/>
            <w:shd w:val="clear" w:color="auto" w:fill="FFFFFF"/>
            <w:vAlign w:val="center"/>
          </w:tcPr>
          <w:p w14:paraId="5468B2AE">
            <w:pPr>
              <w:jc w:val="center"/>
              <w:rPr>
                <w:rFonts w:ascii="宋体" w:hAnsi="宋体" w:cs="宋体"/>
                <w:color w:val="auto"/>
                <w:szCs w:val="21"/>
              </w:rPr>
            </w:pPr>
          </w:p>
        </w:tc>
        <w:tc>
          <w:tcPr>
            <w:tcW w:w="300" w:type="pct"/>
            <w:shd w:val="clear" w:color="auto" w:fill="FFFFFF"/>
            <w:noWrap/>
            <w:vAlign w:val="center"/>
          </w:tcPr>
          <w:p w14:paraId="497A61C6">
            <w:pPr>
              <w:widowControl/>
              <w:jc w:val="left"/>
              <w:textAlignment w:val="center"/>
              <w:rPr>
                <w:color w:val="auto"/>
                <w:szCs w:val="21"/>
              </w:rPr>
            </w:pPr>
            <w:r>
              <w:rPr>
                <w:color w:val="auto"/>
                <w:kern w:val="0"/>
                <w:szCs w:val="21"/>
                <w:lang w:bidi="ar"/>
              </w:rPr>
              <w:t>SS</w:t>
            </w:r>
          </w:p>
        </w:tc>
        <w:tc>
          <w:tcPr>
            <w:tcW w:w="356" w:type="pct"/>
            <w:shd w:val="clear" w:color="auto" w:fill="FFFFFF"/>
            <w:noWrap/>
            <w:vAlign w:val="center"/>
          </w:tcPr>
          <w:p w14:paraId="42DEED07">
            <w:pPr>
              <w:widowControl/>
              <w:jc w:val="center"/>
              <w:textAlignment w:val="center"/>
              <w:rPr>
                <w:color w:val="auto"/>
                <w:szCs w:val="21"/>
              </w:rPr>
            </w:pPr>
            <w:r>
              <w:rPr>
                <w:color w:val="auto"/>
                <w:kern w:val="0"/>
                <w:szCs w:val="21"/>
                <w:lang w:bidi="ar"/>
              </w:rPr>
              <w:t>4.886</w:t>
            </w:r>
          </w:p>
        </w:tc>
        <w:tc>
          <w:tcPr>
            <w:tcW w:w="356" w:type="pct"/>
            <w:shd w:val="clear" w:color="auto" w:fill="FFFFFF"/>
            <w:noWrap/>
            <w:vAlign w:val="center"/>
          </w:tcPr>
          <w:p w14:paraId="7F27E697">
            <w:pPr>
              <w:widowControl/>
              <w:jc w:val="center"/>
              <w:textAlignment w:val="center"/>
              <w:rPr>
                <w:color w:val="auto"/>
                <w:szCs w:val="21"/>
              </w:rPr>
            </w:pPr>
            <w:r>
              <w:rPr>
                <w:color w:val="auto"/>
                <w:kern w:val="0"/>
                <w:szCs w:val="21"/>
                <w:lang w:bidi="ar"/>
              </w:rPr>
              <w:t>0.121</w:t>
            </w:r>
          </w:p>
        </w:tc>
        <w:tc>
          <w:tcPr>
            <w:tcW w:w="356" w:type="pct"/>
            <w:shd w:val="clear" w:color="auto" w:fill="FFFFFF"/>
            <w:noWrap/>
            <w:vAlign w:val="center"/>
          </w:tcPr>
          <w:p w14:paraId="69878EAA">
            <w:pPr>
              <w:widowControl/>
              <w:jc w:val="center"/>
              <w:textAlignment w:val="center"/>
              <w:rPr>
                <w:color w:val="auto"/>
                <w:kern w:val="0"/>
                <w:szCs w:val="21"/>
                <w:lang w:bidi="ar"/>
              </w:rPr>
            </w:pPr>
            <w:r>
              <w:rPr>
                <w:color w:val="auto"/>
                <w:kern w:val="0"/>
                <w:szCs w:val="21"/>
                <w:lang w:bidi="ar"/>
              </w:rPr>
              <w:t>4.886</w:t>
            </w:r>
          </w:p>
        </w:tc>
        <w:tc>
          <w:tcPr>
            <w:tcW w:w="356" w:type="pct"/>
            <w:shd w:val="clear" w:color="auto" w:fill="FFFFFF"/>
            <w:noWrap/>
            <w:vAlign w:val="center"/>
          </w:tcPr>
          <w:p w14:paraId="17880863">
            <w:pPr>
              <w:widowControl/>
              <w:jc w:val="center"/>
              <w:textAlignment w:val="center"/>
              <w:rPr>
                <w:color w:val="auto"/>
              </w:rPr>
            </w:pPr>
            <w:r>
              <w:rPr>
                <w:color w:val="auto"/>
                <w:kern w:val="0"/>
                <w:szCs w:val="21"/>
                <w:lang w:bidi="ar"/>
              </w:rPr>
              <w:t>0.121</w:t>
            </w:r>
          </w:p>
        </w:tc>
        <w:tc>
          <w:tcPr>
            <w:tcW w:w="280" w:type="pct"/>
            <w:shd w:val="clear" w:color="auto" w:fill="FFFFFF"/>
            <w:noWrap/>
            <w:vAlign w:val="center"/>
          </w:tcPr>
          <w:p w14:paraId="197B3DDA">
            <w:pPr>
              <w:widowControl/>
              <w:jc w:val="center"/>
              <w:textAlignment w:val="center"/>
              <w:rPr>
                <w:color w:val="auto"/>
                <w:kern w:val="0"/>
                <w:szCs w:val="21"/>
                <w:lang w:bidi="ar"/>
              </w:rPr>
            </w:pPr>
            <w:r>
              <w:rPr>
                <w:color w:val="auto"/>
                <w:kern w:val="0"/>
                <w:szCs w:val="21"/>
                <w:lang w:bidi="ar"/>
              </w:rPr>
              <w:t>0</w:t>
            </w:r>
          </w:p>
        </w:tc>
        <w:tc>
          <w:tcPr>
            <w:tcW w:w="280" w:type="pct"/>
            <w:shd w:val="clear" w:color="auto" w:fill="FFFFFF"/>
            <w:noWrap/>
            <w:vAlign w:val="center"/>
          </w:tcPr>
          <w:p w14:paraId="267F45B6">
            <w:pPr>
              <w:widowControl/>
              <w:jc w:val="center"/>
              <w:textAlignment w:val="center"/>
              <w:rPr>
                <w:color w:val="auto"/>
              </w:rPr>
            </w:pPr>
            <w:r>
              <w:rPr>
                <w:color w:val="auto"/>
                <w:kern w:val="0"/>
                <w:szCs w:val="21"/>
                <w:lang w:bidi="ar"/>
              </w:rPr>
              <w:t>0</w:t>
            </w:r>
          </w:p>
        </w:tc>
        <w:tc>
          <w:tcPr>
            <w:tcW w:w="794" w:type="dxa"/>
            <w:shd w:val="clear" w:color="auto" w:fill="FFFFFF"/>
            <w:noWrap/>
            <w:vAlign w:val="center"/>
          </w:tcPr>
          <w:p w14:paraId="0FB5D2FB">
            <w:pPr>
              <w:widowControl/>
              <w:jc w:val="center"/>
              <w:textAlignment w:val="center"/>
              <w:rPr>
                <w:color w:val="auto"/>
                <w:szCs w:val="21"/>
              </w:rPr>
            </w:pPr>
            <w:r>
              <w:rPr>
                <w:color w:val="auto"/>
                <w:kern w:val="0"/>
                <w:szCs w:val="21"/>
                <w:lang w:bidi="ar"/>
              </w:rPr>
              <w:t xml:space="preserve">0.1769 </w:t>
            </w:r>
          </w:p>
        </w:tc>
        <w:tc>
          <w:tcPr>
            <w:tcW w:w="794" w:type="dxa"/>
            <w:shd w:val="clear" w:color="auto" w:fill="FFFFFF"/>
            <w:vAlign w:val="center"/>
          </w:tcPr>
          <w:p w14:paraId="303B384C">
            <w:pPr>
              <w:widowControl/>
              <w:jc w:val="center"/>
              <w:textAlignment w:val="center"/>
              <w:rPr>
                <w:color w:val="auto"/>
                <w:szCs w:val="21"/>
              </w:rPr>
            </w:pPr>
            <w:r>
              <w:rPr>
                <w:color w:val="auto"/>
                <w:kern w:val="0"/>
                <w:szCs w:val="21"/>
                <w:lang w:bidi="ar"/>
              </w:rPr>
              <w:t xml:space="preserve">0.0053 </w:t>
            </w:r>
          </w:p>
        </w:tc>
        <w:tc>
          <w:tcPr>
            <w:tcW w:w="282" w:type="pct"/>
            <w:shd w:val="clear" w:color="auto" w:fill="FFFFFF"/>
            <w:noWrap/>
            <w:vAlign w:val="center"/>
          </w:tcPr>
          <w:p w14:paraId="63F28D1A">
            <w:pPr>
              <w:widowControl/>
              <w:jc w:val="center"/>
              <w:textAlignment w:val="center"/>
              <w:rPr>
                <w:color w:val="auto"/>
                <w:szCs w:val="21"/>
              </w:rPr>
            </w:pPr>
            <w:r>
              <w:rPr>
                <w:color w:val="auto"/>
                <w:kern w:val="0"/>
                <w:szCs w:val="21"/>
                <w:lang w:bidi="ar"/>
              </w:rPr>
              <w:t xml:space="preserve">0.1769 </w:t>
            </w:r>
          </w:p>
        </w:tc>
        <w:tc>
          <w:tcPr>
            <w:tcW w:w="282" w:type="pct"/>
            <w:shd w:val="clear" w:color="auto" w:fill="FFFFFF"/>
            <w:noWrap/>
            <w:vAlign w:val="center"/>
          </w:tcPr>
          <w:p w14:paraId="7F50B582">
            <w:pPr>
              <w:widowControl/>
              <w:jc w:val="center"/>
              <w:textAlignment w:val="center"/>
              <w:rPr>
                <w:color w:val="auto"/>
                <w:szCs w:val="21"/>
              </w:rPr>
            </w:pPr>
            <w:r>
              <w:rPr>
                <w:color w:val="auto"/>
                <w:kern w:val="0"/>
                <w:szCs w:val="21"/>
                <w:lang w:bidi="ar"/>
              </w:rPr>
              <w:t xml:space="preserve">0.0053 </w:t>
            </w:r>
          </w:p>
        </w:tc>
        <w:tc>
          <w:tcPr>
            <w:tcW w:w="1004" w:type="dxa"/>
            <w:shd w:val="clear" w:color="auto" w:fill="FFFFFF"/>
            <w:noWrap/>
            <w:vAlign w:val="center"/>
          </w:tcPr>
          <w:p w14:paraId="2915AEEC">
            <w:pPr>
              <w:widowControl/>
              <w:jc w:val="center"/>
              <w:textAlignment w:val="center"/>
              <w:rPr>
                <w:color w:val="auto"/>
                <w:szCs w:val="21"/>
              </w:rPr>
            </w:pPr>
            <w:r>
              <w:rPr>
                <w:color w:val="auto"/>
                <w:kern w:val="0"/>
                <w:szCs w:val="21"/>
                <w:lang w:bidi="ar"/>
              </w:rPr>
              <w:t>4.886</w:t>
            </w:r>
          </w:p>
        </w:tc>
        <w:tc>
          <w:tcPr>
            <w:tcW w:w="1004" w:type="dxa"/>
            <w:shd w:val="clear" w:color="auto" w:fill="FFFFFF"/>
            <w:noWrap/>
            <w:vAlign w:val="center"/>
          </w:tcPr>
          <w:p w14:paraId="77D8FA04">
            <w:pPr>
              <w:widowControl/>
              <w:jc w:val="center"/>
              <w:textAlignment w:val="center"/>
              <w:rPr>
                <w:color w:val="auto"/>
                <w:szCs w:val="21"/>
              </w:rPr>
            </w:pPr>
            <w:r>
              <w:rPr>
                <w:color w:val="auto"/>
                <w:kern w:val="0"/>
                <w:szCs w:val="21"/>
                <w:lang w:bidi="ar"/>
              </w:rPr>
              <w:t>0.121</w:t>
            </w:r>
          </w:p>
        </w:tc>
        <w:tc>
          <w:tcPr>
            <w:tcW w:w="282" w:type="pct"/>
            <w:shd w:val="clear" w:color="auto" w:fill="FFFFFF"/>
            <w:noWrap/>
            <w:vAlign w:val="center"/>
          </w:tcPr>
          <w:p w14:paraId="7E1B3FFF">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51341BDF">
            <w:pPr>
              <w:widowControl/>
              <w:jc w:val="center"/>
              <w:textAlignment w:val="center"/>
              <w:rPr>
                <w:color w:val="auto"/>
                <w:szCs w:val="21"/>
              </w:rPr>
            </w:pPr>
            <w:r>
              <w:rPr>
                <w:color w:val="auto"/>
                <w:kern w:val="0"/>
                <w:szCs w:val="21"/>
                <w:lang w:bidi="ar"/>
              </w:rPr>
              <w:t>0</w:t>
            </w:r>
          </w:p>
        </w:tc>
      </w:tr>
      <w:tr w14:paraId="4EEF9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04" w:type="pct"/>
            <w:gridSpan w:val="2"/>
            <w:vMerge w:val="continue"/>
            <w:shd w:val="clear" w:color="auto" w:fill="FFFFFF"/>
            <w:vAlign w:val="center"/>
          </w:tcPr>
          <w:p w14:paraId="6A1330EA">
            <w:pPr>
              <w:jc w:val="center"/>
              <w:rPr>
                <w:rFonts w:ascii="宋体" w:hAnsi="宋体" w:cs="宋体"/>
                <w:color w:val="auto"/>
                <w:szCs w:val="21"/>
              </w:rPr>
            </w:pPr>
          </w:p>
        </w:tc>
        <w:tc>
          <w:tcPr>
            <w:tcW w:w="300" w:type="pct"/>
            <w:shd w:val="clear" w:color="auto" w:fill="FFFFFF"/>
            <w:noWrap/>
            <w:vAlign w:val="center"/>
          </w:tcPr>
          <w:p w14:paraId="6C19DF5D">
            <w:pPr>
              <w:widowControl/>
              <w:jc w:val="left"/>
              <w:textAlignment w:val="center"/>
              <w:rPr>
                <w:rFonts w:ascii="宋体" w:hAnsi="宋体" w:cs="宋体"/>
                <w:color w:val="auto"/>
                <w:szCs w:val="21"/>
              </w:rPr>
            </w:pPr>
            <w:r>
              <w:rPr>
                <w:rFonts w:hint="eastAsia" w:ascii="宋体" w:hAnsi="宋体" w:cs="宋体"/>
                <w:color w:val="auto"/>
                <w:kern w:val="0"/>
                <w:szCs w:val="21"/>
                <w:lang w:bidi="ar"/>
              </w:rPr>
              <w:t>氨氮</w:t>
            </w:r>
          </w:p>
        </w:tc>
        <w:tc>
          <w:tcPr>
            <w:tcW w:w="356" w:type="pct"/>
            <w:shd w:val="clear" w:color="auto" w:fill="FFFFFF"/>
            <w:noWrap/>
            <w:vAlign w:val="center"/>
          </w:tcPr>
          <w:p w14:paraId="4F99CC83">
            <w:pPr>
              <w:widowControl/>
              <w:jc w:val="center"/>
              <w:textAlignment w:val="center"/>
              <w:rPr>
                <w:color w:val="auto"/>
                <w:szCs w:val="21"/>
              </w:rPr>
            </w:pPr>
            <w:r>
              <w:rPr>
                <w:color w:val="auto"/>
                <w:kern w:val="0"/>
                <w:szCs w:val="21"/>
                <w:lang w:bidi="ar"/>
              </w:rPr>
              <w:t>1.407</w:t>
            </w:r>
          </w:p>
        </w:tc>
        <w:tc>
          <w:tcPr>
            <w:tcW w:w="356" w:type="pct"/>
            <w:shd w:val="clear" w:color="auto" w:fill="FFFFFF"/>
            <w:noWrap/>
            <w:vAlign w:val="center"/>
          </w:tcPr>
          <w:p w14:paraId="7540AAE4">
            <w:pPr>
              <w:widowControl/>
              <w:jc w:val="center"/>
              <w:textAlignment w:val="center"/>
              <w:rPr>
                <w:color w:val="auto"/>
                <w:szCs w:val="21"/>
              </w:rPr>
            </w:pPr>
            <w:r>
              <w:rPr>
                <w:color w:val="auto"/>
                <w:kern w:val="0"/>
                <w:szCs w:val="21"/>
                <w:lang w:bidi="ar"/>
              </w:rPr>
              <w:t>0.0602</w:t>
            </w:r>
          </w:p>
        </w:tc>
        <w:tc>
          <w:tcPr>
            <w:tcW w:w="356" w:type="pct"/>
            <w:shd w:val="clear" w:color="auto" w:fill="FFFFFF"/>
            <w:noWrap/>
            <w:vAlign w:val="center"/>
          </w:tcPr>
          <w:p w14:paraId="19AAE90B">
            <w:pPr>
              <w:widowControl/>
              <w:jc w:val="center"/>
              <w:textAlignment w:val="center"/>
              <w:rPr>
                <w:color w:val="auto"/>
                <w:kern w:val="0"/>
                <w:szCs w:val="21"/>
                <w:lang w:bidi="ar"/>
              </w:rPr>
            </w:pPr>
            <w:r>
              <w:rPr>
                <w:color w:val="auto"/>
                <w:kern w:val="0"/>
                <w:szCs w:val="21"/>
                <w:lang w:bidi="ar"/>
              </w:rPr>
              <w:t>1.407</w:t>
            </w:r>
          </w:p>
        </w:tc>
        <w:tc>
          <w:tcPr>
            <w:tcW w:w="356" w:type="pct"/>
            <w:shd w:val="clear" w:color="auto" w:fill="FFFFFF"/>
            <w:noWrap/>
            <w:vAlign w:val="center"/>
          </w:tcPr>
          <w:p w14:paraId="3715189D">
            <w:pPr>
              <w:widowControl/>
              <w:jc w:val="center"/>
              <w:textAlignment w:val="center"/>
              <w:rPr>
                <w:color w:val="auto"/>
              </w:rPr>
            </w:pPr>
            <w:r>
              <w:rPr>
                <w:color w:val="auto"/>
                <w:kern w:val="0"/>
                <w:szCs w:val="21"/>
                <w:lang w:bidi="ar"/>
              </w:rPr>
              <w:t>0.0602</w:t>
            </w:r>
          </w:p>
        </w:tc>
        <w:tc>
          <w:tcPr>
            <w:tcW w:w="280" w:type="pct"/>
            <w:shd w:val="clear" w:color="auto" w:fill="FFFFFF"/>
            <w:noWrap/>
            <w:vAlign w:val="center"/>
          </w:tcPr>
          <w:p w14:paraId="4793F508">
            <w:pPr>
              <w:widowControl/>
              <w:jc w:val="center"/>
              <w:textAlignment w:val="center"/>
              <w:rPr>
                <w:color w:val="auto"/>
                <w:kern w:val="0"/>
                <w:szCs w:val="21"/>
                <w:lang w:bidi="ar"/>
              </w:rPr>
            </w:pPr>
            <w:r>
              <w:rPr>
                <w:color w:val="auto"/>
                <w:kern w:val="0"/>
                <w:szCs w:val="21"/>
                <w:lang w:bidi="ar"/>
              </w:rPr>
              <w:t>0</w:t>
            </w:r>
          </w:p>
        </w:tc>
        <w:tc>
          <w:tcPr>
            <w:tcW w:w="280" w:type="pct"/>
            <w:shd w:val="clear" w:color="auto" w:fill="FFFFFF"/>
            <w:noWrap/>
            <w:vAlign w:val="center"/>
          </w:tcPr>
          <w:p w14:paraId="15C16DB3">
            <w:pPr>
              <w:widowControl/>
              <w:jc w:val="center"/>
              <w:textAlignment w:val="center"/>
              <w:rPr>
                <w:color w:val="auto"/>
              </w:rPr>
            </w:pPr>
            <w:r>
              <w:rPr>
                <w:color w:val="auto"/>
                <w:kern w:val="0"/>
                <w:szCs w:val="21"/>
                <w:lang w:bidi="ar"/>
              </w:rPr>
              <w:t>0</w:t>
            </w:r>
          </w:p>
        </w:tc>
        <w:tc>
          <w:tcPr>
            <w:tcW w:w="794" w:type="dxa"/>
            <w:shd w:val="clear" w:color="auto" w:fill="FFFFFF"/>
            <w:noWrap/>
            <w:vAlign w:val="center"/>
          </w:tcPr>
          <w:p w14:paraId="3C17397E">
            <w:pPr>
              <w:widowControl/>
              <w:jc w:val="center"/>
              <w:textAlignment w:val="center"/>
              <w:rPr>
                <w:color w:val="auto"/>
                <w:szCs w:val="21"/>
              </w:rPr>
            </w:pPr>
            <w:r>
              <w:rPr>
                <w:color w:val="auto"/>
                <w:kern w:val="0"/>
                <w:szCs w:val="21"/>
                <w:lang w:bidi="ar"/>
              </w:rPr>
              <w:t xml:space="preserve">0.0088 </w:t>
            </w:r>
          </w:p>
        </w:tc>
        <w:tc>
          <w:tcPr>
            <w:tcW w:w="794" w:type="dxa"/>
            <w:shd w:val="clear" w:color="auto" w:fill="FFFFFF"/>
            <w:vAlign w:val="center"/>
          </w:tcPr>
          <w:p w14:paraId="58804E1C">
            <w:pPr>
              <w:widowControl/>
              <w:jc w:val="center"/>
              <w:textAlignment w:val="center"/>
              <w:rPr>
                <w:color w:val="auto"/>
                <w:szCs w:val="21"/>
              </w:rPr>
            </w:pPr>
            <w:r>
              <w:rPr>
                <w:color w:val="auto"/>
                <w:kern w:val="0"/>
                <w:szCs w:val="21"/>
                <w:lang w:bidi="ar"/>
              </w:rPr>
              <w:t xml:space="preserve">0.0027 </w:t>
            </w:r>
          </w:p>
        </w:tc>
        <w:tc>
          <w:tcPr>
            <w:tcW w:w="282" w:type="pct"/>
            <w:shd w:val="clear" w:color="auto" w:fill="FFFFFF"/>
            <w:noWrap/>
            <w:vAlign w:val="center"/>
          </w:tcPr>
          <w:p w14:paraId="64FFE57B">
            <w:pPr>
              <w:widowControl/>
              <w:jc w:val="center"/>
              <w:textAlignment w:val="center"/>
              <w:rPr>
                <w:color w:val="auto"/>
                <w:szCs w:val="21"/>
              </w:rPr>
            </w:pPr>
            <w:r>
              <w:rPr>
                <w:color w:val="auto"/>
                <w:kern w:val="0"/>
                <w:szCs w:val="21"/>
                <w:lang w:bidi="ar"/>
              </w:rPr>
              <w:t xml:space="preserve">0.0088 </w:t>
            </w:r>
          </w:p>
        </w:tc>
        <w:tc>
          <w:tcPr>
            <w:tcW w:w="282" w:type="pct"/>
            <w:shd w:val="clear" w:color="auto" w:fill="FFFFFF"/>
            <w:noWrap/>
            <w:vAlign w:val="center"/>
          </w:tcPr>
          <w:p w14:paraId="1CAC7874">
            <w:pPr>
              <w:widowControl/>
              <w:jc w:val="center"/>
              <w:textAlignment w:val="center"/>
              <w:rPr>
                <w:color w:val="auto"/>
                <w:szCs w:val="21"/>
              </w:rPr>
            </w:pPr>
            <w:r>
              <w:rPr>
                <w:color w:val="auto"/>
                <w:kern w:val="0"/>
                <w:szCs w:val="21"/>
                <w:lang w:bidi="ar"/>
              </w:rPr>
              <w:t xml:space="preserve">0.0027 </w:t>
            </w:r>
          </w:p>
        </w:tc>
        <w:tc>
          <w:tcPr>
            <w:tcW w:w="1004" w:type="dxa"/>
            <w:shd w:val="clear" w:color="auto" w:fill="FFFFFF"/>
            <w:noWrap/>
            <w:vAlign w:val="center"/>
          </w:tcPr>
          <w:p w14:paraId="56D8127A">
            <w:pPr>
              <w:widowControl/>
              <w:jc w:val="center"/>
              <w:textAlignment w:val="center"/>
              <w:rPr>
                <w:color w:val="auto"/>
                <w:szCs w:val="21"/>
              </w:rPr>
            </w:pPr>
            <w:r>
              <w:rPr>
                <w:color w:val="auto"/>
                <w:kern w:val="0"/>
                <w:szCs w:val="21"/>
                <w:lang w:bidi="ar"/>
              </w:rPr>
              <w:t>1.407</w:t>
            </w:r>
          </w:p>
        </w:tc>
        <w:tc>
          <w:tcPr>
            <w:tcW w:w="1004" w:type="dxa"/>
            <w:shd w:val="clear" w:color="auto" w:fill="FFFFFF"/>
            <w:noWrap/>
            <w:vAlign w:val="center"/>
          </w:tcPr>
          <w:p w14:paraId="27B8943D">
            <w:pPr>
              <w:widowControl/>
              <w:jc w:val="center"/>
              <w:textAlignment w:val="center"/>
              <w:rPr>
                <w:color w:val="auto"/>
                <w:szCs w:val="21"/>
              </w:rPr>
            </w:pPr>
            <w:r>
              <w:rPr>
                <w:color w:val="auto"/>
                <w:kern w:val="0"/>
                <w:szCs w:val="21"/>
                <w:lang w:bidi="ar"/>
              </w:rPr>
              <w:t>0.0602</w:t>
            </w:r>
          </w:p>
        </w:tc>
        <w:tc>
          <w:tcPr>
            <w:tcW w:w="282" w:type="pct"/>
            <w:shd w:val="clear" w:color="auto" w:fill="FFFFFF"/>
            <w:noWrap/>
            <w:vAlign w:val="center"/>
          </w:tcPr>
          <w:p w14:paraId="4E8E419A">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21121A3F">
            <w:pPr>
              <w:widowControl/>
              <w:jc w:val="center"/>
              <w:textAlignment w:val="center"/>
              <w:rPr>
                <w:color w:val="auto"/>
                <w:szCs w:val="21"/>
              </w:rPr>
            </w:pPr>
            <w:r>
              <w:rPr>
                <w:color w:val="auto"/>
                <w:kern w:val="0"/>
                <w:szCs w:val="21"/>
                <w:lang w:bidi="ar"/>
              </w:rPr>
              <w:t>0</w:t>
            </w:r>
          </w:p>
        </w:tc>
      </w:tr>
      <w:tr w14:paraId="57454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04" w:type="pct"/>
            <w:gridSpan w:val="2"/>
            <w:vMerge w:val="continue"/>
            <w:shd w:val="clear" w:color="auto" w:fill="FFFFFF"/>
            <w:vAlign w:val="center"/>
          </w:tcPr>
          <w:p w14:paraId="3CE85B5A">
            <w:pPr>
              <w:jc w:val="center"/>
              <w:rPr>
                <w:rFonts w:ascii="宋体" w:hAnsi="宋体" w:cs="宋体"/>
                <w:color w:val="auto"/>
                <w:szCs w:val="21"/>
              </w:rPr>
            </w:pPr>
          </w:p>
        </w:tc>
        <w:tc>
          <w:tcPr>
            <w:tcW w:w="300" w:type="pct"/>
            <w:shd w:val="clear" w:color="auto" w:fill="FFFFFF"/>
            <w:noWrap/>
            <w:vAlign w:val="center"/>
          </w:tcPr>
          <w:p w14:paraId="74CA4277">
            <w:pPr>
              <w:widowControl/>
              <w:jc w:val="left"/>
              <w:textAlignment w:val="center"/>
              <w:rPr>
                <w:rFonts w:ascii="宋体" w:hAnsi="宋体" w:cs="宋体"/>
                <w:color w:val="auto"/>
                <w:szCs w:val="21"/>
              </w:rPr>
            </w:pPr>
            <w:r>
              <w:rPr>
                <w:rFonts w:hint="eastAsia" w:ascii="宋体" w:hAnsi="宋体" w:cs="宋体"/>
                <w:color w:val="auto"/>
                <w:kern w:val="0"/>
                <w:szCs w:val="21"/>
                <w:lang w:bidi="ar"/>
              </w:rPr>
              <w:t>总氮</w:t>
            </w:r>
          </w:p>
        </w:tc>
        <w:tc>
          <w:tcPr>
            <w:tcW w:w="356" w:type="pct"/>
            <w:shd w:val="clear" w:color="auto" w:fill="FFFFFF"/>
            <w:noWrap/>
            <w:vAlign w:val="center"/>
          </w:tcPr>
          <w:p w14:paraId="63CDECB9">
            <w:pPr>
              <w:widowControl/>
              <w:jc w:val="center"/>
              <w:textAlignment w:val="center"/>
              <w:rPr>
                <w:color w:val="auto"/>
                <w:szCs w:val="21"/>
              </w:rPr>
            </w:pPr>
            <w:r>
              <w:rPr>
                <w:color w:val="auto"/>
                <w:kern w:val="0"/>
                <w:szCs w:val="21"/>
                <w:lang w:bidi="ar"/>
              </w:rPr>
              <w:t>1.691</w:t>
            </w:r>
          </w:p>
        </w:tc>
        <w:tc>
          <w:tcPr>
            <w:tcW w:w="356" w:type="pct"/>
            <w:shd w:val="clear" w:color="auto" w:fill="FFFFFF"/>
            <w:noWrap/>
            <w:vAlign w:val="center"/>
          </w:tcPr>
          <w:p w14:paraId="3C7F9070">
            <w:pPr>
              <w:widowControl/>
              <w:jc w:val="center"/>
              <w:textAlignment w:val="center"/>
              <w:rPr>
                <w:color w:val="auto"/>
                <w:szCs w:val="21"/>
              </w:rPr>
            </w:pPr>
            <w:r>
              <w:rPr>
                <w:color w:val="auto"/>
                <w:kern w:val="0"/>
                <w:szCs w:val="21"/>
                <w:lang w:bidi="ar"/>
              </w:rPr>
              <w:t>0.1813</w:t>
            </w:r>
          </w:p>
        </w:tc>
        <w:tc>
          <w:tcPr>
            <w:tcW w:w="356" w:type="pct"/>
            <w:shd w:val="clear" w:color="auto" w:fill="FFFFFF"/>
            <w:noWrap/>
            <w:vAlign w:val="center"/>
          </w:tcPr>
          <w:p w14:paraId="4785AB7F">
            <w:pPr>
              <w:widowControl/>
              <w:jc w:val="center"/>
              <w:textAlignment w:val="center"/>
              <w:rPr>
                <w:color w:val="auto"/>
                <w:kern w:val="0"/>
                <w:szCs w:val="21"/>
                <w:lang w:bidi="ar"/>
              </w:rPr>
            </w:pPr>
            <w:r>
              <w:rPr>
                <w:color w:val="auto"/>
                <w:kern w:val="0"/>
                <w:szCs w:val="21"/>
                <w:lang w:bidi="ar"/>
              </w:rPr>
              <w:t>1.691</w:t>
            </w:r>
          </w:p>
        </w:tc>
        <w:tc>
          <w:tcPr>
            <w:tcW w:w="356" w:type="pct"/>
            <w:shd w:val="clear" w:color="auto" w:fill="FFFFFF"/>
            <w:noWrap/>
            <w:vAlign w:val="center"/>
          </w:tcPr>
          <w:p w14:paraId="7D152B30">
            <w:pPr>
              <w:widowControl/>
              <w:jc w:val="center"/>
              <w:textAlignment w:val="center"/>
              <w:rPr>
                <w:color w:val="auto"/>
              </w:rPr>
            </w:pPr>
            <w:r>
              <w:rPr>
                <w:color w:val="auto"/>
                <w:kern w:val="0"/>
                <w:szCs w:val="21"/>
                <w:lang w:bidi="ar"/>
              </w:rPr>
              <w:t>0.1813</w:t>
            </w:r>
          </w:p>
        </w:tc>
        <w:tc>
          <w:tcPr>
            <w:tcW w:w="280" w:type="pct"/>
            <w:shd w:val="clear" w:color="auto" w:fill="FFFFFF"/>
            <w:noWrap/>
            <w:vAlign w:val="center"/>
          </w:tcPr>
          <w:p w14:paraId="0B413E7E">
            <w:pPr>
              <w:widowControl/>
              <w:jc w:val="center"/>
              <w:textAlignment w:val="center"/>
              <w:rPr>
                <w:color w:val="auto"/>
                <w:kern w:val="0"/>
                <w:szCs w:val="21"/>
                <w:lang w:bidi="ar"/>
              </w:rPr>
            </w:pPr>
            <w:r>
              <w:rPr>
                <w:color w:val="auto"/>
                <w:kern w:val="0"/>
                <w:szCs w:val="21"/>
                <w:lang w:bidi="ar"/>
              </w:rPr>
              <w:t>0</w:t>
            </w:r>
          </w:p>
        </w:tc>
        <w:tc>
          <w:tcPr>
            <w:tcW w:w="280" w:type="pct"/>
            <w:shd w:val="clear" w:color="auto" w:fill="FFFFFF"/>
            <w:noWrap/>
            <w:vAlign w:val="center"/>
          </w:tcPr>
          <w:p w14:paraId="48FEACBE">
            <w:pPr>
              <w:widowControl/>
              <w:jc w:val="center"/>
              <w:textAlignment w:val="center"/>
              <w:rPr>
                <w:color w:val="auto"/>
              </w:rPr>
            </w:pPr>
            <w:r>
              <w:rPr>
                <w:color w:val="auto"/>
                <w:kern w:val="0"/>
                <w:szCs w:val="21"/>
                <w:lang w:bidi="ar"/>
              </w:rPr>
              <w:t>0</w:t>
            </w:r>
          </w:p>
        </w:tc>
        <w:tc>
          <w:tcPr>
            <w:tcW w:w="794" w:type="dxa"/>
            <w:shd w:val="clear" w:color="auto" w:fill="FFFFFF"/>
            <w:noWrap/>
            <w:vAlign w:val="center"/>
          </w:tcPr>
          <w:p w14:paraId="0AEDD9BC">
            <w:pPr>
              <w:widowControl/>
              <w:jc w:val="center"/>
              <w:textAlignment w:val="center"/>
              <w:rPr>
                <w:color w:val="auto"/>
                <w:szCs w:val="21"/>
              </w:rPr>
            </w:pPr>
            <w:r>
              <w:rPr>
                <w:color w:val="auto"/>
                <w:kern w:val="0"/>
                <w:szCs w:val="21"/>
                <w:lang w:bidi="ar"/>
              </w:rPr>
              <w:t xml:space="preserve">0.0177 </w:t>
            </w:r>
          </w:p>
        </w:tc>
        <w:tc>
          <w:tcPr>
            <w:tcW w:w="794" w:type="dxa"/>
            <w:shd w:val="clear" w:color="auto" w:fill="FFFFFF"/>
            <w:vAlign w:val="center"/>
          </w:tcPr>
          <w:p w14:paraId="51466524">
            <w:pPr>
              <w:widowControl/>
              <w:jc w:val="center"/>
              <w:textAlignment w:val="center"/>
              <w:rPr>
                <w:color w:val="auto"/>
                <w:szCs w:val="21"/>
              </w:rPr>
            </w:pPr>
            <w:r>
              <w:rPr>
                <w:color w:val="auto"/>
                <w:kern w:val="0"/>
                <w:szCs w:val="21"/>
                <w:lang w:bidi="ar"/>
              </w:rPr>
              <w:t xml:space="preserve">0.0080 </w:t>
            </w:r>
          </w:p>
        </w:tc>
        <w:tc>
          <w:tcPr>
            <w:tcW w:w="282" w:type="pct"/>
            <w:shd w:val="clear" w:color="auto" w:fill="FFFFFF"/>
            <w:noWrap/>
            <w:vAlign w:val="center"/>
          </w:tcPr>
          <w:p w14:paraId="531D1FA8">
            <w:pPr>
              <w:widowControl/>
              <w:jc w:val="center"/>
              <w:textAlignment w:val="center"/>
              <w:rPr>
                <w:color w:val="auto"/>
                <w:szCs w:val="21"/>
              </w:rPr>
            </w:pPr>
            <w:r>
              <w:rPr>
                <w:color w:val="auto"/>
                <w:kern w:val="0"/>
                <w:szCs w:val="21"/>
                <w:lang w:bidi="ar"/>
              </w:rPr>
              <w:t xml:space="preserve">0.0177 </w:t>
            </w:r>
          </w:p>
        </w:tc>
        <w:tc>
          <w:tcPr>
            <w:tcW w:w="282" w:type="pct"/>
            <w:shd w:val="clear" w:color="auto" w:fill="FFFFFF"/>
            <w:noWrap/>
            <w:vAlign w:val="center"/>
          </w:tcPr>
          <w:p w14:paraId="3E85C572">
            <w:pPr>
              <w:widowControl/>
              <w:jc w:val="center"/>
              <w:textAlignment w:val="center"/>
              <w:rPr>
                <w:color w:val="auto"/>
                <w:szCs w:val="21"/>
              </w:rPr>
            </w:pPr>
            <w:r>
              <w:rPr>
                <w:color w:val="auto"/>
                <w:kern w:val="0"/>
                <w:szCs w:val="21"/>
                <w:lang w:bidi="ar"/>
              </w:rPr>
              <w:t xml:space="preserve">0.0080 </w:t>
            </w:r>
          </w:p>
        </w:tc>
        <w:tc>
          <w:tcPr>
            <w:tcW w:w="1004" w:type="dxa"/>
            <w:shd w:val="clear" w:color="auto" w:fill="FFFFFF"/>
            <w:noWrap/>
            <w:vAlign w:val="center"/>
          </w:tcPr>
          <w:p w14:paraId="44C967C4">
            <w:pPr>
              <w:widowControl/>
              <w:jc w:val="center"/>
              <w:textAlignment w:val="center"/>
              <w:rPr>
                <w:color w:val="auto"/>
                <w:szCs w:val="21"/>
              </w:rPr>
            </w:pPr>
            <w:r>
              <w:rPr>
                <w:color w:val="auto"/>
                <w:kern w:val="0"/>
                <w:szCs w:val="21"/>
                <w:lang w:bidi="ar"/>
              </w:rPr>
              <w:t>1.691</w:t>
            </w:r>
          </w:p>
        </w:tc>
        <w:tc>
          <w:tcPr>
            <w:tcW w:w="1004" w:type="dxa"/>
            <w:shd w:val="clear" w:color="auto" w:fill="FFFFFF"/>
            <w:noWrap/>
            <w:vAlign w:val="center"/>
          </w:tcPr>
          <w:p w14:paraId="462EE2E5">
            <w:pPr>
              <w:widowControl/>
              <w:jc w:val="center"/>
              <w:textAlignment w:val="center"/>
              <w:rPr>
                <w:color w:val="auto"/>
                <w:szCs w:val="21"/>
              </w:rPr>
            </w:pPr>
            <w:r>
              <w:rPr>
                <w:color w:val="auto"/>
                <w:kern w:val="0"/>
                <w:szCs w:val="21"/>
                <w:lang w:bidi="ar"/>
              </w:rPr>
              <w:t>0.1813</w:t>
            </w:r>
          </w:p>
        </w:tc>
        <w:tc>
          <w:tcPr>
            <w:tcW w:w="282" w:type="pct"/>
            <w:shd w:val="clear" w:color="auto" w:fill="FFFFFF"/>
            <w:noWrap/>
            <w:vAlign w:val="center"/>
          </w:tcPr>
          <w:p w14:paraId="0EC0A50F">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1826EC30">
            <w:pPr>
              <w:widowControl/>
              <w:jc w:val="center"/>
              <w:textAlignment w:val="center"/>
              <w:rPr>
                <w:color w:val="auto"/>
                <w:szCs w:val="21"/>
              </w:rPr>
            </w:pPr>
            <w:r>
              <w:rPr>
                <w:color w:val="auto"/>
                <w:kern w:val="0"/>
                <w:szCs w:val="21"/>
                <w:lang w:bidi="ar"/>
              </w:rPr>
              <w:t>0</w:t>
            </w:r>
          </w:p>
        </w:tc>
      </w:tr>
      <w:tr w14:paraId="0F130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04" w:type="pct"/>
            <w:gridSpan w:val="2"/>
            <w:vMerge w:val="continue"/>
            <w:shd w:val="clear" w:color="auto" w:fill="FFFFFF"/>
            <w:vAlign w:val="center"/>
          </w:tcPr>
          <w:p w14:paraId="0C3BA970">
            <w:pPr>
              <w:jc w:val="center"/>
              <w:rPr>
                <w:rFonts w:ascii="宋体" w:hAnsi="宋体" w:cs="宋体"/>
                <w:color w:val="auto"/>
                <w:szCs w:val="21"/>
              </w:rPr>
            </w:pPr>
          </w:p>
        </w:tc>
        <w:tc>
          <w:tcPr>
            <w:tcW w:w="300" w:type="pct"/>
            <w:shd w:val="clear" w:color="auto" w:fill="FFFFFF"/>
            <w:noWrap/>
            <w:vAlign w:val="center"/>
          </w:tcPr>
          <w:p w14:paraId="092AEFDA">
            <w:pPr>
              <w:widowControl/>
              <w:jc w:val="left"/>
              <w:textAlignment w:val="center"/>
              <w:rPr>
                <w:rFonts w:ascii="宋体" w:hAnsi="宋体" w:cs="宋体"/>
                <w:color w:val="auto"/>
                <w:szCs w:val="21"/>
              </w:rPr>
            </w:pPr>
            <w:r>
              <w:rPr>
                <w:rFonts w:hint="eastAsia" w:ascii="宋体" w:hAnsi="宋体" w:cs="宋体"/>
                <w:color w:val="auto"/>
                <w:kern w:val="0"/>
                <w:szCs w:val="21"/>
                <w:lang w:bidi="ar"/>
              </w:rPr>
              <w:t>总磷</w:t>
            </w:r>
          </w:p>
        </w:tc>
        <w:tc>
          <w:tcPr>
            <w:tcW w:w="356" w:type="pct"/>
            <w:shd w:val="clear" w:color="auto" w:fill="FFFFFF"/>
            <w:noWrap/>
            <w:vAlign w:val="center"/>
          </w:tcPr>
          <w:p w14:paraId="3D5651CA">
            <w:pPr>
              <w:widowControl/>
              <w:jc w:val="center"/>
              <w:textAlignment w:val="center"/>
              <w:rPr>
                <w:color w:val="auto"/>
                <w:szCs w:val="21"/>
              </w:rPr>
            </w:pPr>
            <w:r>
              <w:rPr>
                <w:color w:val="auto"/>
                <w:kern w:val="0"/>
                <w:szCs w:val="21"/>
                <w:lang w:bidi="ar"/>
              </w:rPr>
              <w:t>0.025</w:t>
            </w:r>
          </w:p>
        </w:tc>
        <w:tc>
          <w:tcPr>
            <w:tcW w:w="356" w:type="pct"/>
            <w:shd w:val="clear" w:color="auto" w:fill="FFFFFF"/>
            <w:noWrap/>
            <w:vAlign w:val="center"/>
          </w:tcPr>
          <w:p w14:paraId="4EA8B75B">
            <w:pPr>
              <w:widowControl/>
              <w:jc w:val="center"/>
              <w:textAlignment w:val="center"/>
              <w:rPr>
                <w:color w:val="auto"/>
                <w:szCs w:val="21"/>
              </w:rPr>
            </w:pPr>
            <w:r>
              <w:rPr>
                <w:color w:val="auto"/>
                <w:kern w:val="0"/>
                <w:szCs w:val="21"/>
                <w:lang w:bidi="ar"/>
              </w:rPr>
              <w:t>0.006</w:t>
            </w:r>
          </w:p>
        </w:tc>
        <w:tc>
          <w:tcPr>
            <w:tcW w:w="356" w:type="pct"/>
            <w:shd w:val="clear" w:color="auto" w:fill="FFFFFF"/>
            <w:noWrap/>
            <w:vAlign w:val="center"/>
          </w:tcPr>
          <w:p w14:paraId="04DB3596">
            <w:pPr>
              <w:widowControl/>
              <w:jc w:val="center"/>
              <w:textAlignment w:val="center"/>
              <w:rPr>
                <w:color w:val="auto"/>
                <w:kern w:val="0"/>
                <w:szCs w:val="21"/>
                <w:lang w:bidi="ar"/>
              </w:rPr>
            </w:pPr>
            <w:r>
              <w:rPr>
                <w:color w:val="auto"/>
                <w:kern w:val="0"/>
                <w:szCs w:val="21"/>
                <w:lang w:bidi="ar"/>
              </w:rPr>
              <w:t>0.025</w:t>
            </w:r>
          </w:p>
        </w:tc>
        <w:tc>
          <w:tcPr>
            <w:tcW w:w="356" w:type="pct"/>
            <w:shd w:val="clear" w:color="auto" w:fill="FFFFFF"/>
            <w:noWrap/>
            <w:vAlign w:val="center"/>
          </w:tcPr>
          <w:p w14:paraId="757A9D9A">
            <w:pPr>
              <w:widowControl/>
              <w:jc w:val="center"/>
              <w:textAlignment w:val="center"/>
              <w:rPr>
                <w:color w:val="auto"/>
              </w:rPr>
            </w:pPr>
            <w:r>
              <w:rPr>
                <w:color w:val="auto"/>
                <w:kern w:val="0"/>
                <w:szCs w:val="21"/>
                <w:lang w:bidi="ar"/>
              </w:rPr>
              <w:t>0.006</w:t>
            </w:r>
          </w:p>
        </w:tc>
        <w:tc>
          <w:tcPr>
            <w:tcW w:w="280" w:type="pct"/>
            <w:shd w:val="clear" w:color="auto" w:fill="FFFFFF"/>
            <w:noWrap/>
            <w:vAlign w:val="center"/>
          </w:tcPr>
          <w:p w14:paraId="2924A529">
            <w:pPr>
              <w:widowControl/>
              <w:jc w:val="center"/>
              <w:textAlignment w:val="center"/>
              <w:rPr>
                <w:color w:val="auto"/>
                <w:kern w:val="0"/>
                <w:szCs w:val="21"/>
                <w:lang w:bidi="ar"/>
              </w:rPr>
            </w:pPr>
            <w:r>
              <w:rPr>
                <w:color w:val="auto"/>
                <w:kern w:val="0"/>
                <w:szCs w:val="21"/>
                <w:lang w:bidi="ar"/>
              </w:rPr>
              <w:t>0</w:t>
            </w:r>
          </w:p>
        </w:tc>
        <w:tc>
          <w:tcPr>
            <w:tcW w:w="280" w:type="pct"/>
            <w:shd w:val="clear" w:color="auto" w:fill="FFFFFF"/>
            <w:noWrap/>
            <w:vAlign w:val="center"/>
          </w:tcPr>
          <w:p w14:paraId="60EEA9ED">
            <w:pPr>
              <w:widowControl/>
              <w:jc w:val="center"/>
              <w:textAlignment w:val="center"/>
              <w:rPr>
                <w:color w:val="auto"/>
              </w:rPr>
            </w:pPr>
            <w:r>
              <w:rPr>
                <w:color w:val="auto"/>
                <w:kern w:val="0"/>
                <w:szCs w:val="21"/>
                <w:lang w:bidi="ar"/>
              </w:rPr>
              <w:t>0</w:t>
            </w:r>
          </w:p>
        </w:tc>
        <w:tc>
          <w:tcPr>
            <w:tcW w:w="794" w:type="dxa"/>
            <w:shd w:val="clear" w:color="auto" w:fill="FFFFFF"/>
            <w:noWrap/>
            <w:vAlign w:val="center"/>
          </w:tcPr>
          <w:p w14:paraId="34D6E59D">
            <w:pPr>
              <w:widowControl/>
              <w:jc w:val="center"/>
              <w:textAlignment w:val="center"/>
              <w:rPr>
                <w:color w:val="auto"/>
                <w:szCs w:val="21"/>
              </w:rPr>
            </w:pPr>
            <w:r>
              <w:rPr>
                <w:color w:val="auto"/>
                <w:kern w:val="0"/>
                <w:szCs w:val="21"/>
                <w:lang w:bidi="ar"/>
              </w:rPr>
              <w:t>0</w:t>
            </w:r>
          </w:p>
        </w:tc>
        <w:tc>
          <w:tcPr>
            <w:tcW w:w="794" w:type="dxa"/>
            <w:shd w:val="clear" w:color="auto" w:fill="FFFFFF"/>
            <w:noWrap/>
            <w:vAlign w:val="center"/>
          </w:tcPr>
          <w:p w14:paraId="0A0C3B38">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6D0DAB72">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7DCDD51B">
            <w:pPr>
              <w:widowControl/>
              <w:jc w:val="center"/>
              <w:textAlignment w:val="center"/>
              <w:rPr>
                <w:color w:val="auto"/>
                <w:szCs w:val="21"/>
              </w:rPr>
            </w:pPr>
            <w:r>
              <w:rPr>
                <w:color w:val="auto"/>
                <w:kern w:val="0"/>
                <w:szCs w:val="21"/>
                <w:lang w:bidi="ar"/>
              </w:rPr>
              <w:t>0</w:t>
            </w:r>
          </w:p>
        </w:tc>
        <w:tc>
          <w:tcPr>
            <w:tcW w:w="1004" w:type="dxa"/>
            <w:shd w:val="clear" w:color="auto" w:fill="FFFFFF"/>
            <w:noWrap/>
            <w:vAlign w:val="center"/>
          </w:tcPr>
          <w:p w14:paraId="2D575575">
            <w:pPr>
              <w:widowControl/>
              <w:jc w:val="center"/>
              <w:textAlignment w:val="center"/>
              <w:rPr>
                <w:color w:val="auto"/>
                <w:szCs w:val="21"/>
              </w:rPr>
            </w:pPr>
            <w:r>
              <w:rPr>
                <w:color w:val="auto"/>
                <w:kern w:val="0"/>
                <w:szCs w:val="21"/>
                <w:lang w:bidi="ar"/>
              </w:rPr>
              <w:t>0.025</w:t>
            </w:r>
          </w:p>
        </w:tc>
        <w:tc>
          <w:tcPr>
            <w:tcW w:w="1004" w:type="dxa"/>
            <w:shd w:val="clear" w:color="auto" w:fill="FFFFFF"/>
            <w:noWrap/>
            <w:vAlign w:val="center"/>
          </w:tcPr>
          <w:p w14:paraId="36BBF9F1">
            <w:pPr>
              <w:widowControl/>
              <w:jc w:val="center"/>
              <w:textAlignment w:val="center"/>
              <w:rPr>
                <w:color w:val="auto"/>
                <w:szCs w:val="21"/>
              </w:rPr>
            </w:pPr>
            <w:r>
              <w:rPr>
                <w:color w:val="auto"/>
                <w:kern w:val="0"/>
                <w:szCs w:val="21"/>
                <w:lang w:bidi="ar"/>
              </w:rPr>
              <w:t>0.006</w:t>
            </w:r>
          </w:p>
        </w:tc>
        <w:tc>
          <w:tcPr>
            <w:tcW w:w="282" w:type="pct"/>
            <w:shd w:val="clear" w:color="auto" w:fill="FFFFFF"/>
            <w:noWrap/>
            <w:vAlign w:val="center"/>
          </w:tcPr>
          <w:p w14:paraId="3E6AAEE0">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42AB36A1">
            <w:pPr>
              <w:widowControl/>
              <w:jc w:val="center"/>
              <w:textAlignment w:val="center"/>
              <w:rPr>
                <w:color w:val="auto"/>
                <w:szCs w:val="21"/>
              </w:rPr>
            </w:pPr>
            <w:r>
              <w:rPr>
                <w:color w:val="auto"/>
                <w:kern w:val="0"/>
                <w:szCs w:val="21"/>
                <w:lang w:bidi="ar"/>
              </w:rPr>
              <w:t>0</w:t>
            </w:r>
          </w:p>
        </w:tc>
      </w:tr>
      <w:tr w14:paraId="4C43B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04" w:type="pct"/>
            <w:gridSpan w:val="2"/>
            <w:vMerge w:val="continue"/>
            <w:shd w:val="clear" w:color="auto" w:fill="FFFFFF"/>
            <w:vAlign w:val="center"/>
          </w:tcPr>
          <w:p w14:paraId="1BB4B790">
            <w:pPr>
              <w:jc w:val="center"/>
              <w:rPr>
                <w:rFonts w:ascii="宋体" w:hAnsi="宋体" w:cs="宋体"/>
                <w:color w:val="auto"/>
                <w:szCs w:val="21"/>
              </w:rPr>
            </w:pPr>
          </w:p>
        </w:tc>
        <w:tc>
          <w:tcPr>
            <w:tcW w:w="300" w:type="pct"/>
            <w:shd w:val="clear" w:color="auto" w:fill="FFFFFF"/>
            <w:noWrap/>
            <w:vAlign w:val="center"/>
          </w:tcPr>
          <w:p w14:paraId="4F671992">
            <w:pPr>
              <w:widowControl/>
              <w:jc w:val="left"/>
              <w:textAlignment w:val="center"/>
              <w:rPr>
                <w:rFonts w:ascii="宋体" w:hAnsi="宋体" w:cs="宋体"/>
                <w:color w:val="auto"/>
                <w:szCs w:val="21"/>
              </w:rPr>
            </w:pPr>
            <w:r>
              <w:rPr>
                <w:rFonts w:hint="eastAsia" w:ascii="宋体" w:hAnsi="宋体" w:cs="宋体"/>
                <w:color w:val="auto"/>
                <w:kern w:val="0"/>
                <w:szCs w:val="21"/>
                <w:lang w:bidi="ar"/>
              </w:rPr>
              <w:t>盐分</w:t>
            </w:r>
          </w:p>
        </w:tc>
        <w:tc>
          <w:tcPr>
            <w:tcW w:w="356" w:type="pct"/>
            <w:shd w:val="clear" w:color="auto" w:fill="FFFFFF"/>
            <w:noWrap/>
            <w:vAlign w:val="center"/>
          </w:tcPr>
          <w:p w14:paraId="0781C70D">
            <w:pPr>
              <w:widowControl/>
              <w:jc w:val="center"/>
              <w:textAlignment w:val="center"/>
              <w:rPr>
                <w:color w:val="auto"/>
                <w:szCs w:val="21"/>
              </w:rPr>
            </w:pPr>
            <w:r>
              <w:rPr>
                <w:color w:val="auto"/>
                <w:kern w:val="0"/>
                <w:szCs w:val="21"/>
                <w:lang w:bidi="ar"/>
              </w:rPr>
              <w:t>35.214</w:t>
            </w:r>
          </w:p>
        </w:tc>
        <w:tc>
          <w:tcPr>
            <w:tcW w:w="356" w:type="pct"/>
            <w:shd w:val="clear" w:color="auto" w:fill="FFFFFF"/>
            <w:noWrap/>
            <w:vAlign w:val="center"/>
          </w:tcPr>
          <w:p w14:paraId="338ECD46">
            <w:pPr>
              <w:widowControl/>
              <w:jc w:val="center"/>
              <w:textAlignment w:val="center"/>
              <w:rPr>
                <w:color w:val="auto"/>
                <w:szCs w:val="21"/>
              </w:rPr>
            </w:pPr>
            <w:r>
              <w:rPr>
                <w:color w:val="auto"/>
                <w:kern w:val="0"/>
                <w:szCs w:val="21"/>
                <w:lang w:bidi="ar"/>
              </w:rPr>
              <w:t>35.214</w:t>
            </w:r>
          </w:p>
        </w:tc>
        <w:tc>
          <w:tcPr>
            <w:tcW w:w="356" w:type="pct"/>
            <w:shd w:val="clear" w:color="auto" w:fill="FFFFFF"/>
            <w:noWrap/>
            <w:vAlign w:val="center"/>
          </w:tcPr>
          <w:p w14:paraId="093F6C73">
            <w:pPr>
              <w:widowControl/>
              <w:jc w:val="center"/>
              <w:textAlignment w:val="center"/>
              <w:rPr>
                <w:color w:val="auto"/>
                <w:kern w:val="0"/>
                <w:szCs w:val="21"/>
                <w:lang w:bidi="ar"/>
              </w:rPr>
            </w:pPr>
            <w:r>
              <w:rPr>
                <w:color w:val="auto"/>
                <w:kern w:val="0"/>
                <w:szCs w:val="21"/>
                <w:lang w:bidi="ar"/>
              </w:rPr>
              <w:t>35.214</w:t>
            </w:r>
          </w:p>
        </w:tc>
        <w:tc>
          <w:tcPr>
            <w:tcW w:w="356" w:type="pct"/>
            <w:shd w:val="clear" w:color="auto" w:fill="FFFFFF"/>
            <w:noWrap/>
            <w:vAlign w:val="center"/>
          </w:tcPr>
          <w:p w14:paraId="2949095E">
            <w:pPr>
              <w:widowControl/>
              <w:jc w:val="center"/>
              <w:textAlignment w:val="center"/>
              <w:rPr>
                <w:color w:val="auto"/>
              </w:rPr>
            </w:pPr>
            <w:r>
              <w:rPr>
                <w:color w:val="auto"/>
                <w:kern w:val="0"/>
                <w:szCs w:val="21"/>
                <w:lang w:bidi="ar"/>
              </w:rPr>
              <w:t>35.214</w:t>
            </w:r>
          </w:p>
        </w:tc>
        <w:tc>
          <w:tcPr>
            <w:tcW w:w="280" w:type="pct"/>
            <w:shd w:val="clear" w:color="auto" w:fill="FFFFFF"/>
            <w:noWrap/>
            <w:vAlign w:val="center"/>
          </w:tcPr>
          <w:p w14:paraId="439AFFAC">
            <w:pPr>
              <w:widowControl/>
              <w:jc w:val="center"/>
              <w:textAlignment w:val="center"/>
              <w:rPr>
                <w:color w:val="auto"/>
                <w:kern w:val="0"/>
                <w:szCs w:val="21"/>
                <w:lang w:bidi="ar"/>
              </w:rPr>
            </w:pPr>
            <w:r>
              <w:rPr>
                <w:color w:val="auto"/>
                <w:kern w:val="0"/>
                <w:szCs w:val="21"/>
                <w:lang w:bidi="ar"/>
              </w:rPr>
              <w:t>0</w:t>
            </w:r>
          </w:p>
        </w:tc>
        <w:tc>
          <w:tcPr>
            <w:tcW w:w="280" w:type="pct"/>
            <w:shd w:val="clear" w:color="auto" w:fill="FFFFFF"/>
            <w:noWrap/>
            <w:vAlign w:val="center"/>
          </w:tcPr>
          <w:p w14:paraId="3F0DBC44">
            <w:pPr>
              <w:widowControl/>
              <w:jc w:val="center"/>
              <w:textAlignment w:val="center"/>
              <w:rPr>
                <w:color w:val="auto"/>
              </w:rPr>
            </w:pPr>
            <w:r>
              <w:rPr>
                <w:color w:val="auto"/>
                <w:kern w:val="0"/>
                <w:szCs w:val="21"/>
                <w:lang w:bidi="ar"/>
              </w:rPr>
              <w:t>0</w:t>
            </w:r>
          </w:p>
        </w:tc>
        <w:tc>
          <w:tcPr>
            <w:tcW w:w="794" w:type="dxa"/>
            <w:shd w:val="clear" w:color="auto" w:fill="FFFFFF"/>
            <w:noWrap/>
            <w:vAlign w:val="center"/>
          </w:tcPr>
          <w:p w14:paraId="0402555E">
            <w:pPr>
              <w:widowControl/>
              <w:jc w:val="center"/>
              <w:textAlignment w:val="center"/>
              <w:rPr>
                <w:color w:val="auto"/>
                <w:szCs w:val="21"/>
              </w:rPr>
            </w:pPr>
            <w:r>
              <w:rPr>
                <w:color w:val="auto"/>
                <w:kern w:val="0"/>
                <w:szCs w:val="21"/>
                <w:lang w:bidi="ar"/>
              </w:rPr>
              <w:t xml:space="preserve">0.1769 </w:t>
            </w:r>
          </w:p>
        </w:tc>
        <w:tc>
          <w:tcPr>
            <w:tcW w:w="794" w:type="dxa"/>
            <w:shd w:val="clear" w:color="auto" w:fill="FFFFFF"/>
            <w:noWrap/>
            <w:vAlign w:val="center"/>
          </w:tcPr>
          <w:p w14:paraId="53DCDF80">
            <w:pPr>
              <w:widowControl/>
              <w:jc w:val="center"/>
              <w:textAlignment w:val="center"/>
              <w:rPr>
                <w:color w:val="auto"/>
                <w:szCs w:val="21"/>
              </w:rPr>
            </w:pPr>
            <w:r>
              <w:rPr>
                <w:color w:val="auto"/>
                <w:kern w:val="0"/>
                <w:szCs w:val="21"/>
                <w:lang w:bidi="ar"/>
              </w:rPr>
              <w:t xml:space="preserve">0.1769 </w:t>
            </w:r>
          </w:p>
        </w:tc>
        <w:tc>
          <w:tcPr>
            <w:tcW w:w="282" w:type="pct"/>
            <w:shd w:val="clear" w:color="auto" w:fill="FFFFFF"/>
            <w:noWrap/>
            <w:vAlign w:val="center"/>
          </w:tcPr>
          <w:p w14:paraId="30465D1C">
            <w:pPr>
              <w:widowControl/>
              <w:jc w:val="center"/>
              <w:textAlignment w:val="center"/>
              <w:rPr>
                <w:color w:val="auto"/>
                <w:szCs w:val="21"/>
              </w:rPr>
            </w:pPr>
            <w:r>
              <w:rPr>
                <w:color w:val="auto"/>
                <w:kern w:val="0"/>
                <w:szCs w:val="21"/>
                <w:lang w:bidi="ar"/>
              </w:rPr>
              <w:t xml:space="preserve">0.1769 </w:t>
            </w:r>
          </w:p>
        </w:tc>
        <w:tc>
          <w:tcPr>
            <w:tcW w:w="282" w:type="pct"/>
            <w:shd w:val="clear" w:color="auto" w:fill="FFFFFF"/>
            <w:noWrap/>
            <w:vAlign w:val="center"/>
          </w:tcPr>
          <w:p w14:paraId="35C7959D">
            <w:pPr>
              <w:widowControl/>
              <w:jc w:val="center"/>
              <w:textAlignment w:val="center"/>
              <w:rPr>
                <w:color w:val="auto"/>
                <w:szCs w:val="21"/>
              </w:rPr>
            </w:pPr>
            <w:r>
              <w:rPr>
                <w:color w:val="auto"/>
                <w:kern w:val="0"/>
                <w:szCs w:val="21"/>
                <w:lang w:bidi="ar"/>
              </w:rPr>
              <w:t xml:space="preserve">0.1769 </w:t>
            </w:r>
          </w:p>
        </w:tc>
        <w:tc>
          <w:tcPr>
            <w:tcW w:w="1004" w:type="dxa"/>
            <w:shd w:val="clear" w:color="auto" w:fill="FFFFFF"/>
            <w:noWrap/>
            <w:vAlign w:val="center"/>
          </w:tcPr>
          <w:p w14:paraId="4937209C">
            <w:pPr>
              <w:widowControl/>
              <w:jc w:val="center"/>
              <w:textAlignment w:val="center"/>
              <w:rPr>
                <w:color w:val="auto"/>
                <w:szCs w:val="21"/>
              </w:rPr>
            </w:pPr>
            <w:r>
              <w:rPr>
                <w:color w:val="auto"/>
                <w:kern w:val="0"/>
                <w:szCs w:val="21"/>
                <w:lang w:bidi="ar"/>
              </w:rPr>
              <w:t>35.214</w:t>
            </w:r>
          </w:p>
        </w:tc>
        <w:tc>
          <w:tcPr>
            <w:tcW w:w="1004" w:type="dxa"/>
            <w:shd w:val="clear" w:color="auto" w:fill="FFFFFF"/>
            <w:noWrap/>
            <w:vAlign w:val="center"/>
          </w:tcPr>
          <w:p w14:paraId="765E100C">
            <w:pPr>
              <w:widowControl/>
              <w:jc w:val="center"/>
              <w:textAlignment w:val="center"/>
              <w:rPr>
                <w:color w:val="auto"/>
                <w:szCs w:val="21"/>
              </w:rPr>
            </w:pPr>
            <w:r>
              <w:rPr>
                <w:color w:val="auto"/>
                <w:kern w:val="0"/>
                <w:szCs w:val="21"/>
                <w:lang w:bidi="ar"/>
              </w:rPr>
              <w:t>35.214</w:t>
            </w:r>
          </w:p>
        </w:tc>
        <w:tc>
          <w:tcPr>
            <w:tcW w:w="282" w:type="pct"/>
            <w:shd w:val="clear" w:color="auto" w:fill="FFFFFF"/>
            <w:noWrap/>
            <w:vAlign w:val="center"/>
          </w:tcPr>
          <w:p w14:paraId="258ED3CC">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089D555E">
            <w:pPr>
              <w:widowControl/>
              <w:jc w:val="center"/>
              <w:textAlignment w:val="center"/>
              <w:rPr>
                <w:color w:val="auto"/>
                <w:szCs w:val="21"/>
              </w:rPr>
            </w:pPr>
            <w:r>
              <w:rPr>
                <w:color w:val="auto"/>
                <w:kern w:val="0"/>
                <w:szCs w:val="21"/>
                <w:lang w:bidi="ar"/>
              </w:rPr>
              <w:t>0</w:t>
            </w:r>
          </w:p>
        </w:tc>
      </w:tr>
      <w:tr w14:paraId="1C2DB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04" w:type="pct"/>
            <w:gridSpan w:val="2"/>
            <w:vMerge w:val="continue"/>
            <w:shd w:val="clear" w:color="auto" w:fill="FFFFFF"/>
            <w:vAlign w:val="center"/>
          </w:tcPr>
          <w:p w14:paraId="7BA68B6E">
            <w:pPr>
              <w:jc w:val="center"/>
              <w:rPr>
                <w:rFonts w:ascii="宋体" w:hAnsi="宋体" w:cs="宋体"/>
                <w:color w:val="auto"/>
                <w:szCs w:val="21"/>
              </w:rPr>
            </w:pPr>
          </w:p>
        </w:tc>
        <w:tc>
          <w:tcPr>
            <w:tcW w:w="300" w:type="pct"/>
            <w:shd w:val="clear" w:color="auto" w:fill="FFFFFF"/>
            <w:noWrap/>
            <w:vAlign w:val="center"/>
          </w:tcPr>
          <w:p w14:paraId="2A97F703">
            <w:pPr>
              <w:widowControl/>
              <w:jc w:val="left"/>
              <w:textAlignment w:val="center"/>
              <w:rPr>
                <w:rFonts w:ascii="宋体" w:hAnsi="宋体" w:cs="宋体"/>
                <w:color w:val="auto"/>
                <w:szCs w:val="21"/>
              </w:rPr>
            </w:pPr>
            <w:r>
              <w:rPr>
                <w:rFonts w:hint="eastAsia" w:ascii="宋体" w:hAnsi="宋体" w:cs="宋体"/>
                <w:color w:val="auto"/>
                <w:kern w:val="0"/>
                <w:szCs w:val="21"/>
                <w:lang w:bidi="ar"/>
              </w:rPr>
              <w:t>总铬</w:t>
            </w:r>
          </w:p>
        </w:tc>
        <w:tc>
          <w:tcPr>
            <w:tcW w:w="356" w:type="pct"/>
            <w:shd w:val="clear" w:color="auto" w:fill="FFFFFF"/>
            <w:noWrap/>
            <w:vAlign w:val="center"/>
          </w:tcPr>
          <w:p w14:paraId="35E96749">
            <w:pPr>
              <w:widowControl/>
              <w:jc w:val="center"/>
              <w:textAlignment w:val="center"/>
              <w:rPr>
                <w:color w:val="auto"/>
                <w:szCs w:val="21"/>
              </w:rPr>
            </w:pPr>
            <w:r>
              <w:rPr>
                <w:color w:val="auto"/>
                <w:kern w:val="0"/>
                <w:szCs w:val="21"/>
                <w:lang w:bidi="ar"/>
              </w:rPr>
              <w:t>0.000014</w:t>
            </w:r>
          </w:p>
        </w:tc>
        <w:tc>
          <w:tcPr>
            <w:tcW w:w="356" w:type="pct"/>
            <w:shd w:val="clear" w:color="auto" w:fill="FFFFFF"/>
            <w:noWrap/>
            <w:vAlign w:val="center"/>
          </w:tcPr>
          <w:p w14:paraId="48451966">
            <w:pPr>
              <w:widowControl/>
              <w:jc w:val="center"/>
              <w:textAlignment w:val="center"/>
              <w:rPr>
                <w:color w:val="auto"/>
                <w:szCs w:val="21"/>
              </w:rPr>
            </w:pPr>
            <w:r>
              <w:rPr>
                <w:color w:val="auto"/>
                <w:kern w:val="0"/>
                <w:szCs w:val="21"/>
                <w:lang w:bidi="ar"/>
              </w:rPr>
              <w:t>0.000014</w:t>
            </w:r>
          </w:p>
        </w:tc>
        <w:tc>
          <w:tcPr>
            <w:tcW w:w="356" w:type="pct"/>
            <w:shd w:val="clear" w:color="auto" w:fill="FFFFFF"/>
            <w:noWrap/>
            <w:vAlign w:val="center"/>
          </w:tcPr>
          <w:p w14:paraId="7EA9C520">
            <w:pPr>
              <w:widowControl/>
              <w:jc w:val="center"/>
              <w:textAlignment w:val="center"/>
              <w:rPr>
                <w:color w:val="auto"/>
                <w:kern w:val="0"/>
                <w:szCs w:val="21"/>
                <w:lang w:bidi="ar"/>
              </w:rPr>
            </w:pPr>
            <w:r>
              <w:rPr>
                <w:color w:val="auto"/>
                <w:kern w:val="0"/>
                <w:szCs w:val="21"/>
                <w:lang w:bidi="ar"/>
              </w:rPr>
              <w:t>0.000014</w:t>
            </w:r>
          </w:p>
        </w:tc>
        <w:tc>
          <w:tcPr>
            <w:tcW w:w="356" w:type="pct"/>
            <w:shd w:val="clear" w:color="auto" w:fill="FFFFFF"/>
            <w:noWrap/>
            <w:vAlign w:val="center"/>
          </w:tcPr>
          <w:p w14:paraId="31C87749">
            <w:pPr>
              <w:widowControl/>
              <w:jc w:val="center"/>
              <w:textAlignment w:val="center"/>
              <w:rPr>
                <w:color w:val="auto"/>
              </w:rPr>
            </w:pPr>
            <w:r>
              <w:rPr>
                <w:color w:val="auto"/>
                <w:kern w:val="0"/>
                <w:szCs w:val="21"/>
                <w:lang w:bidi="ar"/>
              </w:rPr>
              <w:t>0.000014</w:t>
            </w:r>
          </w:p>
        </w:tc>
        <w:tc>
          <w:tcPr>
            <w:tcW w:w="280" w:type="pct"/>
            <w:shd w:val="clear" w:color="auto" w:fill="FFFFFF"/>
            <w:noWrap/>
            <w:vAlign w:val="center"/>
          </w:tcPr>
          <w:p w14:paraId="22E12FDC">
            <w:pPr>
              <w:widowControl/>
              <w:jc w:val="center"/>
              <w:textAlignment w:val="center"/>
              <w:rPr>
                <w:color w:val="auto"/>
                <w:kern w:val="0"/>
                <w:szCs w:val="21"/>
                <w:lang w:bidi="ar"/>
              </w:rPr>
            </w:pPr>
            <w:r>
              <w:rPr>
                <w:color w:val="auto"/>
                <w:kern w:val="0"/>
                <w:szCs w:val="21"/>
                <w:lang w:bidi="ar"/>
              </w:rPr>
              <w:t>0</w:t>
            </w:r>
          </w:p>
        </w:tc>
        <w:tc>
          <w:tcPr>
            <w:tcW w:w="280" w:type="pct"/>
            <w:shd w:val="clear" w:color="auto" w:fill="FFFFFF"/>
            <w:noWrap/>
            <w:vAlign w:val="center"/>
          </w:tcPr>
          <w:p w14:paraId="39FB5994">
            <w:pPr>
              <w:widowControl/>
              <w:jc w:val="center"/>
              <w:textAlignment w:val="center"/>
              <w:rPr>
                <w:color w:val="auto"/>
              </w:rPr>
            </w:pPr>
            <w:r>
              <w:rPr>
                <w:color w:val="auto"/>
                <w:kern w:val="0"/>
                <w:szCs w:val="21"/>
                <w:lang w:bidi="ar"/>
              </w:rPr>
              <w:t>0</w:t>
            </w:r>
          </w:p>
        </w:tc>
        <w:tc>
          <w:tcPr>
            <w:tcW w:w="794" w:type="dxa"/>
            <w:shd w:val="clear" w:color="auto" w:fill="FFFFFF"/>
            <w:noWrap/>
            <w:vAlign w:val="center"/>
          </w:tcPr>
          <w:p w14:paraId="62276B69">
            <w:pPr>
              <w:widowControl/>
              <w:jc w:val="center"/>
              <w:textAlignment w:val="center"/>
              <w:rPr>
                <w:color w:val="auto"/>
                <w:szCs w:val="21"/>
              </w:rPr>
            </w:pPr>
            <w:r>
              <w:rPr>
                <w:color w:val="auto"/>
                <w:kern w:val="0"/>
                <w:szCs w:val="21"/>
                <w:lang w:bidi="ar"/>
              </w:rPr>
              <w:t>0</w:t>
            </w:r>
          </w:p>
        </w:tc>
        <w:tc>
          <w:tcPr>
            <w:tcW w:w="794" w:type="dxa"/>
            <w:shd w:val="clear" w:color="auto" w:fill="FFFFFF"/>
            <w:vAlign w:val="center"/>
          </w:tcPr>
          <w:p w14:paraId="00261404">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01D7BBD0">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6CE1ECD5">
            <w:pPr>
              <w:widowControl/>
              <w:jc w:val="center"/>
              <w:textAlignment w:val="center"/>
              <w:rPr>
                <w:color w:val="auto"/>
                <w:szCs w:val="21"/>
              </w:rPr>
            </w:pPr>
            <w:r>
              <w:rPr>
                <w:color w:val="auto"/>
                <w:kern w:val="0"/>
                <w:szCs w:val="21"/>
                <w:lang w:bidi="ar"/>
              </w:rPr>
              <w:t>0</w:t>
            </w:r>
          </w:p>
        </w:tc>
        <w:tc>
          <w:tcPr>
            <w:tcW w:w="1004" w:type="dxa"/>
            <w:shd w:val="clear" w:color="auto" w:fill="FFFFFF"/>
            <w:noWrap/>
            <w:vAlign w:val="center"/>
          </w:tcPr>
          <w:p w14:paraId="26067B91">
            <w:pPr>
              <w:widowControl/>
              <w:jc w:val="center"/>
              <w:textAlignment w:val="center"/>
              <w:rPr>
                <w:color w:val="auto"/>
                <w:szCs w:val="21"/>
              </w:rPr>
            </w:pPr>
            <w:r>
              <w:rPr>
                <w:color w:val="auto"/>
                <w:kern w:val="0"/>
                <w:szCs w:val="21"/>
                <w:lang w:bidi="ar"/>
              </w:rPr>
              <w:t>0.000014</w:t>
            </w:r>
          </w:p>
        </w:tc>
        <w:tc>
          <w:tcPr>
            <w:tcW w:w="1004" w:type="dxa"/>
            <w:shd w:val="clear" w:color="auto" w:fill="FFFFFF"/>
            <w:noWrap/>
            <w:vAlign w:val="center"/>
          </w:tcPr>
          <w:p w14:paraId="08F51C38">
            <w:pPr>
              <w:widowControl/>
              <w:jc w:val="center"/>
              <w:textAlignment w:val="center"/>
              <w:rPr>
                <w:color w:val="auto"/>
                <w:szCs w:val="21"/>
              </w:rPr>
            </w:pPr>
            <w:r>
              <w:rPr>
                <w:color w:val="auto"/>
                <w:kern w:val="0"/>
                <w:szCs w:val="21"/>
                <w:lang w:bidi="ar"/>
              </w:rPr>
              <w:t>0.000014</w:t>
            </w:r>
          </w:p>
        </w:tc>
        <w:tc>
          <w:tcPr>
            <w:tcW w:w="282" w:type="pct"/>
            <w:shd w:val="clear" w:color="auto" w:fill="FFFFFF"/>
            <w:noWrap/>
            <w:vAlign w:val="center"/>
          </w:tcPr>
          <w:p w14:paraId="14F378D5">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31F0C8DC">
            <w:pPr>
              <w:widowControl/>
              <w:jc w:val="center"/>
              <w:textAlignment w:val="center"/>
              <w:rPr>
                <w:color w:val="auto"/>
                <w:szCs w:val="21"/>
              </w:rPr>
            </w:pPr>
            <w:r>
              <w:rPr>
                <w:color w:val="auto"/>
                <w:kern w:val="0"/>
                <w:szCs w:val="21"/>
                <w:lang w:bidi="ar"/>
              </w:rPr>
              <w:t>0</w:t>
            </w:r>
          </w:p>
        </w:tc>
      </w:tr>
      <w:tr w14:paraId="0A3B4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04" w:type="pct"/>
            <w:gridSpan w:val="2"/>
            <w:vMerge w:val="continue"/>
            <w:shd w:val="clear" w:color="auto" w:fill="FFFFFF"/>
            <w:vAlign w:val="center"/>
          </w:tcPr>
          <w:p w14:paraId="3C008813">
            <w:pPr>
              <w:jc w:val="center"/>
              <w:rPr>
                <w:rFonts w:ascii="宋体" w:hAnsi="宋体" w:cs="宋体"/>
                <w:color w:val="auto"/>
                <w:szCs w:val="21"/>
              </w:rPr>
            </w:pPr>
          </w:p>
        </w:tc>
        <w:tc>
          <w:tcPr>
            <w:tcW w:w="300" w:type="pct"/>
            <w:shd w:val="clear" w:color="auto" w:fill="FFFFFF"/>
            <w:noWrap/>
            <w:vAlign w:val="center"/>
          </w:tcPr>
          <w:p w14:paraId="187FD95A">
            <w:pPr>
              <w:widowControl/>
              <w:jc w:val="left"/>
              <w:textAlignment w:val="center"/>
              <w:rPr>
                <w:rFonts w:ascii="宋体" w:hAnsi="宋体" w:cs="宋体"/>
                <w:color w:val="auto"/>
                <w:szCs w:val="21"/>
              </w:rPr>
            </w:pPr>
            <w:r>
              <w:rPr>
                <w:rFonts w:hint="eastAsia" w:ascii="宋体" w:hAnsi="宋体" w:cs="宋体"/>
                <w:color w:val="auto"/>
                <w:kern w:val="0"/>
                <w:szCs w:val="21"/>
                <w:lang w:bidi="ar"/>
              </w:rPr>
              <w:t>总镍</w:t>
            </w:r>
          </w:p>
        </w:tc>
        <w:tc>
          <w:tcPr>
            <w:tcW w:w="356" w:type="pct"/>
            <w:shd w:val="clear" w:color="auto" w:fill="FFFFFF"/>
            <w:noWrap/>
            <w:vAlign w:val="center"/>
          </w:tcPr>
          <w:p w14:paraId="5093CD14">
            <w:pPr>
              <w:widowControl/>
              <w:jc w:val="center"/>
              <w:textAlignment w:val="center"/>
              <w:rPr>
                <w:color w:val="auto"/>
                <w:szCs w:val="21"/>
              </w:rPr>
            </w:pPr>
            <w:r>
              <w:rPr>
                <w:color w:val="auto"/>
                <w:kern w:val="0"/>
                <w:szCs w:val="21"/>
                <w:lang w:bidi="ar"/>
              </w:rPr>
              <w:t>0.000081</w:t>
            </w:r>
          </w:p>
        </w:tc>
        <w:tc>
          <w:tcPr>
            <w:tcW w:w="356" w:type="pct"/>
            <w:shd w:val="clear" w:color="auto" w:fill="FFFFFF"/>
            <w:noWrap/>
            <w:vAlign w:val="center"/>
          </w:tcPr>
          <w:p w14:paraId="3295DFCC">
            <w:pPr>
              <w:widowControl/>
              <w:jc w:val="center"/>
              <w:textAlignment w:val="center"/>
              <w:rPr>
                <w:color w:val="auto"/>
                <w:szCs w:val="21"/>
              </w:rPr>
            </w:pPr>
            <w:r>
              <w:rPr>
                <w:color w:val="auto"/>
                <w:kern w:val="0"/>
                <w:szCs w:val="21"/>
                <w:lang w:bidi="ar"/>
              </w:rPr>
              <w:t>0.000081</w:t>
            </w:r>
          </w:p>
        </w:tc>
        <w:tc>
          <w:tcPr>
            <w:tcW w:w="356" w:type="pct"/>
            <w:shd w:val="clear" w:color="auto" w:fill="FFFFFF"/>
            <w:noWrap/>
            <w:vAlign w:val="center"/>
          </w:tcPr>
          <w:p w14:paraId="6E4E47EC">
            <w:pPr>
              <w:widowControl/>
              <w:jc w:val="center"/>
              <w:textAlignment w:val="center"/>
              <w:rPr>
                <w:color w:val="auto"/>
                <w:kern w:val="0"/>
                <w:szCs w:val="21"/>
                <w:lang w:bidi="ar"/>
              </w:rPr>
            </w:pPr>
            <w:r>
              <w:rPr>
                <w:color w:val="auto"/>
                <w:kern w:val="0"/>
                <w:szCs w:val="21"/>
                <w:lang w:bidi="ar"/>
              </w:rPr>
              <w:t>0.000081</w:t>
            </w:r>
          </w:p>
        </w:tc>
        <w:tc>
          <w:tcPr>
            <w:tcW w:w="356" w:type="pct"/>
            <w:shd w:val="clear" w:color="auto" w:fill="FFFFFF"/>
            <w:noWrap/>
            <w:vAlign w:val="center"/>
          </w:tcPr>
          <w:p w14:paraId="19E70A77">
            <w:pPr>
              <w:widowControl/>
              <w:jc w:val="center"/>
              <w:textAlignment w:val="center"/>
              <w:rPr>
                <w:color w:val="auto"/>
              </w:rPr>
            </w:pPr>
            <w:r>
              <w:rPr>
                <w:color w:val="auto"/>
                <w:kern w:val="0"/>
                <w:szCs w:val="21"/>
                <w:lang w:bidi="ar"/>
              </w:rPr>
              <w:t>0.000081</w:t>
            </w:r>
          </w:p>
        </w:tc>
        <w:tc>
          <w:tcPr>
            <w:tcW w:w="280" w:type="pct"/>
            <w:shd w:val="clear" w:color="auto" w:fill="FFFFFF"/>
            <w:noWrap/>
            <w:vAlign w:val="center"/>
          </w:tcPr>
          <w:p w14:paraId="61EA3CD0">
            <w:pPr>
              <w:widowControl/>
              <w:jc w:val="center"/>
              <w:textAlignment w:val="center"/>
              <w:rPr>
                <w:color w:val="auto"/>
                <w:kern w:val="0"/>
                <w:szCs w:val="21"/>
                <w:lang w:bidi="ar"/>
              </w:rPr>
            </w:pPr>
            <w:r>
              <w:rPr>
                <w:color w:val="auto"/>
                <w:kern w:val="0"/>
                <w:szCs w:val="21"/>
                <w:lang w:bidi="ar"/>
              </w:rPr>
              <w:t>0</w:t>
            </w:r>
          </w:p>
        </w:tc>
        <w:tc>
          <w:tcPr>
            <w:tcW w:w="280" w:type="pct"/>
            <w:shd w:val="clear" w:color="auto" w:fill="FFFFFF"/>
            <w:noWrap/>
            <w:vAlign w:val="center"/>
          </w:tcPr>
          <w:p w14:paraId="1A958516">
            <w:pPr>
              <w:widowControl/>
              <w:jc w:val="center"/>
              <w:textAlignment w:val="center"/>
              <w:rPr>
                <w:color w:val="auto"/>
              </w:rPr>
            </w:pPr>
            <w:r>
              <w:rPr>
                <w:color w:val="auto"/>
                <w:kern w:val="0"/>
                <w:szCs w:val="21"/>
                <w:lang w:bidi="ar"/>
              </w:rPr>
              <w:t>0</w:t>
            </w:r>
          </w:p>
        </w:tc>
        <w:tc>
          <w:tcPr>
            <w:tcW w:w="794" w:type="dxa"/>
            <w:shd w:val="clear" w:color="auto" w:fill="FFFFFF"/>
            <w:noWrap/>
            <w:vAlign w:val="center"/>
          </w:tcPr>
          <w:p w14:paraId="5D98139A">
            <w:pPr>
              <w:widowControl/>
              <w:jc w:val="center"/>
              <w:textAlignment w:val="center"/>
              <w:rPr>
                <w:color w:val="auto"/>
                <w:szCs w:val="21"/>
              </w:rPr>
            </w:pPr>
            <w:r>
              <w:rPr>
                <w:color w:val="auto"/>
                <w:kern w:val="0"/>
                <w:szCs w:val="21"/>
                <w:lang w:bidi="ar"/>
              </w:rPr>
              <w:t>0</w:t>
            </w:r>
          </w:p>
        </w:tc>
        <w:tc>
          <w:tcPr>
            <w:tcW w:w="794" w:type="dxa"/>
            <w:shd w:val="clear" w:color="auto" w:fill="FFFFFF"/>
            <w:vAlign w:val="center"/>
          </w:tcPr>
          <w:p w14:paraId="6362DA50">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17E4E2BE">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66391C28">
            <w:pPr>
              <w:widowControl/>
              <w:jc w:val="center"/>
              <w:textAlignment w:val="center"/>
              <w:rPr>
                <w:color w:val="auto"/>
                <w:szCs w:val="21"/>
              </w:rPr>
            </w:pPr>
            <w:r>
              <w:rPr>
                <w:color w:val="auto"/>
                <w:kern w:val="0"/>
                <w:szCs w:val="21"/>
                <w:lang w:bidi="ar"/>
              </w:rPr>
              <w:t>0</w:t>
            </w:r>
          </w:p>
        </w:tc>
        <w:tc>
          <w:tcPr>
            <w:tcW w:w="1004" w:type="dxa"/>
            <w:shd w:val="clear" w:color="auto" w:fill="FFFFFF"/>
            <w:noWrap/>
            <w:vAlign w:val="center"/>
          </w:tcPr>
          <w:p w14:paraId="022CE7DB">
            <w:pPr>
              <w:widowControl/>
              <w:jc w:val="center"/>
              <w:textAlignment w:val="center"/>
              <w:rPr>
                <w:color w:val="auto"/>
                <w:szCs w:val="21"/>
              </w:rPr>
            </w:pPr>
            <w:r>
              <w:rPr>
                <w:color w:val="auto"/>
                <w:kern w:val="0"/>
                <w:szCs w:val="21"/>
                <w:lang w:bidi="ar"/>
              </w:rPr>
              <w:t>0.000081</w:t>
            </w:r>
          </w:p>
        </w:tc>
        <w:tc>
          <w:tcPr>
            <w:tcW w:w="1004" w:type="dxa"/>
            <w:shd w:val="clear" w:color="auto" w:fill="FFFFFF"/>
            <w:noWrap/>
            <w:vAlign w:val="center"/>
          </w:tcPr>
          <w:p w14:paraId="11ACD06F">
            <w:pPr>
              <w:widowControl/>
              <w:jc w:val="center"/>
              <w:textAlignment w:val="center"/>
              <w:rPr>
                <w:color w:val="auto"/>
                <w:szCs w:val="21"/>
              </w:rPr>
            </w:pPr>
            <w:r>
              <w:rPr>
                <w:color w:val="auto"/>
                <w:kern w:val="0"/>
                <w:szCs w:val="21"/>
                <w:lang w:bidi="ar"/>
              </w:rPr>
              <w:t>0.000081</w:t>
            </w:r>
          </w:p>
        </w:tc>
        <w:tc>
          <w:tcPr>
            <w:tcW w:w="282" w:type="pct"/>
            <w:shd w:val="clear" w:color="auto" w:fill="FFFFFF"/>
            <w:noWrap/>
            <w:vAlign w:val="center"/>
          </w:tcPr>
          <w:p w14:paraId="16047093">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53D29E87">
            <w:pPr>
              <w:widowControl/>
              <w:jc w:val="center"/>
              <w:textAlignment w:val="center"/>
              <w:rPr>
                <w:color w:val="auto"/>
                <w:szCs w:val="21"/>
              </w:rPr>
            </w:pPr>
            <w:r>
              <w:rPr>
                <w:color w:val="auto"/>
                <w:kern w:val="0"/>
                <w:szCs w:val="21"/>
                <w:lang w:bidi="ar"/>
              </w:rPr>
              <w:t>0</w:t>
            </w:r>
          </w:p>
        </w:tc>
      </w:tr>
      <w:tr w14:paraId="2D5A8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04" w:type="pct"/>
            <w:gridSpan w:val="2"/>
            <w:vMerge w:val="continue"/>
            <w:shd w:val="clear" w:color="auto" w:fill="FFFFFF"/>
            <w:vAlign w:val="center"/>
          </w:tcPr>
          <w:p w14:paraId="68672212">
            <w:pPr>
              <w:jc w:val="center"/>
              <w:rPr>
                <w:rFonts w:ascii="宋体" w:hAnsi="宋体" w:cs="宋体"/>
                <w:color w:val="auto"/>
                <w:szCs w:val="21"/>
              </w:rPr>
            </w:pPr>
          </w:p>
        </w:tc>
        <w:tc>
          <w:tcPr>
            <w:tcW w:w="300" w:type="pct"/>
            <w:shd w:val="clear" w:color="auto" w:fill="FFFFFF"/>
            <w:noWrap/>
            <w:vAlign w:val="center"/>
          </w:tcPr>
          <w:p w14:paraId="1D215DA7">
            <w:pPr>
              <w:widowControl/>
              <w:jc w:val="left"/>
              <w:textAlignment w:val="center"/>
              <w:rPr>
                <w:rFonts w:ascii="宋体" w:hAnsi="宋体" w:cs="宋体"/>
                <w:color w:val="auto"/>
                <w:szCs w:val="21"/>
              </w:rPr>
            </w:pPr>
            <w:r>
              <w:rPr>
                <w:rFonts w:hint="eastAsia" w:ascii="宋体" w:hAnsi="宋体" w:cs="宋体"/>
                <w:color w:val="auto"/>
                <w:kern w:val="0"/>
                <w:szCs w:val="21"/>
                <w:lang w:bidi="ar"/>
              </w:rPr>
              <w:t>总银</w:t>
            </w:r>
          </w:p>
        </w:tc>
        <w:tc>
          <w:tcPr>
            <w:tcW w:w="356" w:type="pct"/>
            <w:shd w:val="clear" w:color="auto" w:fill="FFFFFF"/>
            <w:noWrap/>
            <w:vAlign w:val="center"/>
          </w:tcPr>
          <w:p w14:paraId="42A55259">
            <w:pPr>
              <w:widowControl/>
              <w:jc w:val="center"/>
              <w:textAlignment w:val="center"/>
              <w:rPr>
                <w:color w:val="auto"/>
                <w:szCs w:val="21"/>
              </w:rPr>
            </w:pPr>
            <w:r>
              <w:rPr>
                <w:color w:val="auto"/>
                <w:kern w:val="0"/>
                <w:szCs w:val="21"/>
                <w:lang w:bidi="ar"/>
              </w:rPr>
              <w:t>0.000011</w:t>
            </w:r>
          </w:p>
        </w:tc>
        <w:tc>
          <w:tcPr>
            <w:tcW w:w="356" w:type="pct"/>
            <w:shd w:val="clear" w:color="auto" w:fill="FFFFFF"/>
            <w:noWrap/>
            <w:vAlign w:val="center"/>
          </w:tcPr>
          <w:p w14:paraId="094346D1">
            <w:pPr>
              <w:widowControl/>
              <w:jc w:val="center"/>
              <w:textAlignment w:val="center"/>
              <w:rPr>
                <w:color w:val="auto"/>
                <w:szCs w:val="21"/>
              </w:rPr>
            </w:pPr>
            <w:r>
              <w:rPr>
                <w:color w:val="auto"/>
                <w:kern w:val="0"/>
                <w:szCs w:val="21"/>
                <w:lang w:bidi="ar"/>
              </w:rPr>
              <w:t>0.000011</w:t>
            </w:r>
          </w:p>
        </w:tc>
        <w:tc>
          <w:tcPr>
            <w:tcW w:w="356" w:type="pct"/>
            <w:shd w:val="clear" w:color="auto" w:fill="FFFFFF"/>
            <w:noWrap/>
            <w:vAlign w:val="center"/>
          </w:tcPr>
          <w:p w14:paraId="6DA3E1D9">
            <w:pPr>
              <w:widowControl/>
              <w:jc w:val="center"/>
              <w:textAlignment w:val="center"/>
              <w:rPr>
                <w:color w:val="auto"/>
                <w:kern w:val="0"/>
                <w:szCs w:val="21"/>
                <w:lang w:bidi="ar"/>
              </w:rPr>
            </w:pPr>
            <w:r>
              <w:rPr>
                <w:color w:val="auto"/>
                <w:kern w:val="0"/>
                <w:szCs w:val="21"/>
                <w:lang w:bidi="ar"/>
              </w:rPr>
              <w:t>0.000011</w:t>
            </w:r>
          </w:p>
        </w:tc>
        <w:tc>
          <w:tcPr>
            <w:tcW w:w="356" w:type="pct"/>
            <w:shd w:val="clear" w:color="auto" w:fill="FFFFFF"/>
            <w:noWrap/>
            <w:vAlign w:val="center"/>
          </w:tcPr>
          <w:p w14:paraId="4B1B4E8B">
            <w:pPr>
              <w:widowControl/>
              <w:jc w:val="center"/>
              <w:textAlignment w:val="center"/>
              <w:rPr>
                <w:color w:val="auto"/>
              </w:rPr>
            </w:pPr>
            <w:r>
              <w:rPr>
                <w:color w:val="auto"/>
                <w:kern w:val="0"/>
                <w:szCs w:val="21"/>
                <w:lang w:bidi="ar"/>
              </w:rPr>
              <w:t>0.000011</w:t>
            </w:r>
          </w:p>
        </w:tc>
        <w:tc>
          <w:tcPr>
            <w:tcW w:w="280" w:type="pct"/>
            <w:shd w:val="clear" w:color="auto" w:fill="FFFFFF"/>
            <w:noWrap/>
            <w:vAlign w:val="center"/>
          </w:tcPr>
          <w:p w14:paraId="46B64DCE">
            <w:pPr>
              <w:widowControl/>
              <w:jc w:val="center"/>
              <w:textAlignment w:val="center"/>
              <w:rPr>
                <w:color w:val="auto"/>
                <w:kern w:val="0"/>
                <w:szCs w:val="21"/>
                <w:lang w:bidi="ar"/>
              </w:rPr>
            </w:pPr>
            <w:r>
              <w:rPr>
                <w:color w:val="auto"/>
                <w:kern w:val="0"/>
                <w:szCs w:val="21"/>
                <w:lang w:bidi="ar"/>
              </w:rPr>
              <w:t>0</w:t>
            </w:r>
          </w:p>
        </w:tc>
        <w:tc>
          <w:tcPr>
            <w:tcW w:w="280" w:type="pct"/>
            <w:shd w:val="clear" w:color="auto" w:fill="FFFFFF"/>
            <w:noWrap/>
            <w:vAlign w:val="center"/>
          </w:tcPr>
          <w:p w14:paraId="196945E3">
            <w:pPr>
              <w:widowControl/>
              <w:jc w:val="center"/>
              <w:textAlignment w:val="center"/>
              <w:rPr>
                <w:color w:val="auto"/>
              </w:rPr>
            </w:pPr>
            <w:r>
              <w:rPr>
                <w:color w:val="auto"/>
                <w:kern w:val="0"/>
                <w:szCs w:val="21"/>
                <w:lang w:bidi="ar"/>
              </w:rPr>
              <w:t>0</w:t>
            </w:r>
          </w:p>
        </w:tc>
        <w:tc>
          <w:tcPr>
            <w:tcW w:w="794" w:type="dxa"/>
            <w:shd w:val="clear" w:color="auto" w:fill="FFFFFF"/>
            <w:noWrap/>
            <w:vAlign w:val="center"/>
          </w:tcPr>
          <w:p w14:paraId="2EDED64D">
            <w:pPr>
              <w:widowControl/>
              <w:jc w:val="center"/>
              <w:textAlignment w:val="center"/>
              <w:rPr>
                <w:color w:val="auto"/>
                <w:szCs w:val="21"/>
              </w:rPr>
            </w:pPr>
            <w:r>
              <w:rPr>
                <w:color w:val="auto"/>
                <w:kern w:val="0"/>
                <w:szCs w:val="21"/>
                <w:lang w:bidi="ar"/>
              </w:rPr>
              <w:t>0</w:t>
            </w:r>
          </w:p>
        </w:tc>
        <w:tc>
          <w:tcPr>
            <w:tcW w:w="794" w:type="dxa"/>
            <w:shd w:val="clear" w:color="auto" w:fill="FFFFFF"/>
            <w:vAlign w:val="center"/>
          </w:tcPr>
          <w:p w14:paraId="62074D03">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0F85540D">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7A107B1C">
            <w:pPr>
              <w:widowControl/>
              <w:jc w:val="center"/>
              <w:textAlignment w:val="center"/>
              <w:rPr>
                <w:color w:val="auto"/>
                <w:szCs w:val="21"/>
              </w:rPr>
            </w:pPr>
            <w:r>
              <w:rPr>
                <w:color w:val="auto"/>
                <w:kern w:val="0"/>
                <w:szCs w:val="21"/>
                <w:lang w:bidi="ar"/>
              </w:rPr>
              <w:t>0</w:t>
            </w:r>
          </w:p>
        </w:tc>
        <w:tc>
          <w:tcPr>
            <w:tcW w:w="1004" w:type="dxa"/>
            <w:shd w:val="clear" w:color="auto" w:fill="FFFFFF"/>
            <w:noWrap/>
            <w:vAlign w:val="center"/>
          </w:tcPr>
          <w:p w14:paraId="5D28D16B">
            <w:pPr>
              <w:widowControl/>
              <w:jc w:val="center"/>
              <w:textAlignment w:val="center"/>
              <w:rPr>
                <w:color w:val="auto"/>
                <w:szCs w:val="21"/>
              </w:rPr>
            </w:pPr>
            <w:r>
              <w:rPr>
                <w:color w:val="auto"/>
                <w:kern w:val="0"/>
                <w:szCs w:val="21"/>
                <w:lang w:bidi="ar"/>
              </w:rPr>
              <w:t>0.000011</w:t>
            </w:r>
          </w:p>
        </w:tc>
        <w:tc>
          <w:tcPr>
            <w:tcW w:w="1004" w:type="dxa"/>
            <w:shd w:val="clear" w:color="auto" w:fill="FFFFFF"/>
            <w:noWrap/>
            <w:vAlign w:val="center"/>
          </w:tcPr>
          <w:p w14:paraId="1490D387">
            <w:pPr>
              <w:widowControl/>
              <w:jc w:val="center"/>
              <w:textAlignment w:val="center"/>
              <w:rPr>
                <w:color w:val="auto"/>
                <w:szCs w:val="21"/>
              </w:rPr>
            </w:pPr>
            <w:r>
              <w:rPr>
                <w:color w:val="auto"/>
                <w:kern w:val="0"/>
                <w:szCs w:val="21"/>
                <w:lang w:bidi="ar"/>
              </w:rPr>
              <w:t>0.000011</w:t>
            </w:r>
          </w:p>
        </w:tc>
        <w:tc>
          <w:tcPr>
            <w:tcW w:w="282" w:type="pct"/>
            <w:shd w:val="clear" w:color="auto" w:fill="FFFFFF"/>
            <w:noWrap/>
            <w:vAlign w:val="center"/>
          </w:tcPr>
          <w:p w14:paraId="6E7DFA8B">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27189057">
            <w:pPr>
              <w:widowControl/>
              <w:jc w:val="center"/>
              <w:textAlignment w:val="center"/>
              <w:rPr>
                <w:color w:val="auto"/>
                <w:szCs w:val="21"/>
              </w:rPr>
            </w:pPr>
            <w:r>
              <w:rPr>
                <w:color w:val="auto"/>
                <w:kern w:val="0"/>
                <w:szCs w:val="21"/>
                <w:lang w:bidi="ar"/>
              </w:rPr>
              <w:t>0</w:t>
            </w:r>
          </w:p>
        </w:tc>
      </w:tr>
      <w:tr w14:paraId="36016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04" w:type="pct"/>
            <w:gridSpan w:val="2"/>
            <w:vMerge w:val="continue"/>
            <w:shd w:val="clear" w:color="auto" w:fill="FFFFFF"/>
            <w:vAlign w:val="center"/>
          </w:tcPr>
          <w:p w14:paraId="50625253">
            <w:pPr>
              <w:jc w:val="center"/>
              <w:rPr>
                <w:rFonts w:ascii="宋体" w:hAnsi="宋体" w:cs="宋体"/>
                <w:color w:val="auto"/>
                <w:szCs w:val="21"/>
              </w:rPr>
            </w:pPr>
          </w:p>
        </w:tc>
        <w:tc>
          <w:tcPr>
            <w:tcW w:w="300" w:type="pct"/>
            <w:shd w:val="clear" w:color="auto" w:fill="FFFFFF"/>
            <w:noWrap/>
            <w:vAlign w:val="center"/>
          </w:tcPr>
          <w:p w14:paraId="0CF9BAFE">
            <w:pPr>
              <w:widowControl/>
              <w:jc w:val="left"/>
              <w:textAlignment w:val="center"/>
              <w:rPr>
                <w:rFonts w:ascii="宋体" w:hAnsi="宋体" w:cs="宋体"/>
                <w:color w:val="auto"/>
                <w:szCs w:val="21"/>
              </w:rPr>
            </w:pPr>
            <w:r>
              <w:rPr>
                <w:rFonts w:hint="eastAsia" w:ascii="宋体" w:hAnsi="宋体" w:cs="宋体"/>
                <w:color w:val="auto"/>
                <w:kern w:val="0"/>
                <w:szCs w:val="21"/>
                <w:lang w:bidi="ar"/>
              </w:rPr>
              <w:t>总铜</w:t>
            </w:r>
          </w:p>
        </w:tc>
        <w:tc>
          <w:tcPr>
            <w:tcW w:w="356" w:type="pct"/>
            <w:shd w:val="clear" w:color="auto" w:fill="FFFFFF"/>
            <w:noWrap/>
            <w:vAlign w:val="center"/>
          </w:tcPr>
          <w:p w14:paraId="441E69E2">
            <w:pPr>
              <w:widowControl/>
              <w:jc w:val="center"/>
              <w:textAlignment w:val="center"/>
              <w:rPr>
                <w:color w:val="auto"/>
                <w:szCs w:val="21"/>
              </w:rPr>
            </w:pPr>
            <w:r>
              <w:rPr>
                <w:color w:val="auto"/>
                <w:kern w:val="0"/>
                <w:szCs w:val="21"/>
                <w:lang w:bidi="ar"/>
              </w:rPr>
              <w:t>0.000304</w:t>
            </w:r>
          </w:p>
        </w:tc>
        <w:tc>
          <w:tcPr>
            <w:tcW w:w="356" w:type="pct"/>
            <w:shd w:val="clear" w:color="auto" w:fill="FFFFFF"/>
            <w:noWrap/>
            <w:vAlign w:val="center"/>
          </w:tcPr>
          <w:p w14:paraId="7BD0986F">
            <w:pPr>
              <w:widowControl/>
              <w:jc w:val="center"/>
              <w:textAlignment w:val="center"/>
              <w:rPr>
                <w:color w:val="auto"/>
                <w:szCs w:val="21"/>
              </w:rPr>
            </w:pPr>
            <w:r>
              <w:rPr>
                <w:color w:val="auto"/>
                <w:kern w:val="0"/>
                <w:szCs w:val="21"/>
                <w:lang w:bidi="ar"/>
              </w:rPr>
              <w:t>0.000304</w:t>
            </w:r>
          </w:p>
        </w:tc>
        <w:tc>
          <w:tcPr>
            <w:tcW w:w="356" w:type="pct"/>
            <w:shd w:val="clear" w:color="auto" w:fill="FFFFFF"/>
            <w:noWrap/>
            <w:vAlign w:val="center"/>
          </w:tcPr>
          <w:p w14:paraId="294C6B22">
            <w:pPr>
              <w:widowControl/>
              <w:jc w:val="center"/>
              <w:textAlignment w:val="center"/>
              <w:rPr>
                <w:color w:val="auto"/>
                <w:kern w:val="0"/>
                <w:szCs w:val="21"/>
                <w:lang w:bidi="ar"/>
              </w:rPr>
            </w:pPr>
            <w:r>
              <w:rPr>
                <w:color w:val="auto"/>
                <w:kern w:val="0"/>
                <w:szCs w:val="21"/>
                <w:lang w:bidi="ar"/>
              </w:rPr>
              <w:t>0.000304</w:t>
            </w:r>
          </w:p>
        </w:tc>
        <w:tc>
          <w:tcPr>
            <w:tcW w:w="356" w:type="pct"/>
            <w:shd w:val="clear" w:color="auto" w:fill="FFFFFF"/>
            <w:noWrap/>
            <w:vAlign w:val="center"/>
          </w:tcPr>
          <w:p w14:paraId="6DF1C22D">
            <w:pPr>
              <w:widowControl/>
              <w:jc w:val="center"/>
              <w:textAlignment w:val="center"/>
              <w:rPr>
                <w:color w:val="auto"/>
              </w:rPr>
            </w:pPr>
            <w:r>
              <w:rPr>
                <w:color w:val="auto"/>
                <w:kern w:val="0"/>
                <w:szCs w:val="21"/>
                <w:lang w:bidi="ar"/>
              </w:rPr>
              <w:t>0.000304</w:t>
            </w:r>
          </w:p>
        </w:tc>
        <w:tc>
          <w:tcPr>
            <w:tcW w:w="280" w:type="pct"/>
            <w:shd w:val="clear" w:color="auto" w:fill="FFFFFF"/>
            <w:noWrap/>
            <w:vAlign w:val="center"/>
          </w:tcPr>
          <w:p w14:paraId="1DCFCE6D">
            <w:pPr>
              <w:widowControl/>
              <w:jc w:val="center"/>
              <w:textAlignment w:val="center"/>
              <w:rPr>
                <w:color w:val="auto"/>
                <w:kern w:val="0"/>
                <w:szCs w:val="21"/>
                <w:lang w:bidi="ar"/>
              </w:rPr>
            </w:pPr>
            <w:r>
              <w:rPr>
                <w:color w:val="auto"/>
                <w:kern w:val="0"/>
                <w:szCs w:val="21"/>
                <w:lang w:bidi="ar"/>
              </w:rPr>
              <w:t>0</w:t>
            </w:r>
          </w:p>
        </w:tc>
        <w:tc>
          <w:tcPr>
            <w:tcW w:w="280" w:type="pct"/>
            <w:shd w:val="clear" w:color="auto" w:fill="FFFFFF"/>
            <w:noWrap/>
            <w:vAlign w:val="center"/>
          </w:tcPr>
          <w:p w14:paraId="58AA19C2">
            <w:pPr>
              <w:widowControl/>
              <w:jc w:val="center"/>
              <w:textAlignment w:val="center"/>
              <w:rPr>
                <w:color w:val="auto"/>
              </w:rPr>
            </w:pPr>
            <w:r>
              <w:rPr>
                <w:color w:val="auto"/>
                <w:kern w:val="0"/>
                <w:szCs w:val="21"/>
                <w:lang w:bidi="ar"/>
              </w:rPr>
              <w:t>0</w:t>
            </w:r>
          </w:p>
        </w:tc>
        <w:tc>
          <w:tcPr>
            <w:tcW w:w="794" w:type="dxa"/>
            <w:shd w:val="clear" w:color="auto" w:fill="FFFFFF"/>
            <w:noWrap/>
            <w:vAlign w:val="center"/>
          </w:tcPr>
          <w:p w14:paraId="14260464">
            <w:pPr>
              <w:widowControl/>
              <w:jc w:val="center"/>
              <w:textAlignment w:val="center"/>
              <w:rPr>
                <w:color w:val="auto"/>
                <w:szCs w:val="21"/>
              </w:rPr>
            </w:pPr>
            <w:r>
              <w:rPr>
                <w:color w:val="auto"/>
                <w:kern w:val="0"/>
                <w:szCs w:val="21"/>
                <w:lang w:bidi="ar"/>
              </w:rPr>
              <w:t>0</w:t>
            </w:r>
          </w:p>
        </w:tc>
        <w:tc>
          <w:tcPr>
            <w:tcW w:w="794" w:type="dxa"/>
            <w:shd w:val="clear" w:color="auto" w:fill="FFFFFF"/>
            <w:vAlign w:val="center"/>
          </w:tcPr>
          <w:p w14:paraId="124A6995">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248C458B">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029CC330">
            <w:pPr>
              <w:widowControl/>
              <w:jc w:val="center"/>
              <w:textAlignment w:val="center"/>
              <w:rPr>
                <w:color w:val="auto"/>
                <w:szCs w:val="21"/>
              </w:rPr>
            </w:pPr>
            <w:r>
              <w:rPr>
                <w:color w:val="auto"/>
                <w:kern w:val="0"/>
                <w:szCs w:val="21"/>
                <w:lang w:bidi="ar"/>
              </w:rPr>
              <w:t>0</w:t>
            </w:r>
          </w:p>
        </w:tc>
        <w:tc>
          <w:tcPr>
            <w:tcW w:w="1004" w:type="dxa"/>
            <w:shd w:val="clear" w:color="auto" w:fill="FFFFFF"/>
            <w:noWrap/>
            <w:vAlign w:val="center"/>
          </w:tcPr>
          <w:p w14:paraId="7A702651">
            <w:pPr>
              <w:widowControl/>
              <w:jc w:val="center"/>
              <w:textAlignment w:val="center"/>
              <w:rPr>
                <w:color w:val="auto"/>
                <w:szCs w:val="21"/>
              </w:rPr>
            </w:pPr>
            <w:r>
              <w:rPr>
                <w:color w:val="auto"/>
                <w:kern w:val="0"/>
                <w:szCs w:val="21"/>
                <w:lang w:bidi="ar"/>
              </w:rPr>
              <w:t>0.000304</w:t>
            </w:r>
          </w:p>
        </w:tc>
        <w:tc>
          <w:tcPr>
            <w:tcW w:w="1004" w:type="dxa"/>
            <w:shd w:val="clear" w:color="auto" w:fill="FFFFFF"/>
            <w:noWrap/>
            <w:vAlign w:val="center"/>
          </w:tcPr>
          <w:p w14:paraId="368173A3">
            <w:pPr>
              <w:widowControl/>
              <w:jc w:val="center"/>
              <w:textAlignment w:val="center"/>
              <w:rPr>
                <w:color w:val="auto"/>
                <w:szCs w:val="21"/>
              </w:rPr>
            </w:pPr>
            <w:r>
              <w:rPr>
                <w:color w:val="auto"/>
                <w:kern w:val="0"/>
                <w:szCs w:val="21"/>
                <w:lang w:bidi="ar"/>
              </w:rPr>
              <w:t>0.000304</w:t>
            </w:r>
          </w:p>
        </w:tc>
        <w:tc>
          <w:tcPr>
            <w:tcW w:w="282" w:type="pct"/>
            <w:shd w:val="clear" w:color="auto" w:fill="FFFFFF"/>
            <w:noWrap/>
            <w:vAlign w:val="center"/>
          </w:tcPr>
          <w:p w14:paraId="551CF9EC">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2E75172D">
            <w:pPr>
              <w:widowControl/>
              <w:jc w:val="center"/>
              <w:textAlignment w:val="center"/>
              <w:rPr>
                <w:color w:val="auto"/>
                <w:szCs w:val="21"/>
              </w:rPr>
            </w:pPr>
            <w:r>
              <w:rPr>
                <w:color w:val="auto"/>
                <w:kern w:val="0"/>
                <w:szCs w:val="21"/>
                <w:lang w:bidi="ar"/>
              </w:rPr>
              <w:t>0</w:t>
            </w:r>
          </w:p>
        </w:tc>
      </w:tr>
      <w:tr w14:paraId="11767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04" w:type="pct"/>
            <w:gridSpan w:val="2"/>
            <w:vMerge w:val="continue"/>
            <w:shd w:val="clear" w:color="auto" w:fill="FFFFFF"/>
            <w:vAlign w:val="center"/>
          </w:tcPr>
          <w:p w14:paraId="7806F45F">
            <w:pPr>
              <w:jc w:val="center"/>
              <w:rPr>
                <w:rFonts w:ascii="宋体" w:hAnsi="宋体" w:cs="宋体"/>
                <w:color w:val="auto"/>
                <w:szCs w:val="21"/>
              </w:rPr>
            </w:pPr>
          </w:p>
        </w:tc>
        <w:tc>
          <w:tcPr>
            <w:tcW w:w="300" w:type="pct"/>
            <w:shd w:val="clear" w:color="auto" w:fill="FFFFFF"/>
            <w:noWrap/>
            <w:vAlign w:val="center"/>
          </w:tcPr>
          <w:p w14:paraId="686B66F2">
            <w:pPr>
              <w:widowControl/>
              <w:jc w:val="left"/>
              <w:textAlignment w:val="center"/>
              <w:rPr>
                <w:rFonts w:ascii="宋体" w:hAnsi="宋体" w:cs="宋体"/>
                <w:color w:val="auto"/>
                <w:szCs w:val="21"/>
              </w:rPr>
            </w:pPr>
            <w:r>
              <w:rPr>
                <w:rFonts w:hint="eastAsia" w:ascii="宋体" w:hAnsi="宋体" w:cs="宋体"/>
                <w:color w:val="auto"/>
                <w:kern w:val="0"/>
                <w:szCs w:val="21"/>
                <w:lang w:bidi="ar"/>
              </w:rPr>
              <w:t>总锌</w:t>
            </w:r>
          </w:p>
        </w:tc>
        <w:tc>
          <w:tcPr>
            <w:tcW w:w="356" w:type="pct"/>
            <w:shd w:val="clear" w:color="auto" w:fill="FFFFFF"/>
            <w:noWrap/>
            <w:vAlign w:val="center"/>
          </w:tcPr>
          <w:p w14:paraId="2085E41A">
            <w:pPr>
              <w:widowControl/>
              <w:jc w:val="center"/>
              <w:textAlignment w:val="center"/>
              <w:rPr>
                <w:color w:val="auto"/>
                <w:szCs w:val="21"/>
              </w:rPr>
            </w:pPr>
            <w:r>
              <w:rPr>
                <w:color w:val="auto"/>
                <w:kern w:val="0"/>
                <w:szCs w:val="21"/>
                <w:lang w:bidi="ar"/>
              </w:rPr>
              <w:t>0.000022</w:t>
            </w:r>
          </w:p>
        </w:tc>
        <w:tc>
          <w:tcPr>
            <w:tcW w:w="356" w:type="pct"/>
            <w:shd w:val="clear" w:color="auto" w:fill="FFFFFF"/>
            <w:noWrap/>
            <w:vAlign w:val="center"/>
          </w:tcPr>
          <w:p w14:paraId="1CA71FAA">
            <w:pPr>
              <w:widowControl/>
              <w:jc w:val="center"/>
              <w:textAlignment w:val="center"/>
              <w:rPr>
                <w:color w:val="auto"/>
                <w:szCs w:val="21"/>
              </w:rPr>
            </w:pPr>
            <w:r>
              <w:rPr>
                <w:color w:val="auto"/>
                <w:kern w:val="0"/>
                <w:szCs w:val="21"/>
                <w:lang w:bidi="ar"/>
              </w:rPr>
              <w:t>0.000022</w:t>
            </w:r>
          </w:p>
        </w:tc>
        <w:tc>
          <w:tcPr>
            <w:tcW w:w="356" w:type="pct"/>
            <w:shd w:val="clear" w:color="auto" w:fill="FFFFFF"/>
            <w:noWrap/>
            <w:vAlign w:val="center"/>
          </w:tcPr>
          <w:p w14:paraId="23CD0A61">
            <w:pPr>
              <w:widowControl/>
              <w:jc w:val="center"/>
              <w:textAlignment w:val="center"/>
              <w:rPr>
                <w:color w:val="auto"/>
                <w:kern w:val="0"/>
                <w:szCs w:val="21"/>
                <w:lang w:bidi="ar"/>
              </w:rPr>
            </w:pPr>
            <w:r>
              <w:rPr>
                <w:color w:val="auto"/>
                <w:kern w:val="0"/>
                <w:szCs w:val="21"/>
                <w:lang w:bidi="ar"/>
              </w:rPr>
              <w:t>0.000022</w:t>
            </w:r>
          </w:p>
        </w:tc>
        <w:tc>
          <w:tcPr>
            <w:tcW w:w="356" w:type="pct"/>
            <w:shd w:val="clear" w:color="auto" w:fill="FFFFFF"/>
            <w:noWrap/>
            <w:vAlign w:val="center"/>
          </w:tcPr>
          <w:p w14:paraId="0966C63C">
            <w:pPr>
              <w:widowControl/>
              <w:jc w:val="center"/>
              <w:textAlignment w:val="center"/>
              <w:rPr>
                <w:color w:val="auto"/>
              </w:rPr>
            </w:pPr>
            <w:r>
              <w:rPr>
                <w:color w:val="auto"/>
                <w:kern w:val="0"/>
                <w:szCs w:val="21"/>
                <w:lang w:bidi="ar"/>
              </w:rPr>
              <w:t>0.000022</w:t>
            </w:r>
          </w:p>
        </w:tc>
        <w:tc>
          <w:tcPr>
            <w:tcW w:w="280" w:type="pct"/>
            <w:shd w:val="clear" w:color="auto" w:fill="FFFFFF"/>
            <w:noWrap/>
            <w:vAlign w:val="center"/>
          </w:tcPr>
          <w:p w14:paraId="03F72CBD">
            <w:pPr>
              <w:widowControl/>
              <w:jc w:val="center"/>
              <w:textAlignment w:val="center"/>
              <w:rPr>
                <w:color w:val="auto"/>
                <w:kern w:val="0"/>
                <w:szCs w:val="21"/>
                <w:lang w:bidi="ar"/>
              </w:rPr>
            </w:pPr>
            <w:r>
              <w:rPr>
                <w:color w:val="auto"/>
                <w:kern w:val="0"/>
                <w:szCs w:val="21"/>
                <w:lang w:bidi="ar"/>
              </w:rPr>
              <w:t>0</w:t>
            </w:r>
          </w:p>
        </w:tc>
        <w:tc>
          <w:tcPr>
            <w:tcW w:w="280" w:type="pct"/>
            <w:shd w:val="clear" w:color="auto" w:fill="FFFFFF"/>
            <w:noWrap/>
            <w:vAlign w:val="center"/>
          </w:tcPr>
          <w:p w14:paraId="6FCE4D86">
            <w:pPr>
              <w:widowControl/>
              <w:jc w:val="center"/>
              <w:textAlignment w:val="center"/>
              <w:rPr>
                <w:color w:val="auto"/>
              </w:rPr>
            </w:pPr>
            <w:r>
              <w:rPr>
                <w:color w:val="auto"/>
                <w:kern w:val="0"/>
                <w:szCs w:val="21"/>
                <w:lang w:bidi="ar"/>
              </w:rPr>
              <w:t>0</w:t>
            </w:r>
          </w:p>
        </w:tc>
        <w:tc>
          <w:tcPr>
            <w:tcW w:w="794" w:type="dxa"/>
            <w:shd w:val="clear" w:color="auto" w:fill="FFFFFF"/>
            <w:noWrap/>
            <w:vAlign w:val="center"/>
          </w:tcPr>
          <w:p w14:paraId="31D0734E">
            <w:pPr>
              <w:widowControl/>
              <w:jc w:val="center"/>
              <w:textAlignment w:val="center"/>
              <w:rPr>
                <w:color w:val="auto"/>
                <w:szCs w:val="21"/>
              </w:rPr>
            </w:pPr>
            <w:r>
              <w:rPr>
                <w:color w:val="auto"/>
                <w:kern w:val="0"/>
                <w:szCs w:val="21"/>
                <w:lang w:bidi="ar"/>
              </w:rPr>
              <w:t>0</w:t>
            </w:r>
          </w:p>
        </w:tc>
        <w:tc>
          <w:tcPr>
            <w:tcW w:w="794" w:type="dxa"/>
            <w:shd w:val="clear" w:color="auto" w:fill="FFFFFF"/>
            <w:vAlign w:val="center"/>
          </w:tcPr>
          <w:p w14:paraId="274DE41E">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323AD2EF">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5C1FB040">
            <w:pPr>
              <w:widowControl/>
              <w:jc w:val="center"/>
              <w:textAlignment w:val="center"/>
              <w:rPr>
                <w:color w:val="auto"/>
                <w:szCs w:val="21"/>
              </w:rPr>
            </w:pPr>
            <w:r>
              <w:rPr>
                <w:color w:val="auto"/>
                <w:kern w:val="0"/>
                <w:szCs w:val="21"/>
                <w:lang w:bidi="ar"/>
              </w:rPr>
              <w:t>0</w:t>
            </w:r>
          </w:p>
        </w:tc>
        <w:tc>
          <w:tcPr>
            <w:tcW w:w="1004" w:type="dxa"/>
            <w:shd w:val="clear" w:color="auto" w:fill="FFFFFF"/>
            <w:noWrap/>
            <w:vAlign w:val="center"/>
          </w:tcPr>
          <w:p w14:paraId="39325F63">
            <w:pPr>
              <w:widowControl/>
              <w:jc w:val="center"/>
              <w:textAlignment w:val="center"/>
              <w:rPr>
                <w:color w:val="auto"/>
                <w:szCs w:val="21"/>
              </w:rPr>
            </w:pPr>
            <w:r>
              <w:rPr>
                <w:color w:val="auto"/>
                <w:kern w:val="0"/>
                <w:szCs w:val="21"/>
                <w:lang w:bidi="ar"/>
              </w:rPr>
              <w:t>0.000022</w:t>
            </w:r>
          </w:p>
        </w:tc>
        <w:tc>
          <w:tcPr>
            <w:tcW w:w="1004" w:type="dxa"/>
            <w:shd w:val="clear" w:color="auto" w:fill="FFFFFF"/>
            <w:noWrap/>
            <w:vAlign w:val="center"/>
          </w:tcPr>
          <w:p w14:paraId="0B034CAD">
            <w:pPr>
              <w:widowControl/>
              <w:jc w:val="center"/>
              <w:textAlignment w:val="center"/>
              <w:rPr>
                <w:color w:val="auto"/>
                <w:szCs w:val="21"/>
              </w:rPr>
            </w:pPr>
            <w:r>
              <w:rPr>
                <w:color w:val="auto"/>
                <w:kern w:val="0"/>
                <w:szCs w:val="21"/>
                <w:lang w:bidi="ar"/>
              </w:rPr>
              <w:t>0.000022</w:t>
            </w:r>
          </w:p>
        </w:tc>
        <w:tc>
          <w:tcPr>
            <w:tcW w:w="282" w:type="pct"/>
            <w:shd w:val="clear" w:color="auto" w:fill="FFFFFF"/>
            <w:noWrap/>
            <w:vAlign w:val="center"/>
          </w:tcPr>
          <w:p w14:paraId="131B2FAA">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28A4196C">
            <w:pPr>
              <w:widowControl/>
              <w:jc w:val="center"/>
              <w:textAlignment w:val="center"/>
              <w:rPr>
                <w:color w:val="auto"/>
                <w:szCs w:val="21"/>
              </w:rPr>
            </w:pPr>
            <w:r>
              <w:rPr>
                <w:color w:val="auto"/>
                <w:kern w:val="0"/>
                <w:szCs w:val="21"/>
                <w:lang w:bidi="ar"/>
              </w:rPr>
              <w:t>0</w:t>
            </w:r>
          </w:p>
        </w:tc>
      </w:tr>
      <w:tr w14:paraId="55D92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04" w:type="pct"/>
            <w:gridSpan w:val="2"/>
            <w:vMerge w:val="continue"/>
            <w:shd w:val="clear" w:color="auto" w:fill="FFFFFF"/>
            <w:vAlign w:val="center"/>
          </w:tcPr>
          <w:p w14:paraId="48294AC9">
            <w:pPr>
              <w:jc w:val="center"/>
              <w:rPr>
                <w:rFonts w:ascii="宋体" w:hAnsi="宋体" w:cs="宋体"/>
                <w:color w:val="auto"/>
                <w:szCs w:val="21"/>
              </w:rPr>
            </w:pPr>
          </w:p>
        </w:tc>
        <w:tc>
          <w:tcPr>
            <w:tcW w:w="300" w:type="pct"/>
            <w:shd w:val="clear" w:color="auto" w:fill="FFFFFF"/>
            <w:noWrap/>
            <w:vAlign w:val="center"/>
          </w:tcPr>
          <w:p w14:paraId="741F7DE3">
            <w:pPr>
              <w:widowControl/>
              <w:jc w:val="left"/>
              <w:textAlignment w:val="center"/>
              <w:rPr>
                <w:rFonts w:ascii="宋体" w:hAnsi="宋体" w:cs="宋体"/>
                <w:color w:val="auto"/>
                <w:szCs w:val="21"/>
              </w:rPr>
            </w:pPr>
            <w:r>
              <w:rPr>
                <w:rFonts w:hint="eastAsia" w:ascii="宋体" w:hAnsi="宋体" w:cs="宋体"/>
                <w:color w:val="auto"/>
                <w:kern w:val="0"/>
                <w:szCs w:val="21"/>
                <w:lang w:bidi="ar"/>
              </w:rPr>
              <w:t>总锰</w:t>
            </w:r>
          </w:p>
        </w:tc>
        <w:tc>
          <w:tcPr>
            <w:tcW w:w="356" w:type="pct"/>
            <w:shd w:val="clear" w:color="auto" w:fill="FFFFFF"/>
            <w:noWrap/>
            <w:vAlign w:val="center"/>
          </w:tcPr>
          <w:p w14:paraId="3C69E89F">
            <w:pPr>
              <w:widowControl/>
              <w:jc w:val="center"/>
              <w:textAlignment w:val="center"/>
              <w:rPr>
                <w:color w:val="auto"/>
                <w:szCs w:val="21"/>
              </w:rPr>
            </w:pPr>
            <w:r>
              <w:rPr>
                <w:color w:val="auto"/>
                <w:kern w:val="0"/>
                <w:szCs w:val="21"/>
                <w:lang w:bidi="ar"/>
              </w:rPr>
              <w:t>0.000006</w:t>
            </w:r>
          </w:p>
        </w:tc>
        <w:tc>
          <w:tcPr>
            <w:tcW w:w="356" w:type="pct"/>
            <w:shd w:val="clear" w:color="auto" w:fill="FFFFFF"/>
            <w:noWrap/>
            <w:vAlign w:val="center"/>
          </w:tcPr>
          <w:p w14:paraId="5A0E78C2">
            <w:pPr>
              <w:widowControl/>
              <w:jc w:val="center"/>
              <w:textAlignment w:val="center"/>
              <w:rPr>
                <w:color w:val="auto"/>
                <w:szCs w:val="21"/>
              </w:rPr>
            </w:pPr>
            <w:r>
              <w:rPr>
                <w:color w:val="auto"/>
                <w:kern w:val="0"/>
                <w:szCs w:val="21"/>
                <w:lang w:bidi="ar"/>
              </w:rPr>
              <w:t>0.000006</w:t>
            </w:r>
          </w:p>
        </w:tc>
        <w:tc>
          <w:tcPr>
            <w:tcW w:w="356" w:type="pct"/>
            <w:shd w:val="clear" w:color="auto" w:fill="FFFFFF"/>
            <w:noWrap/>
            <w:vAlign w:val="center"/>
          </w:tcPr>
          <w:p w14:paraId="5833014E">
            <w:pPr>
              <w:widowControl/>
              <w:jc w:val="center"/>
              <w:textAlignment w:val="center"/>
              <w:rPr>
                <w:color w:val="auto"/>
                <w:kern w:val="0"/>
                <w:szCs w:val="21"/>
                <w:lang w:bidi="ar"/>
              </w:rPr>
            </w:pPr>
            <w:r>
              <w:rPr>
                <w:color w:val="auto"/>
                <w:kern w:val="0"/>
                <w:szCs w:val="21"/>
                <w:lang w:bidi="ar"/>
              </w:rPr>
              <w:t>0.000006</w:t>
            </w:r>
          </w:p>
        </w:tc>
        <w:tc>
          <w:tcPr>
            <w:tcW w:w="356" w:type="pct"/>
            <w:shd w:val="clear" w:color="auto" w:fill="FFFFFF"/>
            <w:noWrap/>
            <w:vAlign w:val="center"/>
          </w:tcPr>
          <w:p w14:paraId="011F350F">
            <w:pPr>
              <w:widowControl/>
              <w:jc w:val="center"/>
              <w:textAlignment w:val="center"/>
              <w:rPr>
                <w:color w:val="auto"/>
              </w:rPr>
            </w:pPr>
            <w:r>
              <w:rPr>
                <w:color w:val="auto"/>
                <w:kern w:val="0"/>
                <w:szCs w:val="21"/>
                <w:lang w:bidi="ar"/>
              </w:rPr>
              <w:t>0.000006</w:t>
            </w:r>
          </w:p>
        </w:tc>
        <w:tc>
          <w:tcPr>
            <w:tcW w:w="280" w:type="pct"/>
            <w:shd w:val="clear" w:color="auto" w:fill="FFFFFF"/>
            <w:noWrap/>
            <w:vAlign w:val="center"/>
          </w:tcPr>
          <w:p w14:paraId="0B09E1E6">
            <w:pPr>
              <w:widowControl/>
              <w:jc w:val="center"/>
              <w:textAlignment w:val="center"/>
              <w:rPr>
                <w:color w:val="auto"/>
                <w:kern w:val="0"/>
                <w:szCs w:val="21"/>
                <w:lang w:bidi="ar"/>
              </w:rPr>
            </w:pPr>
            <w:r>
              <w:rPr>
                <w:color w:val="auto"/>
                <w:kern w:val="0"/>
                <w:szCs w:val="21"/>
                <w:lang w:bidi="ar"/>
              </w:rPr>
              <w:t>0</w:t>
            </w:r>
          </w:p>
        </w:tc>
        <w:tc>
          <w:tcPr>
            <w:tcW w:w="280" w:type="pct"/>
            <w:shd w:val="clear" w:color="auto" w:fill="FFFFFF"/>
            <w:noWrap/>
            <w:vAlign w:val="center"/>
          </w:tcPr>
          <w:p w14:paraId="5891D0FB">
            <w:pPr>
              <w:widowControl/>
              <w:jc w:val="center"/>
              <w:textAlignment w:val="center"/>
              <w:rPr>
                <w:color w:val="auto"/>
              </w:rPr>
            </w:pPr>
            <w:r>
              <w:rPr>
                <w:color w:val="auto"/>
                <w:kern w:val="0"/>
                <w:szCs w:val="21"/>
                <w:lang w:bidi="ar"/>
              </w:rPr>
              <w:t>0</w:t>
            </w:r>
          </w:p>
        </w:tc>
        <w:tc>
          <w:tcPr>
            <w:tcW w:w="794" w:type="dxa"/>
            <w:shd w:val="clear" w:color="auto" w:fill="FFFFFF"/>
            <w:noWrap/>
            <w:vAlign w:val="center"/>
          </w:tcPr>
          <w:p w14:paraId="12696642">
            <w:pPr>
              <w:widowControl/>
              <w:jc w:val="center"/>
              <w:textAlignment w:val="center"/>
              <w:rPr>
                <w:color w:val="auto"/>
                <w:szCs w:val="21"/>
              </w:rPr>
            </w:pPr>
            <w:r>
              <w:rPr>
                <w:color w:val="auto"/>
                <w:kern w:val="0"/>
                <w:szCs w:val="21"/>
                <w:lang w:bidi="ar"/>
              </w:rPr>
              <w:t>0</w:t>
            </w:r>
          </w:p>
        </w:tc>
        <w:tc>
          <w:tcPr>
            <w:tcW w:w="794" w:type="dxa"/>
            <w:shd w:val="clear" w:color="auto" w:fill="FFFFFF"/>
            <w:vAlign w:val="center"/>
          </w:tcPr>
          <w:p w14:paraId="137C555F">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0A4CD271">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323CE813">
            <w:pPr>
              <w:widowControl/>
              <w:jc w:val="center"/>
              <w:textAlignment w:val="center"/>
              <w:rPr>
                <w:color w:val="auto"/>
                <w:szCs w:val="21"/>
              </w:rPr>
            </w:pPr>
            <w:r>
              <w:rPr>
                <w:color w:val="auto"/>
                <w:kern w:val="0"/>
                <w:szCs w:val="21"/>
                <w:lang w:bidi="ar"/>
              </w:rPr>
              <w:t>0</w:t>
            </w:r>
          </w:p>
        </w:tc>
        <w:tc>
          <w:tcPr>
            <w:tcW w:w="1004" w:type="dxa"/>
            <w:shd w:val="clear" w:color="auto" w:fill="FFFFFF"/>
            <w:noWrap/>
            <w:vAlign w:val="center"/>
          </w:tcPr>
          <w:p w14:paraId="0035F0B0">
            <w:pPr>
              <w:widowControl/>
              <w:jc w:val="center"/>
              <w:textAlignment w:val="center"/>
              <w:rPr>
                <w:color w:val="auto"/>
                <w:szCs w:val="21"/>
              </w:rPr>
            </w:pPr>
            <w:r>
              <w:rPr>
                <w:color w:val="auto"/>
                <w:kern w:val="0"/>
                <w:szCs w:val="21"/>
                <w:lang w:bidi="ar"/>
              </w:rPr>
              <w:t>0.000006</w:t>
            </w:r>
          </w:p>
        </w:tc>
        <w:tc>
          <w:tcPr>
            <w:tcW w:w="1004" w:type="dxa"/>
            <w:shd w:val="clear" w:color="auto" w:fill="FFFFFF"/>
            <w:noWrap/>
            <w:vAlign w:val="center"/>
          </w:tcPr>
          <w:p w14:paraId="21AE4DEC">
            <w:pPr>
              <w:widowControl/>
              <w:jc w:val="center"/>
              <w:textAlignment w:val="center"/>
              <w:rPr>
                <w:color w:val="auto"/>
                <w:szCs w:val="21"/>
              </w:rPr>
            </w:pPr>
            <w:r>
              <w:rPr>
                <w:color w:val="auto"/>
                <w:kern w:val="0"/>
                <w:szCs w:val="21"/>
                <w:lang w:bidi="ar"/>
              </w:rPr>
              <w:t>0.000006</w:t>
            </w:r>
          </w:p>
        </w:tc>
        <w:tc>
          <w:tcPr>
            <w:tcW w:w="282" w:type="pct"/>
            <w:shd w:val="clear" w:color="auto" w:fill="FFFFFF"/>
            <w:noWrap/>
            <w:vAlign w:val="center"/>
          </w:tcPr>
          <w:p w14:paraId="2E23623E">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13D9AC25">
            <w:pPr>
              <w:widowControl/>
              <w:jc w:val="center"/>
              <w:textAlignment w:val="center"/>
              <w:rPr>
                <w:color w:val="auto"/>
                <w:szCs w:val="21"/>
              </w:rPr>
            </w:pPr>
            <w:r>
              <w:rPr>
                <w:color w:val="auto"/>
                <w:kern w:val="0"/>
                <w:szCs w:val="21"/>
                <w:lang w:bidi="ar"/>
              </w:rPr>
              <w:t>0</w:t>
            </w:r>
          </w:p>
        </w:tc>
      </w:tr>
      <w:tr w14:paraId="3D268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04" w:type="pct"/>
            <w:gridSpan w:val="2"/>
            <w:vMerge w:val="continue"/>
            <w:shd w:val="clear" w:color="auto" w:fill="FFFFFF"/>
            <w:vAlign w:val="center"/>
          </w:tcPr>
          <w:p w14:paraId="15E86A58">
            <w:pPr>
              <w:jc w:val="center"/>
              <w:rPr>
                <w:rFonts w:ascii="宋体" w:hAnsi="宋体" w:cs="宋体"/>
                <w:color w:val="auto"/>
                <w:szCs w:val="21"/>
              </w:rPr>
            </w:pPr>
          </w:p>
        </w:tc>
        <w:tc>
          <w:tcPr>
            <w:tcW w:w="300" w:type="pct"/>
            <w:shd w:val="clear" w:color="auto" w:fill="FFFFFF"/>
            <w:noWrap/>
            <w:vAlign w:val="center"/>
          </w:tcPr>
          <w:p w14:paraId="3F325EAD">
            <w:pPr>
              <w:widowControl/>
              <w:jc w:val="left"/>
              <w:textAlignment w:val="center"/>
              <w:rPr>
                <w:rFonts w:ascii="宋体" w:hAnsi="宋体" w:cs="宋体"/>
                <w:color w:val="auto"/>
                <w:szCs w:val="21"/>
              </w:rPr>
            </w:pPr>
            <w:r>
              <w:rPr>
                <w:rFonts w:hint="eastAsia" w:ascii="宋体" w:hAnsi="宋体" w:cs="宋体"/>
                <w:color w:val="auto"/>
                <w:kern w:val="0"/>
                <w:szCs w:val="21"/>
                <w:lang w:bidi="ar"/>
              </w:rPr>
              <w:t>总钴</w:t>
            </w:r>
          </w:p>
        </w:tc>
        <w:tc>
          <w:tcPr>
            <w:tcW w:w="356" w:type="pct"/>
            <w:shd w:val="clear" w:color="auto" w:fill="FFFFFF"/>
            <w:noWrap/>
            <w:vAlign w:val="center"/>
          </w:tcPr>
          <w:p w14:paraId="2F671EE4">
            <w:pPr>
              <w:widowControl/>
              <w:jc w:val="center"/>
              <w:textAlignment w:val="center"/>
              <w:rPr>
                <w:color w:val="auto"/>
                <w:szCs w:val="21"/>
              </w:rPr>
            </w:pPr>
            <w:r>
              <w:rPr>
                <w:color w:val="auto"/>
                <w:kern w:val="0"/>
                <w:szCs w:val="21"/>
                <w:lang w:bidi="ar"/>
              </w:rPr>
              <w:t>0.000008</w:t>
            </w:r>
          </w:p>
        </w:tc>
        <w:tc>
          <w:tcPr>
            <w:tcW w:w="356" w:type="pct"/>
            <w:shd w:val="clear" w:color="auto" w:fill="FFFFFF"/>
            <w:noWrap/>
            <w:vAlign w:val="center"/>
          </w:tcPr>
          <w:p w14:paraId="0AF64A6E">
            <w:pPr>
              <w:widowControl/>
              <w:jc w:val="center"/>
              <w:textAlignment w:val="center"/>
              <w:rPr>
                <w:color w:val="auto"/>
                <w:szCs w:val="21"/>
              </w:rPr>
            </w:pPr>
            <w:r>
              <w:rPr>
                <w:color w:val="auto"/>
                <w:kern w:val="0"/>
                <w:szCs w:val="21"/>
                <w:lang w:bidi="ar"/>
              </w:rPr>
              <w:t>0.000008</w:t>
            </w:r>
          </w:p>
        </w:tc>
        <w:tc>
          <w:tcPr>
            <w:tcW w:w="356" w:type="pct"/>
            <w:shd w:val="clear" w:color="auto" w:fill="FFFFFF"/>
            <w:noWrap/>
            <w:vAlign w:val="center"/>
          </w:tcPr>
          <w:p w14:paraId="48124DC0">
            <w:pPr>
              <w:widowControl/>
              <w:jc w:val="center"/>
              <w:textAlignment w:val="center"/>
              <w:rPr>
                <w:color w:val="auto"/>
                <w:kern w:val="0"/>
                <w:szCs w:val="21"/>
                <w:lang w:bidi="ar"/>
              </w:rPr>
            </w:pPr>
            <w:r>
              <w:rPr>
                <w:color w:val="auto"/>
                <w:kern w:val="0"/>
                <w:szCs w:val="21"/>
                <w:lang w:bidi="ar"/>
              </w:rPr>
              <w:t>0.000008</w:t>
            </w:r>
          </w:p>
        </w:tc>
        <w:tc>
          <w:tcPr>
            <w:tcW w:w="356" w:type="pct"/>
            <w:shd w:val="clear" w:color="auto" w:fill="FFFFFF"/>
            <w:noWrap/>
            <w:vAlign w:val="center"/>
          </w:tcPr>
          <w:p w14:paraId="1DB7EDC6">
            <w:pPr>
              <w:widowControl/>
              <w:jc w:val="center"/>
              <w:textAlignment w:val="center"/>
              <w:rPr>
                <w:color w:val="auto"/>
              </w:rPr>
            </w:pPr>
            <w:r>
              <w:rPr>
                <w:color w:val="auto"/>
                <w:kern w:val="0"/>
                <w:szCs w:val="21"/>
                <w:lang w:bidi="ar"/>
              </w:rPr>
              <w:t>0.000008</w:t>
            </w:r>
          </w:p>
        </w:tc>
        <w:tc>
          <w:tcPr>
            <w:tcW w:w="280" w:type="pct"/>
            <w:shd w:val="clear" w:color="auto" w:fill="FFFFFF"/>
            <w:noWrap/>
            <w:vAlign w:val="center"/>
          </w:tcPr>
          <w:p w14:paraId="164291CD">
            <w:pPr>
              <w:widowControl/>
              <w:jc w:val="center"/>
              <w:textAlignment w:val="center"/>
              <w:rPr>
                <w:color w:val="auto"/>
                <w:kern w:val="0"/>
                <w:szCs w:val="21"/>
                <w:lang w:bidi="ar"/>
              </w:rPr>
            </w:pPr>
            <w:r>
              <w:rPr>
                <w:color w:val="auto"/>
                <w:kern w:val="0"/>
                <w:szCs w:val="21"/>
                <w:lang w:bidi="ar"/>
              </w:rPr>
              <w:t>0</w:t>
            </w:r>
          </w:p>
        </w:tc>
        <w:tc>
          <w:tcPr>
            <w:tcW w:w="280" w:type="pct"/>
            <w:shd w:val="clear" w:color="auto" w:fill="FFFFFF"/>
            <w:noWrap/>
            <w:vAlign w:val="center"/>
          </w:tcPr>
          <w:p w14:paraId="0320BE8E">
            <w:pPr>
              <w:widowControl/>
              <w:jc w:val="center"/>
              <w:textAlignment w:val="center"/>
              <w:rPr>
                <w:color w:val="auto"/>
              </w:rPr>
            </w:pPr>
            <w:r>
              <w:rPr>
                <w:color w:val="auto"/>
                <w:kern w:val="0"/>
                <w:szCs w:val="21"/>
                <w:lang w:bidi="ar"/>
              </w:rPr>
              <w:t>0</w:t>
            </w:r>
          </w:p>
        </w:tc>
        <w:tc>
          <w:tcPr>
            <w:tcW w:w="794" w:type="dxa"/>
            <w:shd w:val="clear" w:color="auto" w:fill="FFFFFF"/>
            <w:noWrap/>
            <w:vAlign w:val="center"/>
          </w:tcPr>
          <w:p w14:paraId="245F6E26">
            <w:pPr>
              <w:widowControl/>
              <w:jc w:val="center"/>
              <w:textAlignment w:val="center"/>
              <w:rPr>
                <w:color w:val="auto"/>
                <w:szCs w:val="21"/>
              </w:rPr>
            </w:pPr>
            <w:r>
              <w:rPr>
                <w:color w:val="auto"/>
                <w:kern w:val="0"/>
                <w:szCs w:val="21"/>
                <w:lang w:bidi="ar"/>
              </w:rPr>
              <w:t>0</w:t>
            </w:r>
          </w:p>
        </w:tc>
        <w:tc>
          <w:tcPr>
            <w:tcW w:w="794" w:type="dxa"/>
            <w:shd w:val="clear" w:color="auto" w:fill="FFFFFF"/>
            <w:vAlign w:val="center"/>
          </w:tcPr>
          <w:p w14:paraId="5DBE8F17">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7FB09F5C">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17F34E8F">
            <w:pPr>
              <w:widowControl/>
              <w:jc w:val="center"/>
              <w:textAlignment w:val="center"/>
              <w:rPr>
                <w:color w:val="auto"/>
                <w:szCs w:val="21"/>
              </w:rPr>
            </w:pPr>
            <w:r>
              <w:rPr>
                <w:color w:val="auto"/>
                <w:kern w:val="0"/>
                <w:szCs w:val="21"/>
                <w:lang w:bidi="ar"/>
              </w:rPr>
              <w:t>0</w:t>
            </w:r>
          </w:p>
        </w:tc>
        <w:tc>
          <w:tcPr>
            <w:tcW w:w="1004" w:type="dxa"/>
            <w:shd w:val="clear" w:color="auto" w:fill="FFFFFF"/>
            <w:noWrap/>
            <w:vAlign w:val="center"/>
          </w:tcPr>
          <w:p w14:paraId="7BE2F787">
            <w:pPr>
              <w:widowControl/>
              <w:jc w:val="center"/>
              <w:textAlignment w:val="center"/>
              <w:rPr>
                <w:color w:val="auto"/>
                <w:szCs w:val="21"/>
              </w:rPr>
            </w:pPr>
            <w:r>
              <w:rPr>
                <w:color w:val="auto"/>
                <w:kern w:val="0"/>
                <w:szCs w:val="21"/>
                <w:lang w:bidi="ar"/>
              </w:rPr>
              <w:t>0.000008</w:t>
            </w:r>
          </w:p>
        </w:tc>
        <w:tc>
          <w:tcPr>
            <w:tcW w:w="1004" w:type="dxa"/>
            <w:shd w:val="clear" w:color="auto" w:fill="FFFFFF"/>
            <w:noWrap/>
            <w:vAlign w:val="center"/>
          </w:tcPr>
          <w:p w14:paraId="2671BF20">
            <w:pPr>
              <w:widowControl/>
              <w:jc w:val="center"/>
              <w:textAlignment w:val="center"/>
              <w:rPr>
                <w:color w:val="auto"/>
                <w:szCs w:val="21"/>
              </w:rPr>
            </w:pPr>
            <w:r>
              <w:rPr>
                <w:color w:val="auto"/>
                <w:kern w:val="0"/>
                <w:szCs w:val="21"/>
                <w:lang w:bidi="ar"/>
              </w:rPr>
              <w:t>0.000008</w:t>
            </w:r>
          </w:p>
        </w:tc>
        <w:tc>
          <w:tcPr>
            <w:tcW w:w="282" w:type="pct"/>
            <w:shd w:val="clear" w:color="auto" w:fill="FFFFFF"/>
            <w:noWrap/>
            <w:vAlign w:val="center"/>
          </w:tcPr>
          <w:p w14:paraId="55E37869">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4BCF2250">
            <w:pPr>
              <w:widowControl/>
              <w:jc w:val="center"/>
              <w:textAlignment w:val="center"/>
              <w:rPr>
                <w:color w:val="auto"/>
                <w:szCs w:val="21"/>
              </w:rPr>
            </w:pPr>
            <w:r>
              <w:rPr>
                <w:color w:val="auto"/>
                <w:kern w:val="0"/>
                <w:szCs w:val="21"/>
                <w:lang w:bidi="ar"/>
              </w:rPr>
              <w:t>0</w:t>
            </w:r>
          </w:p>
        </w:tc>
      </w:tr>
      <w:tr w14:paraId="432F5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04" w:type="pct"/>
            <w:gridSpan w:val="2"/>
            <w:vMerge w:val="continue"/>
            <w:shd w:val="clear" w:color="auto" w:fill="FFFFFF"/>
            <w:vAlign w:val="center"/>
          </w:tcPr>
          <w:p w14:paraId="5C2EE290">
            <w:pPr>
              <w:jc w:val="center"/>
              <w:rPr>
                <w:rFonts w:ascii="宋体" w:hAnsi="宋体" w:cs="宋体"/>
                <w:color w:val="auto"/>
                <w:szCs w:val="21"/>
              </w:rPr>
            </w:pPr>
          </w:p>
        </w:tc>
        <w:tc>
          <w:tcPr>
            <w:tcW w:w="300" w:type="pct"/>
            <w:shd w:val="clear" w:color="auto" w:fill="FFFFFF"/>
            <w:noWrap/>
            <w:vAlign w:val="center"/>
          </w:tcPr>
          <w:p w14:paraId="514413FE">
            <w:pPr>
              <w:widowControl/>
              <w:jc w:val="left"/>
              <w:textAlignment w:val="center"/>
              <w:rPr>
                <w:rFonts w:ascii="宋体" w:hAnsi="宋体" w:cs="宋体"/>
                <w:color w:val="auto"/>
                <w:szCs w:val="21"/>
              </w:rPr>
            </w:pPr>
            <w:r>
              <w:rPr>
                <w:rFonts w:hint="eastAsia" w:ascii="宋体" w:hAnsi="宋体" w:cs="宋体"/>
                <w:color w:val="auto"/>
                <w:kern w:val="0"/>
                <w:szCs w:val="21"/>
                <w:lang w:bidi="ar"/>
              </w:rPr>
              <w:t>氟化物</w:t>
            </w:r>
          </w:p>
        </w:tc>
        <w:tc>
          <w:tcPr>
            <w:tcW w:w="356" w:type="pct"/>
            <w:shd w:val="clear" w:color="auto" w:fill="FFFFFF"/>
            <w:noWrap/>
            <w:vAlign w:val="center"/>
          </w:tcPr>
          <w:p w14:paraId="4E8020B3">
            <w:pPr>
              <w:widowControl/>
              <w:jc w:val="center"/>
              <w:textAlignment w:val="center"/>
              <w:rPr>
                <w:color w:val="auto"/>
                <w:szCs w:val="21"/>
              </w:rPr>
            </w:pPr>
            <w:r>
              <w:rPr>
                <w:color w:val="auto"/>
                <w:kern w:val="0"/>
                <w:szCs w:val="21"/>
                <w:lang w:bidi="ar"/>
              </w:rPr>
              <w:t>0.012802</w:t>
            </w:r>
          </w:p>
        </w:tc>
        <w:tc>
          <w:tcPr>
            <w:tcW w:w="356" w:type="pct"/>
            <w:shd w:val="clear" w:color="auto" w:fill="FFFFFF"/>
            <w:noWrap/>
            <w:vAlign w:val="center"/>
          </w:tcPr>
          <w:p w14:paraId="357B59C2">
            <w:pPr>
              <w:widowControl/>
              <w:jc w:val="center"/>
              <w:textAlignment w:val="center"/>
              <w:rPr>
                <w:color w:val="auto"/>
                <w:szCs w:val="21"/>
              </w:rPr>
            </w:pPr>
            <w:r>
              <w:rPr>
                <w:color w:val="auto"/>
                <w:kern w:val="0"/>
                <w:szCs w:val="21"/>
                <w:lang w:bidi="ar"/>
              </w:rPr>
              <w:t>0.012802</w:t>
            </w:r>
          </w:p>
        </w:tc>
        <w:tc>
          <w:tcPr>
            <w:tcW w:w="356" w:type="pct"/>
            <w:shd w:val="clear" w:color="auto" w:fill="FFFFFF"/>
            <w:noWrap/>
            <w:vAlign w:val="center"/>
          </w:tcPr>
          <w:p w14:paraId="691D48E8">
            <w:pPr>
              <w:widowControl/>
              <w:jc w:val="center"/>
              <w:textAlignment w:val="center"/>
              <w:rPr>
                <w:color w:val="auto"/>
                <w:kern w:val="0"/>
                <w:szCs w:val="21"/>
                <w:lang w:bidi="ar"/>
              </w:rPr>
            </w:pPr>
            <w:r>
              <w:rPr>
                <w:color w:val="auto"/>
                <w:kern w:val="0"/>
                <w:szCs w:val="21"/>
                <w:lang w:bidi="ar"/>
              </w:rPr>
              <w:t>0.012802</w:t>
            </w:r>
          </w:p>
        </w:tc>
        <w:tc>
          <w:tcPr>
            <w:tcW w:w="356" w:type="pct"/>
            <w:shd w:val="clear" w:color="auto" w:fill="FFFFFF"/>
            <w:noWrap/>
            <w:vAlign w:val="center"/>
          </w:tcPr>
          <w:p w14:paraId="07E21DB7">
            <w:pPr>
              <w:widowControl/>
              <w:jc w:val="center"/>
              <w:textAlignment w:val="center"/>
              <w:rPr>
                <w:color w:val="auto"/>
              </w:rPr>
            </w:pPr>
            <w:r>
              <w:rPr>
                <w:color w:val="auto"/>
                <w:kern w:val="0"/>
                <w:szCs w:val="21"/>
                <w:lang w:bidi="ar"/>
              </w:rPr>
              <w:t>0.012802</w:t>
            </w:r>
          </w:p>
        </w:tc>
        <w:tc>
          <w:tcPr>
            <w:tcW w:w="280" w:type="pct"/>
            <w:shd w:val="clear" w:color="auto" w:fill="FFFFFF"/>
            <w:noWrap/>
            <w:vAlign w:val="center"/>
          </w:tcPr>
          <w:p w14:paraId="461BF6C5">
            <w:pPr>
              <w:widowControl/>
              <w:jc w:val="center"/>
              <w:textAlignment w:val="center"/>
              <w:rPr>
                <w:color w:val="auto"/>
                <w:kern w:val="0"/>
                <w:szCs w:val="21"/>
                <w:lang w:bidi="ar"/>
              </w:rPr>
            </w:pPr>
            <w:r>
              <w:rPr>
                <w:color w:val="auto"/>
                <w:kern w:val="0"/>
                <w:szCs w:val="21"/>
                <w:lang w:bidi="ar"/>
              </w:rPr>
              <w:t>0</w:t>
            </w:r>
          </w:p>
        </w:tc>
        <w:tc>
          <w:tcPr>
            <w:tcW w:w="280" w:type="pct"/>
            <w:shd w:val="clear" w:color="auto" w:fill="FFFFFF"/>
            <w:noWrap/>
            <w:vAlign w:val="center"/>
          </w:tcPr>
          <w:p w14:paraId="6B102AB9">
            <w:pPr>
              <w:widowControl/>
              <w:jc w:val="center"/>
              <w:textAlignment w:val="center"/>
              <w:rPr>
                <w:color w:val="auto"/>
              </w:rPr>
            </w:pPr>
            <w:r>
              <w:rPr>
                <w:color w:val="auto"/>
                <w:kern w:val="0"/>
                <w:szCs w:val="21"/>
                <w:lang w:bidi="ar"/>
              </w:rPr>
              <w:t>0</w:t>
            </w:r>
          </w:p>
        </w:tc>
        <w:tc>
          <w:tcPr>
            <w:tcW w:w="794" w:type="dxa"/>
            <w:shd w:val="clear" w:color="auto" w:fill="FFFFFF"/>
            <w:noWrap/>
            <w:vAlign w:val="center"/>
          </w:tcPr>
          <w:p w14:paraId="0C620E95">
            <w:pPr>
              <w:widowControl/>
              <w:jc w:val="center"/>
              <w:textAlignment w:val="center"/>
              <w:rPr>
                <w:color w:val="auto"/>
                <w:szCs w:val="21"/>
              </w:rPr>
            </w:pPr>
            <w:r>
              <w:rPr>
                <w:color w:val="auto"/>
                <w:kern w:val="0"/>
                <w:szCs w:val="21"/>
                <w:lang w:bidi="ar"/>
              </w:rPr>
              <w:t>0</w:t>
            </w:r>
          </w:p>
        </w:tc>
        <w:tc>
          <w:tcPr>
            <w:tcW w:w="794" w:type="dxa"/>
            <w:shd w:val="clear" w:color="auto" w:fill="FFFFFF"/>
            <w:vAlign w:val="center"/>
          </w:tcPr>
          <w:p w14:paraId="2412A72E">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05EAE7FD">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07FDF10F">
            <w:pPr>
              <w:widowControl/>
              <w:jc w:val="center"/>
              <w:textAlignment w:val="center"/>
              <w:rPr>
                <w:color w:val="auto"/>
                <w:szCs w:val="21"/>
              </w:rPr>
            </w:pPr>
            <w:r>
              <w:rPr>
                <w:color w:val="auto"/>
                <w:kern w:val="0"/>
                <w:szCs w:val="21"/>
                <w:lang w:bidi="ar"/>
              </w:rPr>
              <w:t>0</w:t>
            </w:r>
          </w:p>
        </w:tc>
        <w:tc>
          <w:tcPr>
            <w:tcW w:w="1004" w:type="dxa"/>
            <w:shd w:val="clear" w:color="auto" w:fill="FFFFFF"/>
            <w:noWrap/>
            <w:vAlign w:val="center"/>
          </w:tcPr>
          <w:p w14:paraId="3351C808">
            <w:pPr>
              <w:widowControl/>
              <w:jc w:val="center"/>
              <w:textAlignment w:val="center"/>
              <w:rPr>
                <w:color w:val="auto"/>
                <w:szCs w:val="21"/>
              </w:rPr>
            </w:pPr>
            <w:r>
              <w:rPr>
                <w:color w:val="auto"/>
                <w:kern w:val="0"/>
                <w:szCs w:val="21"/>
                <w:lang w:bidi="ar"/>
              </w:rPr>
              <w:t>0.012802</w:t>
            </w:r>
          </w:p>
        </w:tc>
        <w:tc>
          <w:tcPr>
            <w:tcW w:w="1004" w:type="dxa"/>
            <w:shd w:val="clear" w:color="auto" w:fill="FFFFFF"/>
            <w:noWrap/>
            <w:vAlign w:val="center"/>
          </w:tcPr>
          <w:p w14:paraId="7140FB4F">
            <w:pPr>
              <w:widowControl/>
              <w:jc w:val="center"/>
              <w:textAlignment w:val="center"/>
              <w:rPr>
                <w:color w:val="auto"/>
                <w:szCs w:val="21"/>
              </w:rPr>
            </w:pPr>
            <w:r>
              <w:rPr>
                <w:color w:val="auto"/>
                <w:kern w:val="0"/>
                <w:szCs w:val="21"/>
                <w:lang w:bidi="ar"/>
              </w:rPr>
              <w:t>0.012802</w:t>
            </w:r>
          </w:p>
        </w:tc>
        <w:tc>
          <w:tcPr>
            <w:tcW w:w="282" w:type="pct"/>
            <w:shd w:val="clear" w:color="auto" w:fill="FFFFFF"/>
            <w:noWrap/>
            <w:vAlign w:val="center"/>
          </w:tcPr>
          <w:p w14:paraId="06B3E0EE">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622AE977">
            <w:pPr>
              <w:widowControl/>
              <w:jc w:val="center"/>
              <w:textAlignment w:val="center"/>
              <w:rPr>
                <w:color w:val="auto"/>
                <w:szCs w:val="21"/>
              </w:rPr>
            </w:pPr>
            <w:r>
              <w:rPr>
                <w:color w:val="auto"/>
                <w:kern w:val="0"/>
                <w:szCs w:val="21"/>
                <w:lang w:bidi="ar"/>
              </w:rPr>
              <w:t>0</w:t>
            </w:r>
          </w:p>
        </w:tc>
      </w:tr>
      <w:tr w14:paraId="59B32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04" w:type="pct"/>
            <w:gridSpan w:val="2"/>
            <w:vMerge w:val="continue"/>
            <w:shd w:val="clear" w:color="auto" w:fill="FFFFFF"/>
            <w:vAlign w:val="center"/>
          </w:tcPr>
          <w:p w14:paraId="4E297E85">
            <w:pPr>
              <w:jc w:val="center"/>
              <w:rPr>
                <w:rFonts w:ascii="宋体" w:hAnsi="宋体" w:cs="宋体"/>
                <w:color w:val="auto"/>
                <w:szCs w:val="21"/>
              </w:rPr>
            </w:pPr>
          </w:p>
        </w:tc>
        <w:tc>
          <w:tcPr>
            <w:tcW w:w="300" w:type="pct"/>
            <w:shd w:val="clear" w:color="auto" w:fill="FFFFFF"/>
            <w:noWrap/>
            <w:vAlign w:val="center"/>
          </w:tcPr>
          <w:p w14:paraId="706B1286">
            <w:pPr>
              <w:widowControl/>
              <w:jc w:val="left"/>
              <w:textAlignment w:val="center"/>
              <w:rPr>
                <w:rFonts w:ascii="宋体" w:hAnsi="宋体" w:cs="宋体"/>
                <w:color w:val="auto"/>
                <w:szCs w:val="21"/>
              </w:rPr>
            </w:pPr>
            <w:r>
              <w:rPr>
                <w:rFonts w:hint="eastAsia" w:ascii="宋体" w:hAnsi="宋体" w:cs="宋体"/>
                <w:color w:val="auto"/>
                <w:kern w:val="0"/>
                <w:szCs w:val="21"/>
                <w:lang w:bidi="ar"/>
              </w:rPr>
              <w:t>甲醛</w:t>
            </w:r>
          </w:p>
        </w:tc>
        <w:tc>
          <w:tcPr>
            <w:tcW w:w="356" w:type="pct"/>
            <w:shd w:val="clear" w:color="auto" w:fill="FFFFFF"/>
            <w:noWrap/>
            <w:vAlign w:val="center"/>
          </w:tcPr>
          <w:p w14:paraId="71598827">
            <w:pPr>
              <w:widowControl/>
              <w:jc w:val="center"/>
              <w:textAlignment w:val="center"/>
              <w:rPr>
                <w:color w:val="auto"/>
                <w:szCs w:val="21"/>
              </w:rPr>
            </w:pPr>
            <w:r>
              <w:rPr>
                <w:color w:val="auto"/>
                <w:kern w:val="0"/>
                <w:szCs w:val="21"/>
                <w:lang w:bidi="ar"/>
              </w:rPr>
              <w:t>0.00185</w:t>
            </w:r>
          </w:p>
        </w:tc>
        <w:tc>
          <w:tcPr>
            <w:tcW w:w="356" w:type="pct"/>
            <w:shd w:val="clear" w:color="auto" w:fill="FFFFFF"/>
            <w:noWrap/>
            <w:vAlign w:val="center"/>
          </w:tcPr>
          <w:p w14:paraId="331077FD">
            <w:pPr>
              <w:widowControl/>
              <w:jc w:val="center"/>
              <w:textAlignment w:val="center"/>
              <w:rPr>
                <w:color w:val="auto"/>
                <w:szCs w:val="21"/>
              </w:rPr>
            </w:pPr>
            <w:r>
              <w:rPr>
                <w:color w:val="auto"/>
                <w:kern w:val="0"/>
                <w:szCs w:val="21"/>
                <w:lang w:bidi="ar"/>
              </w:rPr>
              <w:t>0.00185</w:t>
            </w:r>
          </w:p>
        </w:tc>
        <w:tc>
          <w:tcPr>
            <w:tcW w:w="356" w:type="pct"/>
            <w:shd w:val="clear" w:color="auto" w:fill="FFFFFF"/>
            <w:noWrap/>
            <w:vAlign w:val="center"/>
          </w:tcPr>
          <w:p w14:paraId="2C376FBD">
            <w:pPr>
              <w:widowControl/>
              <w:jc w:val="center"/>
              <w:textAlignment w:val="center"/>
              <w:rPr>
                <w:color w:val="auto"/>
                <w:kern w:val="0"/>
                <w:szCs w:val="21"/>
                <w:lang w:bidi="ar"/>
              </w:rPr>
            </w:pPr>
            <w:r>
              <w:rPr>
                <w:color w:val="auto"/>
                <w:kern w:val="0"/>
                <w:szCs w:val="21"/>
                <w:lang w:bidi="ar"/>
              </w:rPr>
              <w:t>0.00185</w:t>
            </w:r>
          </w:p>
        </w:tc>
        <w:tc>
          <w:tcPr>
            <w:tcW w:w="356" w:type="pct"/>
            <w:shd w:val="clear" w:color="auto" w:fill="FFFFFF"/>
            <w:noWrap/>
            <w:vAlign w:val="center"/>
          </w:tcPr>
          <w:p w14:paraId="372B93B6">
            <w:pPr>
              <w:widowControl/>
              <w:jc w:val="center"/>
              <w:textAlignment w:val="center"/>
              <w:rPr>
                <w:color w:val="auto"/>
              </w:rPr>
            </w:pPr>
            <w:r>
              <w:rPr>
                <w:color w:val="auto"/>
                <w:kern w:val="0"/>
                <w:szCs w:val="21"/>
                <w:lang w:bidi="ar"/>
              </w:rPr>
              <w:t>0.00185</w:t>
            </w:r>
          </w:p>
        </w:tc>
        <w:tc>
          <w:tcPr>
            <w:tcW w:w="280" w:type="pct"/>
            <w:shd w:val="clear" w:color="auto" w:fill="FFFFFF"/>
            <w:noWrap/>
            <w:vAlign w:val="center"/>
          </w:tcPr>
          <w:p w14:paraId="1670E358">
            <w:pPr>
              <w:widowControl/>
              <w:jc w:val="center"/>
              <w:textAlignment w:val="center"/>
              <w:rPr>
                <w:color w:val="auto"/>
                <w:kern w:val="0"/>
                <w:szCs w:val="21"/>
                <w:lang w:bidi="ar"/>
              </w:rPr>
            </w:pPr>
            <w:r>
              <w:rPr>
                <w:color w:val="auto"/>
                <w:kern w:val="0"/>
                <w:szCs w:val="21"/>
                <w:lang w:bidi="ar"/>
              </w:rPr>
              <w:t>0</w:t>
            </w:r>
          </w:p>
        </w:tc>
        <w:tc>
          <w:tcPr>
            <w:tcW w:w="280" w:type="pct"/>
            <w:shd w:val="clear" w:color="auto" w:fill="FFFFFF"/>
            <w:noWrap/>
            <w:vAlign w:val="center"/>
          </w:tcPr>
          <w:p w14:paraId="4AABBA30">
            <w:pPr>
              <w:widowControl/>
              <w:jc w:val="center"/>
              <w:textAlignment w:val="center"/>
              <w:rPr>
                <w:color w:val="auto"/>
              </w:rPr>
            </w:pPr>
            <w:r>
              <w:rPr>
                <w:color w:val="auto"/>
                <w:kern w:val="0"/>
                <w:szCs w:val="21"/>
                <w:lang w:bidi="ar"/>
              </w:rPr>
              <w:t>0</w:t>
            </w:r>
          </w:p>
        </w:tc>
        <w:tc>
          <w:tcPr>
            <w:tcW w:w="794" w:type="dxa"/>
            <w:shd w:val="clear" w:color="auto" w:fill="FFFFFF"/>
            <w:noWrap/>
            <w:vAlign w:val="center"/>
          </w:tcPr>
          <w:p w14:paraId="17D97CA9">
            <w:pPr>
              <w:widowControl/>
              <w:jc w:val="center"/>
              <w:textAlignment w:val="center"/>
              <w:rPr>
                <w:color w:val="auto"/>
                <w:szCs w:val="21"/>
              </w:rPr>
            </w:pPr>
            <w:r>
              <w:rPr>
                <w:color w:val="auto"/>
                <w:kern w:val="0"/>
                <w:szCs w:val="21"/>
                <w:lang w:bidi="ar"/>
              </w:rPr>
              <w:t>0</w:t>
            </w:r>
          </w:p>
        </w:tc>
        <w:tc>
          <w:tcPr>
            <w:tcW w:w="794" w:type="dxa"/>
            <w:shd w:val="clear" w:color="auto" w:fill="FFFFFF"/>
            <w:vAlign w:val="center"/>
          </w:tcPr>
          <w:p w14:paraId="2096A64F">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5611CFB8">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4E1BED64">
            <w:pPr>
              <w:widowControl/>
              <w:jc w:val="center"/>
              <w:textAlignment w:val="center"/>
              <w:rPr>
                <w:color w:val="auto"/>
                <w:szCs w:val="21"/>
              </w:rPr>
            </w:pPr>
            <w:r>
              <w:rPr>
                <w:color w:val="auto"/>
                <w:kern w:val="0"/>
                <w:szCs w:val="21"/>
                <w:lang w:bidi="ar"/>
              </w:rPr>
              <w:t>0</w:t>
            </w:r>
          </w:p>
        </w:tc>
        <w:tc>
          <w:tcPr>
            <w:tcW w:w="1004" w:type="dxa"/>
            <w:shd w:val="clear" w:color="auto" w:fill="FFFFFF"/>
            <w:noWrap/>
            <w:vAlign w:val="center"/>
          </w:tcPr>
          <w:p w14:paraId="08B3ABBB">
            <w:pPr>
              <w:widowControl/>
              <w:jc w:val="center"/>
              <w:textAlignment w:val="center"/>
              <w:rPr>
                <w:color w:val="auto"/>
                <w:szCs w:val="21"/>
              </w:rPr>
            </w:pPr>
            <w:r>
              <w:rPr>
                <w:color w:val="auto"/>
                <w:kern w:val="0"/>
                <w:szCs w:val="21"/>
                <w:lang w:bidi="ar"/>
              </w:rPr>
              <w:t>0.00185</w:t>
            </w:r>
          </w:p>
        </w:tc>
        <w:tc>
          <w:tcPr>
            <w:tcW w:w="1004" w:type="dxa"/>
            <w:shd w:val="clear" w:color="auto" w:fill="FFFFFF"/>
            <w:noWrap/>
            <w:vAlign w:val="center"/>
          </w:tcPr>
          <w:p w14:paraId="3744456C">
            <w:pPr>
              <w:widowControl/>
              <w:jc w:val="center"/>
              <w:textAlignment w:val="center"/>
              <w:rPr>
                <w:color w:val="auto"/>
                <w:szCs w:val="21"/>
              </w:rPr>
            </w:pPr>
            <w:r>
              <w:rPr>
                <w:color w:val="auto"/>
                <w:kern w:val="0"/>
                <w:szCs w:val="21"/>
                <w:lang w:bidi="ar"/>
              </w:rPr>
              <w:t>0.00185</w:t>
            </w:r>
          </w:p>
        </w:tc>
        <w:tc>
          <w:tcPr>
            <w:tcW w:w="282" w:type="pct"/>
            <w:shd w:val="clear" w:color="auto" w:fill="FFFFFF"/>
            <w:noWrap/>
            <w:vAlign w:val="center"/>
          </w:tcPr>
          <w:p w14:paraId="1AF38254">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76AD2885">
            <w:pPr>
              <w:widowControl/>
              <w:jc w:val="center"/>
              <w:textAlignment w:val="center"/>
              <w:rPr>
                <w:color w:val="auto"/>
                <w:szCs w:val="21"/>
              </w:rPr>
            </w:pPr>
            <w:r>
              <w:rPr>
                <w:color w:val="auto"/>
                <w:kern w:val="0"/>
                <w:szCs w:val="21"/>
                <w:lang w:bidi="ar"/>
              </w:rPr>
              <w:t>0</w:t>
            </w:r>
          </w:p>
        </w:tc>
      </w:tr>
      <w:tr w14:paraId="7F738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04" w:type="pct"/>
            <w:gridSpan w:val="2"/>
            <w:vMerge w:val="restart"/>
            <w:shd w:val="clear" w:color="auto" w:fill="FFFFFF"/>
            <w:vAlign w:val="center"/>
          </w:tcPr>
          <w:p w14:paraId="46F4A6CD">
            <w:pPr>
              <w:widowControl/>
              <w:jc w:val="center"/>
              <w:textAlignment w:val="center"/>
              <w:rPr>
                <w:rFonts w:ascii="宋体" w:hAnsi="宋体" w:cs="宋体"/>
                <w:color w:val="auto"/>
                <w:szCs w:val="21"/>
              </w:rPr>
            </w:pPr>
            <w:r>
              <w:rPr>
                <w:rFonts w:hint="eastAsia" w:ascii="宋体" w:hAnsi="宋体" w:cs="宋体"/>
                <w:color w:val="auto"/>
                <w:kern w:val="0"/>
                <w:szCs w:val="21"/>
                <w:lang w:bidi="ar"/>
              </w:rPr>
              <w:t>生产废水</w:t>
            </w:r>
          </w:p>
        </w:tc>
        <w:tc>
          <w:tcPr>
            <w:tcW w:w="300" w:type="pct"/>
            <w:shd w:val="clear" w:color="auto" w:fill="FFFFFF"/>
            <w:noWrap/>
            <w:vAlign w:val="center"/>
          </w:tcPr>
          <w:p w14:paraId="4C3C55BF">
            <w:pPr>
              <w:widowControl/>
              <w:jc w:val="left"/>
              <w:textAlignment w:val="center"/>
              <w:rPr>
                <w:rFonts w:ascii="宋体" w:hAnsi="宋体" w:cs="宋体"/>
                <w:color w:val="auto"/>
                <w:szCs w:val="21"/>
              </w:rPr>
            </w:pPr>
            <w:r>
              <w:rPr>
                <w:rFonts w:hint="eastAsia" w:ascii="宋体" w:hAnsi="宋体" w:cs="宋体"/>
                <w:color w:val="auto"/>
                <w:kern w:val="0"/>
                <w:szCs w:val="21"/>
                <w:lang w:bidi="ar"/>
              </w:rPr>
              <w:t>水量</w:t>
            </w:r>
          </w:p>
        </w:tc>
        <w:tc>
          <w:tcPr>
            <w:tcW w:w="356" w:type="pct"/>
            <w:shd w:val="clear" w:color="auto" w:fill="FFFFFF"/>
            <w:noWrap/>
            <w:vAlign w:val="center"/>
          </w:tcPr>
          <w:p w14:paraId="1B46FB17">
            <w:pPr>
              <w:widowControl/>
              <w:jc w:val="center"/>
              <w:textAlignment w:val="center"/>
              <w:rPr>
                <w:color w:val="auto"/>
                <w:szCs w:val="21"/>
              </w:rPr>
            </w:pPr>
            <w:r>
              <w:rPr>
                <w:color w:val="auto"/>
                <w:kern w:val="0"/>
                <w:szCs w:val="21"/>
                <w:lang w:bidi="ar"/>
              </w:rPr>
              <w:t>8875</w:t>
            </w:r>
          </w:p>
        </w:tc>
        <w:tc>
          <w:tcPr>
            <w:tcW w:w="356" w:type="pct"/>
            <w:shd w:val="clear" w:color="auto" w:fill="FFFFFF"/>
            <w:noWrap/>
            <w:vAlign w:val="center"/>
          </w:tcPr>
          <w:p w14:paraId="0E2CAA7B">
            <w:pPr>
              <w:widowControl/>
              <w:jc w:val="center"/>
              <w:textAlignment w:val="center"/>
              <w:rPr>
                <w:color w:val="auto"/>
                <w:szCs w:val="21"/>
              </w:rPr>
            </w:pPr>
            <w:r>
              <w:rPr>
                <w:color w:val="auto"/>
                <w:kern w:val="0"/>
                <w:szCs w:val="21"/>
                <w:lang w:bidi="ar"/>
              </w:rPr>
              <w:t>2662.5</w:t>
            </w:r>
          </w:p>
        </w:tc>
        <w:tc>
          <w:tcPr>
            <w:tcW w:w="356" w:type="pct"/>
            <w:shd w:val="clear" w:color="auto" w:fill="FFFFFF"/>
            <w:noWrap/>
            <w:vAlign w:val="center"/>
          </w:tcPr>
          <w:p w14:paraId="149FF243">
            <w:pPr>
              <w:widowControl/>
              <w:jc w:val="center"/>
              <w:textAlignment w:val="center"/>
              <w:rPr>
                <w:color w:val="auto"/>
                <w:kern w:val="0"/>
                <w:szCs w:val="21"/>
                <w:lang w:bidi="ar"/>
              </w:rPr>
            </w:pPr>
            <w:r>
              <w:rPr>
                <w:color w:val="auto"/>
                <w:kern w:val="0"/>
                <w:szCs w:val="21"/>
                <w:lang w:bidi="ar"/>
              </w:rPr>
              <w:t>8875</w:t>
            </w:r>
          </w:p>
        </w:tc>
        <w:tc>
          <w:tcPr>
            <w:tcW w:w="356" w:type="pct"/>
            <w:shd w:val="clear" w:color="auto" w:fill="FFFFFF"/>
            <w:noWrap/>
            <w:vAlign w:val="center"/>
          </w:tcPr>
          <w:p w14:paraId="47C15EDC">
            <w:pPr>
              <w:widowControl/>
              <w:jc w:val="center"/>
              <w:textAlignment w:val="center"/>
              <w:rPr>
                <w:color w:val="auto"/>
              </w:rPr>
            </w:pPr>
            <w:r>
              <w:rPr>
                <w:color w:val="auto"/>
                <w:kern w:val="0"/>
                <w:szCs w:val="21"/>
                <w:lang w:bidi="ar"/>
              </w:rPr>
              <w:t>2662.5</w:t>
            </w:r>
          </w:p>
        </w:tc>
        <w:tc>
          <w:tcPr>
            <w:tcW w:w="280" w:type="pct"/>
            <w:shd w:val="clear" w:color="auto" w:fill="FFFFFF"/>
            <w:noWrap/>
            <w:vAlign w:val="center"/>
          </w:tcPr>
          <w:p w14:paraId="4EF99F04">
            <w:pPr>
              <w:widowControl/>
              <w:jc w:val="center"/>
              <w:textAlignment w:val="center"/>
              <w:rPr>
                <w:color w:val="auto"/>
                <w:kern w:val="0"/>
                <w:szCs w:val="21"/>
                <w:lang w:bidi="ar"/>
              </w:rPr>
            </w:pPr>
            <w:r>
              <w:rPr>
                <w:color w:val="auto"/>
                <w:kern w:val="0"/>
                <w:szCs w:val="21"/>
                <w:lang w:bidi="ar"/>
              </w:rPr>
              <w:t>0</w:t>
            </w:r>
          </w:p>
        </w:tc>
        <w:tc>
          <w:tcPr>
            <w:tcW w:w="280" w:type="pct"/>
            <w:shd w:val="clear" w:color="auto" w:fill="FFFFFF"/>
            <w:noWrap/>
            <w:vAlign w:val="center"/>
          </w:tcPr>
          <w:p w14:paraId="522ED2D4">
            <w:pPr>
              <w:widowControl/>
              <w:jc w:val="center"/>
              <w:textAlignment w:val="center"/>
              <w:rPr>
                <w:color w:val="auto"/>
              </w:rPr>
            </w:pPr>
            <w:r>
              <w:rPr>
                <w:color w:val="auto"/>
                <w:kern w:val="0"/>
                <w:szCs w:val="21"/>
                <w:lang w:bidi="ar"/>
              </w:rPr>
              <w:t>0</w:t>
            </w:r>
          </w:p>
        </w:tc>
        <w:tc>
          <w:tcPr>
            <w:tcW w:w="794" w:type="dxa"/>
            <w:shd w:val="clear" w:color="auto" w:fill="FFFFFF"/>
            <w:noWrap/>
            <w:vAlign w:val="center"/>
          </w:tcPr>
          <w:p w14:paraId="3DA33398">
            <w:pPr>
              <w:widowControl/>
              <w:jc w:val="center"/>
              <w:textAlignment w:val="center"/>
              <w:rPr>
                <w:color w:val="auto"/>
                <w:szCs w:val="21"/>
              </w:rPr>
            </w:pPr>
            <w:r>
              <w:rPr>
                <w:color w:val="auto"/>
                <w:kern w:val="0"/>
                <w:szCs w:val="21"/>
                <w:lang w:bidi="ar"/>
              </w:rPr>
              <w:t>0</w:t>
            </w:r>
          </w:p>
        </w:tc>
        <w:tc>
          <w:tcPr>
            <w:tcW w:w="794" w:type="dxa"/>
            <w:shd w:val="clear" w:color="auto" w:fill="FFFFFF"/>
            <w:vAlign w:val="center"/>
          </w:tcPr>
          <w:p w14:paraId="4F5A6A96">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55C9C0AB">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10BC1481">
            <w:pPr>
              <w:widowControl/>
              <w:jc w:val="center"/>
              <w:textAlignment w:val="center"/>
              <w:rPr>
                <w:color w:val="auto"/>
                <w:szCs w:val="21"/>
              </w:rPr>
            </w:pPr>
            <w:r>
              <w:rPr>
                <w:color w:val="auto"/>
                <w:kern w:val="0"/>
                <w:szCs w:val="21"/>
                <w:lang w:bidi="ar"/>
              </w:rPr>
              <w:t>0</w:t>
            </w:r>
          </w:p>
        </w:tc>
        <w:tc>
          <w:tcPr>
            <w:tcW w:w="1004" w:type="dxa"/>
            <w:shd w:val="clear" w:color="auto" w:fill="FFFFFF"/>
            <w:noWrap/>
            <w:vAlign w:val="center"/>
          </w:tcPr>
          <w:p w14:paraId="413DED22">
            <w:pPr>
              <w:widowControl/>
              <w:jc w:val="center"/>
              <w:textAlignment w:val="center"/>
              <w:rPr>
                <w:color w:val="auto"/>
                <w:szCs w:val="21"/>
              </w:rPr>
            </w:pPr>
            <w:r>
              <w:rPr>
                <w:color w:val="auto"/>
                <w:kern w:val="0"/>
                <w:szCs w:val="21"/>
                <w:lang w:bidi="ar"/>
              </w:rPr>
              <w:t>8875</w:t>
            </w:r>
          </w:p>
        </w:tc>
        <w:tc>
          <w:tcPr>
            <w:tcW w:w="1004" w:type="dxa"/>
            <w:shd w:val="clear" w:color="auto" w:fill="FFFFFF"/>
            <w:noWrap/>
            <w:vAlign w:val="center"/>
          </w:tcPr>
          <w:p w14:paraId="557724DD">
            <w:pPr>
              <w:widowControl/>
              <w:jc w:val="center"/>
              <w:textAlignment w:val="center"/>
              <w:rPr>
                <w:color w:val="auto"/>
                <w:szCs w:val="21"/>
              </w:rPr>
            </w:pPr>
            <w:r>
              <w:rPr>
                <w:color w:val="auto"/>
                <w:kern w:val="0"/>
                <w:szCs w:val="21"/>
                <w:lang w:bidi="ar"/>
              </w:rPr>
              <w:t>2662.5</w:t>
            </w:r>
          </w:p>
        </w:tc>
        <w:tc>
          <w:tcPr>
            <w:tcW w:w="282" w:type="pct"/>
            <w:shd w:val="clear" w:color="auto" w:fill="FFFFFF"/>
            <w:noWrap/>
            <w:vAlign w:val="center"/>
          </w:tcPr>
          <w:p w14:paraId="3772069A">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0F931DDE">
            <w:pPr>
              <w:widowControl/>
              <w:jc w:val="center"/>
              <w:textAlignment w:val="center"/>
              <w:rPr>
                <w:color w:val="auto"/>
                <w:szCs w:val="21"/>
              </w:rPr>
            </w:pPr>
            <w:r>
              <w:rPr>
                <w:color w:val="auto"/>
                <w:kern w:val="0"/>
                <w:szCs w:val="21"/>
                <w:lang w:bidi="ar"/>
              </w:rPr>
              <w:t>0</w:t>
            </w:r>
          </w:p>
        </w:tc>
      </w:tr>
      <w:tr w14:paraId="2EE03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04" w:type="pct"/>
            <w:gridSpan w:val="2"/>
            <w:vMerge w:val="continue"/>
            <w:shd w:val="clear" w:color="auto" w:fill="FFFFFF"/>
            <w:vAlign w:val="center"/>
          </w:tcPr>
          <w:p w14:paraId="0DE002EB">
            <w:pPr>
              <w:jc w:val="center"/>
              <w:rPr>
                <w:rFonts w:ascii="宋体" w:hAnsi="宋体" w:cs="宋体"/>
                <w:color w:val="auto"/>
                <w:szCs w:val="21"/>
              </w:rPr>
            </w:pPr>
          </w:p>
        </w:tc>
        <w:tc>
          <w:tcPr>
            <w:tcW w:w="300" w:type="pct"/>
            <w:shd w:val="clear" w:color="auto" w:fill="FFFFFF"/>
            <w:noWrap/>
            <w:vAlign w:val="center"/>
          </w:tcPr>
          <w:p w14:paraId="4E864428">
            <w:pPr>
              <w:widowControl/>
              <w:jc w:val="left"/>
              <w:textAlignment w:val="center"/>
              <w:rPr>
                <w:color w:val="auto"/>
                <w:szCs w:val="21"/>
              </w:rPr>
            </w:pPr>
            <w:r>
              <w:rPr>
                <w:color w:val="auto"/>
                <w:kern w:val="0"/>
                <w:szCs w:val="21"/>
                <w:lang w:bidi="ar"/>
              </w:rPr>
              <w:t>COD</w:t>
            </w:r>
          </w:p>
        </w:tc>
        <w:tc>
          <w:tcPr>
            <w:tcW w:w="356" w:type="pct"/>
            <w:shd w:val="clear" w:color="auto" w:fill="FFFFFF"/>
            <w:noWrap/>
            <w:vAlign w:val="center"/>
          </w:tcPr>
          <w:p w14:paraId="655B97CA">
            <w:pPr>
              <w:widowControl/>
              <w:jc w:val="center"/>
              <w:textAlignment w:val="center"/>
              <w:rPr>
                <w:color w:val="auto"/>
                <w:szCs w:val="21"/>
              </w:rPr>
            </w:pPr>
            <w:r>
              <w:rPr>
                <w:color w:val="auto"/>
                <w:kern w:val="0"/>
                <w:szCs w:val="21"/>
                <w:lang w:bidi="ar"/>
              </w:rPr>
              <w:t>1.043</w:t>
            </w:r>
          </w:p>
        </w:tc>
        <w:tc>
          <w:tcPr>
            <w:tcW w:w="356" w:type="pct"/>
            <w:shd w:val="clear" w:color="auto" w:fill="FFFFFF"/>
            <w:noWrap/>
            <w:vAlign w:val="center"/>
          </w:tcPr>
          <w:p w14:paraId="42F2DD8E">
            <w:pPr>
              <w:widowControl/>
              <w:jc w:val="center"/>
              <w:textAlignment w:val="center"/>
              <w:rPr>
                <w:color w:val="auto"/>
                <w:szCs w:val="21"/>
              </w:rPr>
            </w:pPr>
            <w:r>
              <w:rPr>
                <w:color w:val="auto"/>
                <w:kern w:val="0"/>
                <w:szCs w:val="21"/>
                <w:lang w:bidi="ar"/>
              </w:rPr>
              <w:t>0.0804</w:t>
            </w:r>
          </w:p>
        </w:tc>
        <w:tc>
          <w:tcPr>
            <w:tcW w:w="356" w:type="pct"/>
            <w:shd w:val="clear" w:color="auto" w:fill="FFFFFF"/>
            <w:noWrap/>
            <w:vAlign w:val="center"/>
          </w:tcPr>
          <w:p w14:paraId="5B108F74">
            <w:pPr>
              <w:widowControl/>
              <w:jc w:val="center"/>
              <w:textAlignment w:val="center"/>
              <w:rPr>
                <w:color w:val="auto"/>
                <w:kern w:val="0"/>
                <w:szCs w:val="21"/>
                <w:lang w:bidi="ar"/>
              </w:rPr>
            </w:pPr>
            <w:r>
              <w:rPr>
                <w:color w:val="auto"/>
                <w:kern w:val="0"/>
                <w:szCs w:val="21"/>
                <w:lang w:bidi="ar"/>
              </w:rPr>
              <w:t>1.043</w:t>
            </w:r>
          </w:p>
        </w:tc>
        <w:tc>
          <w:tcPr>
            <w:tcW w:w="356" w:type="pct"/>
            <w:shd w:val="clear" w:color="auto" w:fill="FFFFFF"/>
            <w:noWrap/>
            <w:vAlign w:val="center"/>
          </w:tcPr>
          <w:p w14:paraId="3D2EEA4B">
            <w:pPr>
              <w:widowControl/>
              <w:jc w:val="center"/>
              <w:textAlignment w:val="center"/>
              <w:rPr>
                <w:color w:val="auto"/>
              </w:rPr>
            </w:pPr>
            <w:r>
              <w:rPr>
                <w:color w:val="auto"/>
                <w:kern w:val="0"/>
                <w:szCs w:val="21"/>
                <w:lang w:bidi="ar"/>
              </w:rPr>
              <w:t>0.0804</w:t>
            </w:r>
          </w:p>
        </w:tc>
        <w:tc>
          <w:tcPr>
            <w:tcW w:w="280" w:type="pct"/>
            <w:shd w:val="clear" w:color="auto" w:fill="FFFFFF"/>
            <w:noWrap/>
            <w:vAlign w:val="center"/>
          </w:tcPr>
          <w:p w14:paraId="4D546118">
            <w:pPr>
              <w:widowControl/>
              <w:jc w:val="center"/>
              <w:textAlignment w:val="center"/>
              <w:rPr>
                <w:color w:val="auto"/>
                <w:kern w:val="0"/>
                <w:szCs w:val="21"/>
                <w:lang w:bidi="ar"/>
              </w:rPr>
            </w:pPr>
            <w:r>
              <w:rPr>
                <w:color w:val="auto"/>
                <w:kern w:val="0"/>
                <w:szCs w:val="21"/>
                <w:lang w:bidi="ar"/>
              </w:rPr>
              <w:t>0</w:t>
            </w:r>
          </w:p>
        </w:tc>
        <w:tc>
          <w:tcPr>
            <w:tcW w:w="280" w:type="pct"/>
            <w:shd w:val="clear" w:color="auto" w:fill="FFFFFF"/>
            <w:noWrap/>
            <w:vAlign w:val="center"/>
          </w:tcPr>
          <w:p w14:paraId="4BA74A82">
            <w:pPr>
              <w:widowControl/>
              <w:jc w:val="center"/>
              <w:textAlignment w:val="center"/>
              <w:rPr>
                <w:color w:val="auto"/>
              </w:rPr>
            </w:pPr>
            <w:r>
              <w:rPr>
                <w:color w:val="auto"/>
                <w:kern w:val="0"/>
                <w:szCs w:val="21"/>
                <w:lang w:bidi="ar"/>
              </w:rPr>
              <w:t>0</w:t>
            </w:r>
          </w:p>
        </w:tc>
        <w:tc>
          <w:tcPr>
            <w:tcW w:w="794" w:type="dxa"/>
            <w:shd w:val="clear" w:color="auto" w:fill="FFFFFF"/>
            <w:noWrap/>
            <w:vAlign w:val="center"/>
          </w:tcPr>
          <w:p w14:paraId="79112840">
            <w:pPr>
              <w:widowControl/>
              <w:jc w:val="center"/>
              <w:textAlignment w:val="center"/>
              <w:rPr>
                <w:color w:val="auto"/>
                <w:szCs w:val="21"/>
              </w:rPr>
            </w:pPr>
            <w:r>
              <w:rPr>
                <w:color w:val="auto"/>
                <w:kern w:val="0"/>
                <w:szCs w:val="21"/>
                <w:lang w:bidi="ar"/>
              </w:rPr>
              <w:t>0</w:t>
            </w:r>
          </w:p>
        </w:tc>
        <w:tc>
          <w:tcPr>
            <w:tcW w:w="794" w:type="dxa"/>
            <w:shd w:val="clear" w:color="auto" w:fill="FFFFFF"/>
            <w:vAlign w:val="center"/>
          </w:tcPr>
          <w:p w14:paraId="6D8F9920">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4A5A06D7">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7CCA8182">
            <w:pPr>
              <w:widowControl/>
              <w:jc w:val="center"/>
              <w:textAlignment w:val="center"/>
              <w:rPr>
                <w:color w:val="auto"/>
                <w:szCs w:val="21"/>
              </w:rPr>
            </w:pPr>
            <w:r>
              <w:rPr>
                <w:color w:val="auto"/>
                <w:kern w:val="0"/>
                <w:szCs w:val="21"/>
                <w:lang w:bidi="ar"/>
              </w:rPr>
              <w:t>0</w:t>
            </w:r>
          </w:p>
        </w:tc>
        <w:tc>
          <w:tcPr>
            <w:tcW w:w="1004" w:type="dxa"/>
            <w:shd w:val="clear" w:color="auto" w:fill="FFFFFF"/>
            <w:noWrap/>
            <w:vAlign w:val="center"/>
          </w:tcPr>
          <w:p w14:paraId="0C4F1327">
            <w:pPr>
              <w:widowControl/>
              <w:jc w:val="center"/>
              <w:textAlignment w:val="center"/>
              <w:rPr>
                <w:color w:val="auto"/>
                <w:szCs w:val="21"/>
              </w:rPr>
            </w:pPr>
            <w:r>
              <w:rPr>
                <w:color w:val="auto"/>
                <w:kern w:val="0"/>
                <w:szCs w:val="21"/>
                <w:lang w:bidi="ar"/>
              </w:rPr>
              <w:t>1.043</w:t>
            </w:r>
          </w:p>
        </w:tc>
        <w:tc>
          <w:tcPr>
            <w:tcW w:w="1004" w:type="dxa"/>
            <w:shd w:val="clear" w:color="auto" w:fill="FFFFFF"/>
            <w:noWrap/>
            <w:vAlign w:val="center"/>
          </w:tcPr>
          <w:p w14:paraId="5FE5F096">
            <w:pPr>
              <w:widowControl/>
              <w:jc w:val="center"/>
              <w:textAlignment w:val="center"/>
              <w:rPr>
                <w:color w:val="auto"/>
                <w:szCs w:val="21"/>
              </w:rPr>
            </w:pPr>
            <w:r>
              <w:rPr>
                <w:color w:val="auto"/>
                <w:kern w:val="0"/>
                <w:szCs w:val="21"/>
                <w:lang w:bidi="ar"/>
              </w:rPr>
              <w:t>0.0804</w:t>
            </w:r>
          </w:p>
        </w:tc>
        <w:tc>
          <w:tcPr>
            <w:tcW w:w="282" w:type="pct"/>
            <w:shd w:val="clear" w:color="auto" w:fill="FFFFFF"/>
            <w:noWrap/>
            <w:vAlign w:val="center"/>
          </w:tcPr>
          <w:p w14:paraId="4601653A">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7AA4E3DE">
            <w:pPr>
              <w:widowControl/>
              <w:jc w:val="center"/>
              <w:textAlignment w:val="center"/>
              <w:rPr>
                <w:color w:val="auto"/>
                <w:szCs w:val="21"/>
              </w:rPr>
            </w:pPr>
            <w:r>
              <w:rPr>
                <w:color w:val="auto"/>
                <w:kern w:val="0"/>
                <w:szCs w:val="21"/>
                <w:lang w:bidi="ar"/>
              </w:rPr>
              <w:t>0</w:t>
            </w:r>
          </w:p>
        </w:tc>
      </w:tr>
      <w:tr w14:paraId="4A142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04" w:type="pct"/>
            <w:gridSpan w:val="2"/>
            <w:vMerge w:val="continue"/>
            <w:shd w:val="clear" w:color="auto" w:fill="FFFFFF"/>
            <w:vAlign w:val="center"/>
          </w:tcPr>
          <w:p w14:paraId="20DAABC3">
            <w:pPr>
              <w:jc w:val="center"/>
              <w:rPr>
                <w:rFonts w:ascii="宋体" w:hAnsi="宋体" w:cs="宋体"/>
                <w:color w:val="auto"/>
                <w:szCs w:val="21"/>
              </w:rPr>
            </w:pPr>
          </w:p>
        </w:tc>
        <w:tc>
          <w:tcPr>
            <w:tcW w:w="300" w:type="pct"/>
            <w:shd w:val="clear" w:color="auto" w:fill="FFFFFF"/>
            <w:noWrap/>
            <w:vAlign w:val="center"/>
          </w:tcPr>
          <w:p w14:paraId="320B3C70">
            <w:pPr>
              <w:widowControl/>
              <w:jc w:val="left"/>
              <w:textAlignment w:val="center"/>
              <w:rPr>
                <w:color w:val="auto"/>
                <w:szCs w:val="21"/>
              </w:rPr>
            </w:pPr>
            <w:r>
              <w:rPr>
                <w:color w:val="auto"/>
                <w:kern w:val="0"/>
                <w:szCs w:val="21"/>
                <w:lang w:bidi="ar"/>
              </w:rPr>
              <w:t>SS</w:t>
            </w:r>
          </w:p>
        </w:tc>
        <w:tc>
          <w:tcPr>
            <w:tcW w:w="356" w:type="pct"/>
            <w:shd w:val="clear" w:color="auto" w:fill="FFFFFF"/>
            <w:noWrap/>
            <w:vAlign w:val="center"/>
          </w:tcPr>
          <w:p w14:paraId="7E96C9CC">
            <w:pPr>
              <w:widowControl/>
              <w:jc w:val="center"/>
              <w:textAlignment w:val="center"/>
              <w:rPr>
                <w:color w:val="auto"/>
                <w:szCs w:val="21"/>
              </w:rPr>
            </w:pPr>
            <w:r>
              <w:rPr>
                <w:color w:val="auto"/>
                <w:kern w:val="0"/>
                <w:szCs w:val="21"/>
                <w:lang w:bidi="ar"/>
              </w:rPr>
              <w:t>0.344</w:t>
            </w:r>
          </w:p>
        </w:tc>
        <w:tc>
          <w:tcPr>
            <w:tcW w:w="356" w:type="pct"/>
            <w:shd w:val="clear" w:color="auto" w:fill="FFFFFF"/>
            <w:noWrap/>
            <w:vAlign w:val="center"/>
          </w:tcPr>
          <w:p w14:paraId="583A9730">
            <w:pPr>
              <w:widowControl/>
              <w:jc w:val="center"/>
              <w:textAlignment w:val="center"/>
              <w:rPr>
                <w:color w:val="auto"/>
                <w:szCs w:val="21"/>
              </w:rPr>
            </w:pPr>
            <w:r>
              <w:rPr>
                <w:color w:val="auto"/>
                <w:kern w:val="0"/>
                <w:szCs w:val="21"/>
                <w:lang w:bidi="ar"/>
              </w:rPr>
              <w:t>0.0266</w:t>
            </w:r>
          </w:p>
        </w:tc>
        <w:tc>
          <w:tcPr>
            <w:tcW w:w="356" w:type="pct"/>
            <w:shd w:val="clear" w:color="auto" w:fill="FFFFFF"/>
            <w:noWrap/>
            <w:vAlign w:val="center"/>
          </w:tcPr>
          <w:p w14:paraId="231B54C7">
            <w:pPr>
              <w:widowControl/>
              <w:jc w:val="center"/>
              <w:textAlignment w:val="center"/>
              <w:rPr>
                <w:color w:val="auto"/>
                <w:kern w:val="0"/>
                <w:szCs w:val="21"/>
                <w:lang w:bidi="ar"/>
              </w:rPr>
            </w:pPr>
            <w:r>
              <w:rPr>
                <w:color w:val="auto"/>
                <w:kern w:val="0"/>
                <w:szCs w:val="21"/>
                <w:lang w:bidi="ar"/>
              </w:rPr>
              <w:t>0.344</w:t>
            </w:r>
          </w:p>
        </w:tc>
        <w:tc>
          <w:tcPr>
            <w:tcW w:w="356" w:type="pct"/>
            <w:shd w:val="clear" w:color="auto" w:fill="FFFFFF"/>
            <w:noWrap/>
            <w:vAlign w:val="center"/>
          </w:tcPr>
          <w:p w14:paraId="645FDBC4">
            <w:pPr>
              <w:widowControl/>
              <w:jc w:val="center"/>
              <w:textAlignment w:val="center"/>
              <w:rPr>
                <w:color w:val="auto"/>
              </w:rPr>
            </w:pPr>
            <w:r>
              <w:rPr>
                <w:color w:val="auto"/>
                <w:kern w:val="0"/>
                <w:szCs w:val="21"/>
                <w:lang w:bidi="ar"/>
              </w:rPr>
              <w:t>0.0266</w:t>
            </w:r>
          </w:p>
        </w:tc>
        <w:tc>
          <w:tcPr>
            <w:tcW w:w="280" w:type="pct"/>
            <w:shd w:val="clear" w:color="auto" w:fill="FFFFFF"/>
            <w:noWrap/>
            <w:vAlign w:val="center"/>
          </w:tcPr>
          <w:p w14:paraId="68376056">
            <w:pPr>
              <w:widowControl/>
              <w:jc w:val="center"/>
              <w:textAlignment w:val="center"/>
              <w:rPr>
                <w:color w:val="auto"/>
                <w:kern w:val="0"/>
                <w:szCs w:val="21"/>
                <w:lang w:bidi="ar"/>
              </w:rPr>
            </w:pPr>
            <w:r>
              <w:rPr>
                <w:color w:val="auto"/>
                <w:kern w:val="0"/>
                <w:szCs w:val="21"/>
                <w:lang w:bidi="ar"/>
              </w:rPr>
              <w:t>0</w:t>
            </w:r>
          </w:p>
        </w:tc>
        <w:tc>
          <w:tcPr>
            <w:tcW w:w="280" w:type="pct"/>
            <w:shd w:val="clear" w:color="auto" w:fill="FFFFFF"/>
            <w:noWrap/>
            <w:vAlign w:val="center"/>
          </w:tcPr>
          <w:p w14:paraId="3E4E3A16">
            <w:pPr>
              <w:widowControl/>
              <w:jc w:val="center"/>
              <w:textAlignment w:val="center"/>
              <w:rPr>
                <w:color w:val="auto"/>
              </w:rPr>
            </w:pPr>
            <w:r>
              <w:rPr>
                <w:color w:val="auto"/>
                <w:kern w:val="0"/>
                <w:szCs w:val="21"/>
                <w:lang w:bidi="ar"/>
              </w:rPr>
              <w:t>0</w:t>
            </w:r>
          </w:p>
        </w:tc>
        <w:tc>
          <w:tcPr>
            <w:tcW w:w="794" w:type="dxa"/>
            <w:shd w:val="clear" w:color="auto" w:fill="FFFFFF"/>
            <w:noWrap/>
            <w:vAlign w:val="center"/>
          </w:tcPr>
          <w:p w14:paraId="5CA7DC63">
            <w:pPr>
              <w:widowControl/>
              <w:jc w:val="center"/>
              <w:textAlignment w:val="center"/>
              <w:rPr>
                <w:color w:val="auto"/>
                <w:szCs w:val="21"/>
              </w:rPr>
            </w:pPr>
            <w:r>
              <w:rPr>
                <w:color w:val="auto"/>
                <w:kern w:val="0"/>
                <w:szCs w:val="21"/>
                <w:lang w:bidi="ar"/>
              </w:rPr>
              <w:t>0</w:t>
            </w:r>
          </w:p>
        </w:tc>
        <w:tc>
          <w:tcPr>
            <w:tcW w:w="794" w:type="dxa"/>
            <w:shd w:val="clear" w:color="auto" w:fill="FFFFFF"/>
            <w:vAlign w:val="center"/>
          </w:tcPr>
          <w:p w14:paraId="6F932A5D">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4F76A0EB">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5CD2DE14">
            <w:pPr>
              <w:widowControl/>
              <w:jc w:val="center"/>
              <w:textAlignment w:val="center"/>
              <w:rPr>
                <w:color w:val="auto"/>
                <w:szCs w:val="21"/>
              </w:rPr>
            </w:pPr>
            <w:r>
              <w:rPr>
                <w:color w:val="auto"/>
                <w:kern w:val="0"/>
                <w:szCs w:val="21"/>
                <w:lang w:bidi="ar"/>
              </w:rPr>
              <w:t>0</w:t>
            </w:r>
          </w:p>
        </w:tc>
        <w:tc>
          <w:tcPr>
            <w:tcW w:w="1004" w:type="dxa"/>
            <w:shd w:val="clear" w:color="auto" w:fill="FFFFFF"/>
            <w:noWrap/>
            <w:vAlign w:val="center"/>
          </w:tcPr>
          <w:p w14:paraId="5D4D8722">
            <w:pPr>
              <w:widowControl/>
              <w:jc w:val="center"/>
              <w:textAlignment w:val="center"/>
              <w:rPr>
                <w:color w:val="auto"/>
                <w:szCs w:val="21"/>
              </w:rPr>
            </w:pPr>
            <w:r>
              <w:rPr>
                <w:color w:val="auto"/>
                <w:kern w:val="0"/>
                <w:szCs w:val="21"/>
                <w:lang w:bidi="ar"/>
              </w:rPr>
              <w:t>0.344</w:t>
            </w:r>
          </w:p>
        </w:tc>
        <w:tc>
          <w:tcPr>
            <w:tcW w:w="1004" w:type="dxa"/>
            <w:shd w:val="clear" w:color="auto" w:fill="FFFFFF"/>
            <w:noWrap/>
            <w:vAlign w:val="center"/>
          </w:tcPr>
          <w:p w14:paraId="06DCDE81">
            <w:pPr>
              <w:widowControl/>
              <w:jc w:val="center"/>
              <w:textAlignment w:val="center"/>
              <w:rPr>
                <w:color w:val="auto"/>
                <w:szCs w:val="21"/>
              </w:rPr>
            </w:pPr>
            <w:r>
              <w:rPr>
                <w:color w:val="auto"/>
                <w:kern w:val="0"/>
                <w:szCs w:val="21"/>
                <w:lang w:bidi="ar"/>
              </w:rPr>
              <w:t>0.0266</w:t>
            </w:r>
          </w:p>
        </w:tc>
        <w:tc>
          <w:tcPr>
            <w:tcW w:w="282" w:type="pct"/>
            <w:shd w:val="clear" w:color="auto" w:fill="FFFFFF"/>
            <w:noWrap/>
            <w:vAlign w:val="center"/>
          </w:tcPr>
          <w:p w14:paraId="4C2F5112">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525D9640">
            <w:pPr>
              <w:widowControl/>
              <w:jc w:val="center"/>
              <w:textAlignment w:val="center"/>
              <w:rPr>
                <w:color w:val="auto"/>
                <w:szCs w:val="21"/>
              </w:rPr>
            </w:pPr>
            <w:r>
              <w:rPr>
                <w:color w:val="auto"/>
                <w:kern w:val="0"/>
                <w:szCs w:val="21"/>
                <w:lang w:bidi="ar"/>
              </w:rPr>
              <w:t>0</w:t>
            </w:r>
          </w:p>
        </w:tc>
      </w:tr>
      <w:tr w14:paraId="0DAEB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04" w:type="pct"/>
            <w:gridSpan w:val="2"/>
            <w:vMerge w:val="continue"/>
            <w:shd w:val="clear" w:color="auto" w:fill="FFFFFF"/>
            <w:vAlign w:val="center"/>
          </w:tcPr>
          <w:p w14:paraId="58F481A3">
            <w:pPr>
              <w:jc w:val="center"/>
              <w:rPr>
                <w:rFonts w:ascii="宋体" w:hAnsi="宋体" w:cs="宋体"/>
                <w:color w:val="auto"/>
                <w:szCs w:val="21"/>
              </w:rPr>
            </w:pPr>
          </w:p>
        </w:tc>
        <w:tc>
          <w:tcPr>
            <w:tcW w:w="300" w:type="pct"/>
            <w:shd w:val="clear" w:color="auto" w:fill="FFFFFF"/>
            <w:noWrap/>
            <w:vAlign w:val="center"/>
          </w:tcPr>
          <w:p w14:paraId="3FD4C40C">
            <w:pPr>
              <w:widowControl/>
              <w:jc w:val="left"/>
              <w:textAlignment w:val="center"/>
              <w:rPr>
                <w:rFonts w:ascii="宋体" w:hAnsi="宋体" w:cs="宋体"/>
                <w:color w:val="auto"/>
                <w:szCs w:val="21"/>
              </w:rPr>
            </w:pPr>
            <w:r>
              <w:rPr>
                <w:rFonts w:hint="eastAsia" w:ascii="宋体" w:hAnsi="宋体" w:cs="宋体"/>
                <w:color w:val="auto"/>
                <w:kern w:val="0"/>
                <w:szCs w:val="21"/>
                <w:lang w:bidi="ar"/>
              </w:rPr>
              <w:t>盐分</w:t>
            </w:r>
          </w:p>
        </w:tc>
        <w:tc>
          <w:tcPr>
            <w:tcW w:w="356" w:type="pct"/>
            <w:shd w:val="clear" w:color="auto" w:fill="FFFFFF"/>
            <w:noWrap/>
            <w:vAlign w:val="center"/>
          </w:tcPr>
          <w:p w14:paraId="5DF99F2D">
            <w:pPr>
              <w:widowControl/>
              <w:jc w:val="center"/>
              <w:textAlignment w:val="center"/>
              <w:rPr>
                <w:color w:val="auto"/>
                <w:szCs w:val="21"/>
              </w:rPr>
            </w:pPr>
            <w:r>
              <w:rPr>
                <w:color w:val="auto"/>
                <w:kern w:val="0"/>
                <w:szCs w:val="21"/>
                <w:lang w:bidi="ar"/>
              </w:rPr>
              <w:t>18.668</w:t>
            </w:r>
          </w:p>
        </w:tc>
        <w:tc>
          <w:tcPr>
            <w:tcW w:w="356" w:type="pct"/>
            <w:shd w:val="clear" w:color="auto" w:fill="FFFFFF"/>
            <w:noWrap/>
            <w:vAlign w:val="center"/>
          </w:tcPr>
          <w:p w14:paraId="15BD527C">
            <w:pPr>
              <w:widowControl/>
              <w:jc w:val="center"/>
              <w:textAlignment w:val="center"/>
              <w:rPr>
                <w:color w:val="auto"/>
                <w:szCs w:val="21"/>
              </w:rPr>
            </w:pPr>
            <w:r>
              <w:rPr>
                <w:color w:val="auto"/>
                <w:kern w:val="0"/>
                <w:szCs w:val="21"/>
                <w:lang w:bidi="ar"/>
              </w:rPr>
              <w:t>18.668</w:t>
            </w:r>
          </w:p>
        </w:tc>
        <w:tc>
          <w:tcPr>
            <w:tcW w:w="356" w:type="pct"/>
            <w:shd w:val="clear" w:color="auto" w:fill="FFFFFF"/>
            <w:noWrap/>
            <w:vAlign w:val="center"/>
          </w:tcPr>
          <w:p w14:paraId="3A6FB638">
            <w:pPr>
              <w:widowControl/>
              <w:jc w:val="center"/>
              <w:textAlignment w:val="center"/>
              <w:rPr>
                <w:color w:val="auto"/>
                <w:kern w:val="0"/>
                <w:szCs w:val="21"/>
                <w:lang w:bidi="ar"/>
              </w:rPr>
            </w:pPr>
            <w:r>
              <w:rPr>
                <w:color w:val="auto"/>
                <w:kern w:val="0"/>
                <w:szCs w:val="21"/>
                <w:lang w:bidi="ar"/>
              </w:rPr>
              <w:t>18.668</w:t>
            </w:r>
          </w:p>
        </w:tc>
        <w:tc>
          <w:tcPr>
            <w:tcW w:w="356" w:type="pct"/>
            <w:shd w:val="clear" w:color="auto" w:fill="FFFFFF"/>
            <w:noWrap/>
            <w:vAlign w:val="center"/>
          </w:tcPr>
          <w:p w14:paraId="5E593F50">
            <w:pPr>
              <w:widowControl/>
              <w:jc w:val="center"/>
              <w:textAlignment w:val="center"/>
              <w:rPr>
                <w:color w:val="auto"/>
              </w:rPr>
            </w:pPr>
            <w:r>
              <w:rPr>
                <w:color w:val="auto"/>
                <w:kern w:val="0"/>
                <w:szCs w:val="21"/>
                <w:lang w:bidi="ar"/>
              </w:rPr>
              <w:t>18.668</w:t>
            </w:r>
          </w:p>
        </w:tc>
        <w:tc>
          <w:tcPr>
            <w:tcW w:w="280" w:type="pct"/>
            <w:shd w:val="clear" w:color="auto" w:fill="FFFFFF"/>
            <w:noWrap/>
            <w:vAlign w:val="center"/>
          </w:tcPr>
          <w:p w14:paraId="7DF7B6D6">
            <w:pPr>
              <w:widowControl/>
              <w:jc w:val="center"/>
              <w:textAlignment w:val="center"/>
              <w:rPr>
                <w:color w:val="auto"/>
                <w:kern w:val="0"/>
                <w:szCs w:val="21"/>
                <w:lang w:bidi="ar"/>
              </w:rPr>
            </w:pPr>
          </w:p>
        </w:tc>
        <w:tc>
          <w:tcPr>
            <w:tcW w:w="280" w:type="pct"/>
            <w:shd w:val="clear" w:color="auto" w:fill="FFFFFF"/>
            <w:noWrap/>
            <w:vAlign w:val="center"/>
          </w:tcPr>
          <w:p w14:paraId="63167ECD">
            <w:pPr>
              <w:widowControl/>
              <w:jc w:val="center"/>
              <w:textAlignment w:val="center"/>
              <w:rPr>
                <w:color w:val="auto"/>
              </w:rPr>
            </w:pPr>
          </w:p>
        </w:tc>
        <w:tc>
          <w:tcPr>
            <w:tcW w:w="794" w:type="dxa"/>
            <w:shd w:val="clear" w:color="auto" w:fill="FFFFFF"/>
            <w:noWrap/>
            <w:vAlign w:val="center"/>
          </w:tcPr>
          <w:p w14:paraId="2899D93B">
            <w:pPr>
              <w:widowControl/>
              <w:jc w:val="center"/>
              <w:textAlignment w:val="center"/>
              <w:rPr>
                <w:color w:val="auto"/>
                <w:szCs w:val="21"/>
              </w:rPr>
            </w:pPr>
            <w:r>
              <w:rPr>
                <w:color w:val="auto"/>
                <w:kern w:val="0"/>
                <w:szCs w:val="21"/>
                <w:lang w:bidi="ar"/>
              </w:rPr>
              <w:t>0</w:t>
            </w:r>
          </w:p>
        </w:tc>
        <w:tc>
          <w:tcPr>
            <w:tcW w:w="794" w:type="dxa"/>
            <w:shd w:val="clear" w:color="auto" w:fill="FFFFFF"/>
            <w:vAlign w:val="center"/>
          </w:tcPr>
          <w:p w14:paraId="2D4C4BB0">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1974788D">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7A55A28A">
            <w:pPr>
              <w:widowControl/>
              <w:jc w:val="center"/>
              <w:textAlignment w:val="center"/>
              <w:rPr>
                <w:color w:val="auto"/>
                <w:szCs w:val="21"/>
              </w:rPr>
            </w:pPr>
            <w:r>
              <w:rPr>
                <w:color w:val="auto"/>
                <w:kern w:val="0"/>
                <w:szCs w:val="21"/>
                <w:lang w:bidi="ar"/>
              </w:rPr>
              <w:t>0</w:t>
            </w:r>
          </w:p>
        </w:tc>
        <w:tc>
          <w:tcPr>
            <w:tcW w:w="1004" w:type="dxa"/>
            <w:shd w:val="clear" w:color="auto" w:fill="FFFFFF"/>
            <w:noWrap/>
            <w:vAlign w:val="center"/>
          </w:tcPr>
          <w:p w14:paraId="5B60B533">
            <w:pPr>
              <w:widowControl/>
              <w:jc w:val="center"/>
              <w:textAlignment w:val="center"/>
              <w:rPr>
                <w:color w:val="auto"/>
                <w:szCs w:val="21"/>
              </w:rPr>
            </w:pPr>
            <w:r>
              <w:rPr>
                <w:color w:val="auto"/>
                <w:kern w:val="0"/>
                <w:szCs w:val="21"/>
                <w:lang w:bidi="ar"/>
              </w:rPr>
              <w:t>18.668</w:t>
            </w:r>
          </w:p>
        </w:tc>
        <w:tc>
          <w:tcPr>
            <w:tcW w:w="1004" w:type="dxa"/>
            <w:shd w:val="clear" w:color="auto" w:fill="FFFFFF"/>
            <w:noWrap/>
            <w:vAlign w:val="center"/>
          </w:tcPr>
          <w:p w14:paraId="65746D59">
            <w:pPr>
              <w:widowControl/>
              <w:jc w:val="center"/>
              <w:textAlignment w:val="center"/>
              <w:rPr>
                <w:color w:val="auto"/>
                <w:szCs w:val="21"/>
              </w:rPr>
            </w:pPr>
            <w:r>
              <w:rPr>
                <w:color w:val="auto"/>
                <w:kern w:val="0"/>
                <w:szCs w:val="21"/>
                <w:lang w:bidi="ar"/>
              </w:rPr>
              <w:t>18.668</w:t>
            </w:r>
          </w:p>
        </w:tc>
        <w:tc>
          <w:tcPr>
            <w:tcW w:w="282" w:type="pct"/>
            <w:shd w:val="clear" w:color="auto" w:fill="FFFFFF"/>
            <w:noWrap/>
            <w:vAlign w:val="center"/>
          </w:tcPr>
          <w:p w14:paraId="352AB3E6">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5824DFC5">
            <w:pPr>
              <w:widowControl/>
              <w:jc w:val="center"/>
              <w:textAlignment w:val="center"/>
              <w:rPr>
                <w:color w:val="auto"/>
                <w:szCs w:val="21"/>
              </w:rPr>
            </w:pPr>
            <w:r>
              <w:rPr>
                <w:color w:val="auto"/>
                <w:kern w:val="0"/>
                <w:szCs w:val="21"/>
                <w:lang w:bidi="ar"/>
              </w:rPr>
              <w:t>0</w:t>
            </w:r>
          </w:p>
        </w:tc>
      </w:tr>
      <w:tr w14:paraId="242B6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04" w:type="pct"/>
            <w:gridSpan w:val="2"/>
            <w:vMerge w:val="restart"/>
            <w:shd w:val="clear" w:color="auto" w:fill="auto"/>
            <w:vAlign w:val="center"/>
          </w:tcPr>
          <w:p w14:paraId="32510FB7">
            <w:pPr>
              <w:widowControl/>
              <w:jc w:val="center"/>
              <w:textAlignment w:val="center"/>
              <w:rPr>
                <w:rFonts w:ascii="宋体" w:hAnsi="宋体" w:cs="宋体"/>
                <w:color w:val="auto"/>
                <w:szCs w:val="21"/>
              </w:rPr>
            </w:pPr>
            <w:r>
              <w:rPr>
                <w:rFonts w:hint="eastAsia" w:ascii="宋体" w:hAnsi="宋体" w:cs="宋体"/>
                <w:color w:val="auto"/>
                <w:kern w:val="0"/>
                <w:szCs w:val="21"/>
                <w:lang w:bidi="ar"/>
              </w:rPr>
              <w:t>废水合计</w:t>
            </w:r>
          </w:p>
        </w:tc>
        <w:tc>
          <w:tcPr>
            <w:tcW w:w="300" w:type="pct"/>
            <w:shd w:val="clear" w:color="auto" w:fill="FFFFFF"/>
            <w:noWrap/>
            <w:vAlign w:val="center"/>
          </w:tcPr>
          <w:p w14:paraId="01596514">
            <w:pPr>
              <w:widowControl/>
              <w:jc w:val="left"/>
              <w:textAlignment w:val="center"/>
              <w:rPr>
                <w:rFonts w:ascii="宋体" w:hAnsi="宋体" w:cs="宋体"/>
                <w:color w:val="auto"/>
                <w:szCs w:val="21"/>
              </w:rPr>
            </w:pPr>
            <w:r>
              <w:rPr>
                <w:rFonts w:hint="eastAsia" w:ascii="宋体" w:hAnsi="宋体" w:cs="宋体"/>
                <w:color w:val="auto"/>
                <w:kern w:val="0"/>
                <w:szCs w:val="21"/>
                <w:lang w:bidi="ar"/>
              </w:rPr>
              <w:t>水量</w:t>
            </w:r>
          </w:p>
        </w:tc>
        <w:tc>
          <w:tcPr>
            <w:tcW w:w="356" w:type="pct"/>
            <w:shd w:val="clear" w:color="auto" w:fill="FFFFFF"/>
            <w:noWrap/>
            <w:vAlign w:val="center"/>
          </w:tcPr>
          <w:p w14:paraId="2A04ECAE">
            <w:pPr>
              <w:widowControl/>
              <w:jc w:val="center"/>
              <w:textAlignment w:val="center"/>
              <w:rPr>
                <w:color w:val="auto"/>
                <w:szCs w:val="21"/>
              </w:rPr>
            </w:pPr>
            <w:r>
              <w:rPr>
                <w:color w:val="auto"/>
                <w:kern w:val="0"/>
                <w:szCs w:val="21"/>
                <w:lang w:bidi="ar"/>
              </w:rPr>
              <w:t>49172</w:t>
            </w:r>
          </w:p>
        </w:tc>
        <w:tc>
          <w:tcPr>
            <w:tcW w:w="356" w:type="pct"/>
            <w:shd w:val="clear" w:color="auto" w:fill="FFFFFF"/>
            <w:noWrap/>
            <w:vAlign w:val="center"/>
          </w:tcPr>
          <w:p w14:paraId="45F6C3A6">
            <w:pPr>
              <w:widowControl/>
              <w:jc w:val="center"/>
              <w:textAlignment w:val="center"/>
              <w:rPr>
                <w:color w:val="auto"/>
                <w:szCs w:val="21"/>
              </w:rPr>
            </w:pPr>
            <w:r>
              <w:rPr>
                <w:color w:val="auto"/>
                <w:kern w:val="0"/>
                <w:szCs w:val="21"/>
                <w:lang w:bidi="ar"/>
              </w:rPr>
              <w:t>14751.6</w:t>
            </w:r>
          </w:p>
        </w:tc>
        <w:tc>
          <w:tcPr>
            <w:tcW w:w="356" w:type="pct"/>
            <w:shd w:val="clear" w:color="auto" w:fill="FFFFFF"/>
            <w:noWrap/>
            <w:vAlign w:val="center"/>
          </w:tcPr>
          <w:p w14:paraId="1FF3F509">
            <w:pPr>
              <w:widowControl/>
              <w:jc w:val="center"/>
              <w:textAlignment w:val="center"/>
              <w:rPr>
                <w:color w:val="auto"/>
                <w:kern w:val="0"/>
                <w:szCs w:val="21"/>
                <w:lang w:bidi="ar"/>
              </w:rPr>
            </w:pPr>
            <w:r>
              <w:rPr>
                <w:color w:val="auto"/>
                <w:kern w:val="0"/>
                <w:szCs w:val="21"/>
                <w:lang w:bidi="ar"/>
              </w:rPr>
              <w:t>49172</w:t>
            </w:r>
          </w:p>
        </w:tc>
        <w:tc>
          <w:tcPr>
            <w:tcW w:w="356" w:type="pct"/>
            <w:shd w:val="clear" w:color="auto" w:fill="FFFFFF"/>
            <w:noWrap/>
            <w:vAlign w:val="center"/>
          </w:tcPr>
          <w:p w14:paraId="45DEF097">
            <w:pPr>
              <w:widowControl/>
              <w:jc w:val="center"/>
              <w:textAlignment w:val="center"/>
              <w:rPr>
                <w:color w:val="auto"/>
              </w:rPr>
            </w:pPr>
            <w:r>
              <w:rPr>
                <w:color w:val="auto"/>
                <w:kern w:val="0"/>
                <w:szCs w:val="21"/>
                <w:lang w:bidi="ar"/>
              </w:rPr>
              <w:t>14751.6</w:t>
            </w:r>
          </w:p>
        </w:tc>
        <w:tc>
          <w:tcPr>
            <w:tcW w:w="280" w:type="pct"/>
            <w:shd w:val="clear" w:color="auto" w:fill="FFFFFF"/>
            <w:noWrap/>
            <w:vAlign w:val="center"/>
          </w:tcPr>
          <w:p w14:paraId="6320B93E">
            <w:pPr>
              <w:widowControl/>
              <w:jc w:val="center"/>
              <w:textAlignment w:val="center"/>
              <w:rPr>
                <w:color w:val="auto"/>
                <w:kern w:val="0"/>
                <w:szCs w:val="21"/>
                <w:lang w:bidi="ar"/>
              </w:rPr>
            </w:pPr>
            <w:r>
              <w:rPr>
                <w:color w:val="auto"/>
                <w:kern w:val="0"/>
                <w:szCs w:val="21"/>
                <w:lang w:bidi="ar"/>
              </w:rPr>
              <w:t>0</w:t>
            </w:r>
          </w:p>
        </w:tc>
        <w:tc>
          <w:tcPr>
            <w:tcW w:w="280" w:type="pct"/>
            <w:shd w:val="clear" w:color="auto" w:fill="FFFFFF"/>
            <w:noWrap/>
            <w:vAlign w:val="center"/>
          </w:tcPr>
          <w:p w14:paraId="322F628F">
            <w:pPr>
              <w:widowControl/>
              <w:jc w:val="center"/>
              <w:textAlignment w:val="center"/>
              <w:rPr>
                <w:color w:val="auto"/>
              </w:rPr>
            </w:pPr>
            <w:r>
              <w:rPr>
                <w:color w:val="auto"/>
                <w:kern w:val="0"/>
                <w:szCs w:val="21"/>
                <w:lang w:bidi="ar"/>
              </w:rPr>
              <w:t>0</w:t>
            </w:r>
          </w:p>
        </w:tc>
        <w:tc>
          <w:tcPr>
            <w:tcW w:w="794" w:type="dxa"/>
            <w:shd w:val="clear" w:color="auto" w:fill="FFFFFF"/>
            <w:noWrap/>
            <w:vAlign w:val="center"/>
          </w:tcPr>
          <w:p w14:paraId="5620C11F">
            <w:pPr>
              <w:widowControl/>
              <w:jc w:val="center"/>
              <w:textAlignment w:val="center"/>
              <w:rPr>
                <w:color w:val="auto"/>
                <w:szCs w:val="21"/>
              </w:rPr>
            </w:pPr>
            <w:r>
              <w:rPr>
                <w:color w:val="auto"/>
                <w:kern w:val="0"/>
                <w:szCs w:val="21"/>
                <w:lang w:bidi="ar"/>
              </w:rPr>
              <w:t>1768.9</w:t>
            </w:r>
          </w:p>
        </w:tc>
        <w:tc>
          <w:tcPr>
            <w:tcW w:w="794" w:type="dxa"/>
            <w:shd w:val="clear" w:color="auto" w:fill="FFFFFF"/>
            <w:vAlign w:val="center"/>
          </w:tcPr>
          <w:p w14:paraId="1B9690DF">
            <w:pPr>
              <w:widowControl/>
              <w:jc w:val="center"/>
              <w:textAlignment w:val="center"/>
              <w:rPr>
                <w:color w:val="auto"/>
                <w:szCs w:val="21"/>
              </w:rPr>
            </w:pPr>
            <w:r>
              <w:rPr>
                <w:color w:val="auto"/>
                <w:kern w:val="0"/>
                <w:szCs w:val="21"/>
                <w:lang w:bidi="ar"/>
              </w:rPr>
              <w:t>530.67</w:t>
            </w:r>
          </w:p>
        </w:tc>
        <w:tc>
          <w:tcPr>
            <w:tcW w:w="282" w:type="pct"/>
            <w:shd w:val="clear" w:color="auto" w:fill="FFFFFF"/>
            <w:noWrap/>
            <w:vAlign w:val="center"/>
          </w:tcPr>
          <w:p w14:paraId="673B965B">
            <w:pPr>
              <w:widowControl/>
              <w:jc w:val="center"/>
              <w:textAlignment w:val="center"/>
              <w:rPr>
                <w:color w:val="auto"/>
                <w:szCs w:val="21"/>
              </w:rPr>
            </w:pPr>
            <w:r>
              <w:rPr>
                <w:color w:val="auto"/>
                <w:kern w:val="0"/>
                <w:szCs w:val="21"/>
                <w:lang w:bidi="ar"/>
              </w:rPr>
              <w:t>1768.9</w:t>
            </w:r>
          </w:p>
        </w:tc>
        <w:tc>
          <w:tcPr>
            <w:tcW w:w="282" w:type="pct"/>
            <w:shd w:val="clear" w:color="auto" w:fill="FFFFFF"/>
            <w:noWrap/>
            <w:vAlign w:val="center"/>
          </w:tcPr>
          <w:p w14:paraId="705FB13B">
            <w:pPr>
              <w:widowControl/>
              <w:jc w:val="center"/>
              <w:textAlignment w:val="center"/>
              <w:rPr>
                <w:color w:val="auto"/>
                <w:szCs w:val="21"/>
              </w:rPr>
            </w:pPr>
            <w:r>
              <w:rPr>
                <w:color w:val="auto"/>
                <w:kern w:val="0"/>
                <w:szCs w:val="21"/>
                <w:lang w:bidi="ar"/>
              </w:rPr>
              <w:t>530.67</w:t>
            </w:r>
          </w:p>
        </w:tc>
        <w:tc>
          <w:tcPr>
            <w:tcW w:w="1004" w:type="dxa"/>
            <w:shd w:val="clear" w:color="auto" w:fill="FFFFFF"/>
            <w:noWrap/>
            <w:vAlign w:val="center"/>
          </w:tcPr>
          <w:p w14:paraId="0C2E53E3">
            <w:pPr>
              <w:widowControl/>
              <w:jc w:val="center"/>
              <w:textAlignment w:val="center"/>
              <w:rPr>
                <w:color w:val="auto"/>
                <w:szCs w:val="21"/>
              </w:rPr>
            </w:pPr>
            <w:r>
              <w:rPr>
                <w:color w:val="auto"/>
                <w:kern w:val="0"/>
                <w:szCs w:val="21"/>
                <w:lang w:bidi="ar"/>
              </w:rPr>
              <w:t>49172</w:t>
            </w:r>
          </w:p>
        </w:tc>
        <w:tc>
          <w:tcPr>
            <w:tcW w:w="1004" w:type="dxa"/>
            <w:shd w:val="clear" w:color="auto" w:fill="FFFFFF"/>
            <w:noWrap/>
            <w:vAlign w:val="center"/>
          </w:tcPr>
          <w:p w14:paraId="03D44EF1">
            <w:pPr>
              <w:widowControl/>
              <w:jc w:val="center"/>
              <w:textAlignment w:val="center"/>
              <w:rPr>
                <w:color w:val="auto"/>
                <w:szCs w:val="21"/>
              </w:rPr>
            </w:pPr>
            <w:r>
              <w:rPr>
                <w:color w:val="auto"/>
                <w:kern w:val="0"/>
                <w:szCs w:val="21"/>
                <w:lang w:bidi="ar"/>
              </w:rPr>
              <w:t>14751.6</w:t>
            </w:r>
          </w:p>
        </w:tc>
        <w:tc>
          <w:tcPr>
            <w:tcW w:w="282" w:type="pct"/>
            <w:shd w:val="clear" w:color="auto" w:fill="FFFFFF"/>
            <w:noWrap/>
            <w:vAlign w:val="center"/>
          </w:tcPr>
          <w:p w14:paraId="58749B88">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50E02FB9">
            <w:pPr>
              <w:widowControl/>
              <w:jc w:val="center"/>
              <w:textAlignment w:val="center"/>
              <w:rPr>
                <w:color w:val="auto"/>
                <w:szCs w:val="21"/>
              </w:rPr>
            </w:pPr>
            <w:r>
              <w:rPr>
                <w:color w:val="auto"/>
                <w:kern w:val="0"/>
                <w:szCs w:val="21"/>
                <w:lang w:bidi="ar"/>
              </w:rPr>
              <w:t>0</w:t>
            </w:r>
          </w:p>
        </w:tc>
      </w:tr>
      <w:tr w14:paraId="31EB3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04" w:type="pct"/>
            <w:gridSpan w:val="2"/>
            <w:vMerge w:val="continue"/>
            <w:shd w:val="clear" w:color="auto" w:fill="auto"/>
            <w:vAlign w:val="center"/>
          </w:tcPr>
          <w:p w14:paraId="751AE4ED">
            <w:pPr>
              <w:jc w:val="center"/>
              <w:rPr>
                <w:rFonts w:ascii="宋体" w:hAnsi="宋体" w:cs="宋体"/>
                <w:color w:val="auto"/>
                <w:szCs w:val="21"/>
              </w:rPr>
            </w:pPr>
          </w:p>
        </w:tc>
        <w:tc>
          <w:tcPr>
            <w:tcW w:w="300" w:type="pct"/>
            <w:shd w:val="clear" w:color="auto" w:fill="FFFFFF"/>
            <w:noWrap/>
            <w:vAlign w:val="center"/>
          </w:tcPr>
          <w:p w14:paraId="30CA083D">
            <w:pPr>
              <w:widowControl/>
              <w:jc w:val="left"/>
              <w:textAlignment w:val="center"/>
              <w:rPr>
                <w:color w:val="auto"/>
                <w:szCs w:val="21"/>
              </w:rPr>
            </w:pPr>
            <w:r>
              <w:rPr>
                <w:color w:val="auto"/>
                <w:kern w:val="0"/>
                <w:szCs w:val="21"/>
                <w:lang w:bidi="ar"/>
              </w:rPr>
              <w:t>COD</w:t>
            </w:r>
          </w:p>
        </w:tc>
        <w:tc>
          <w:tcPr>
            <w:tcW w:w="356" w:type="pct"/>
            <w:shd w:val="clear" w:color="auto" w:fill="FFFFFF"/>
            <w:noWrap/>
            <w:vAlign w:val="center"/>
          </w:tcPr>
          <w:p w14:paraId="3DF06E3C">
            <w:pPr>
              <w:widowControl/>
              <w:jc w:val="center"/>
              <w:textAlignment w:val="center"/>
              <w:rPr>
                <w:color w:val="auto"/>
                <w:szCs w:val="21"/>
              </w:rPr>
            </w:pPr>
            <w:r>
              <w:rPr>
                <w:color w:val="auto"/>
                <w:kern w:val="0"/>
                <w:szCs w:val="21"/>
                <w:lang w:bidi="ar"/>
              </w:rPr>
              <w:t>9.207</w:t>
            </w:r>
          </w:p>
        </w:tc>
        <w:tc>
          <w:tcPr>
            <w:tcW w:w="356" w:type="pct"/>
            <w:shd w:val="clear" w:color="auto" w:fill="FFFFFF"/>
            <w:noWrap/>
            <w:vAlign w:val="center"/>
          </w:tcPr>
          <w:p w14:paraId="0711ACBD">
            <w:pPr>
              <w:widowControl/>
              <w:jc w:val="center"/>
              <w:textAlignment w:val="center"/>
              <w:rPr>
                <w:color w:val="auto"/>
                <w:szCs w:val="21"/>
              </w:rPr>
            </w:pPr>
            <w:r>
              <w:rPr>
                <w:color w:val="auto"/>
                <w:kern w:val="0"/>
                <w:szCs w:val="21"/>
                <w:lang w:bidi="ar"/>
              </w:rPr>
              <w:t>0.564</w:t>
            </w:r>
          </w:p>
        </w:tc>
        <w:tc>
          <w:tcPr>
            <w:tcW w:w="356" w:type="pct"/>
            <w:shd w:val="clear" w:color="auto" w:fill="FFFFFF"/>
            <w:noWrap/>
            <w:vAlign w:val="center"/>
          </w:tcPr>
          <w:p w14:paraId="0A43D5F6">
            <w:pPr>
              <w:widowControl/>
              <w:jc w:val="center"/>
              <w:textAlignment w:val="center"/>
              <w:rPr>
                <w:color w:val="auto"/>
                <w:kern w:val="0"/>
                <w:szCs w:val="21"/>
                <w:lang w:bidi="ar"/>
              </w:rPr>
            </w:pPr>
            <w:r>
              <w:rPr>
                <w:color w:val="auto"/>
                <w:kern w:val="0"/>
                <w:szCs w:val="21"/>
                <w:lang w:bidi="ar"/>
              </w:rPr>
              <w:t>9.207</w:t>
            </w:r>
          </w:p>
        </w:tc>
        <w:tc>
          <w:tcPr>
            <w:tcW w:w="356" w:type="pct"/>
            <w:shd w:val="clear" w:color="auto" w:fill="FFFFFF"/>
            <w:noWrap/>
            <w:vAlign w:val="center"/>
          </w:tcPr>
          <w:p w14:paraId="2FF25540">
            <w:pPr>
              <w:widowControl/>
              <w:jc w:val="center"/>
              <w:textAlignment w:val="center"/>
              <w:rPr>
                <w:color w:val="auto"/>
              </w:rPr>
            </w:pPr>
            <w:r>
              <w:rPr>
                <w:color w:val="auto"/>
                <w:kern w:val="0"/>
                <w:szCs w:val="21"/>
                <w:lang w:bidi="ar"/>
              </w:rPr>
              <w:t>0.564</w:t>
            </w:r>
          </w:p>
        </w:tc>
        <w:tc>
          <w:tcPr>
            <w:tcW w:w="280" w:type="pct"/>
            <w:shd w:val="clear" w:color="auto" w:fill="FFFFFF"/>
            <w:noWrap/>
            <w:vAlign w:val="center"/>
          </w:tcPr>
          <w:p w14:paraId="4EADEF38">
            <w:pPr>
              <w:widowControl/>
              <w:jc w:val="center"/>
              <w:textAlignment w:val="center"/>
              <w:rPr>
                <w:color w:val="auto"/>
                <w:kern w:val="0"/>
                <w:szCs w:val="21"/>
                <w:lang w:bidi="ar"/>
              </w:rPr>
            </w:pPr>
            <w:r>
              <w:rPr>
                <w:color w:val="auto"/>
                <w:kern w:val="0"/>
                <w:szCs w:val="21"/>
                <w:lang w:bidi="ar"/>
              </w:rPr>
              <w:t>0</w:t>
            </w:r>
          </w:p>
        </w:tc>
        <w:tc>
          <w:tcPr>
            <w:tcW w:w="280" w:type="pct"/>
            <w:shd w:val="clear" w:color="auto" w:fill="FFFFFF"/>
            <w:noWrap/>
            <w:vAlign w:val="center"/>
          </w:tcPr>
          <w:p w14:paraId="7487F0F3">
            <w:pPr>
              <w:widowControl/>
              <w:jc w:val="center"/>
              <w:textAlignment w:val="center"/>
              <w:rPr>
                <w:color w:val="auto"/>
              </w:rPr>
            </w:pPr>
            <w:r>
              <w:rPr>
                <w:color w:val="auto"/>
                <w:kern w:val="0"/>
                <w:szCs w:val="21"/>
                <w:lang w:bidi="ar"/>
              </w:rPr>
              <w:t>0</w:t>
            </w:r>
          </w:p>
        </w:tc>
        <w:tc>
          <w:tcPr>
            <w:tcW w:w="794" w:type="dxa"/>
            <w:shd w:val="clear" w:color="auto" w:fill="FFFFFF"/>
            <w:noWrap/>
            <w:vAlign w:val="center"/>
          </w:tcPr>
          <w:p w14:paraId="65FD6C57">
            <w:pPr>
              <w:widowControl/>
              <w:jc w:val="center"/>
              <w:textAlignment w:val="center"/>
              <w:rPr>
                <w:color w:val="auto"/>
                <w:szCs w:val="21"/>
              </w:rPr>
            </w:pPr>
            <w:r>
              <w:rPr>
                <w:color w:val="auto"/>
                <w:kern w:val="0"/>
                <w:szCs w:val="21"/>
                <w:lang w:bidi="ar"/>
              </w:rPr>
              <w:t xml:space="preserve">0.3538 </w:t>
            </w:r>
          </w:p>
        </w:tc>
        <w:tc>
          <w:tcPr>
            <w:tcW w:w="794" w:type="dxa"/>
            <w:shd w:val="clear" w:color="auto" w:fill="FFFFFF"/>
            <w:vAlign w:val="center"/>
          </w:tcPr>
          <w:p w14:paraId="26C4B983">
            <w:pPr>
              <w:widowControl/>
              <w:jc w:val="center"/>
              <w:textAlignment w:val="center"/>
              <w:rPr>
                <w:color w:val="auto"/>
                <w:szCs w:val="21"/>
              </w:rPr>
            </w:pPr>
            <w:r>
              <w:rPr>
                <w:color w:val="auto"/>
                <w:kern w:val="0"/>
                <w:szCs w:val="21"/>
                <w:lang w:bidi="ar"/>
              </w:rPr>
              <w:t xml:space="preserve">0.0212 </w:t>
            </w:r>
          </w:p>
        </w:tc>
        <w:tc>
          <w:tcPr>
            <w:tcW w:w="282" w:type="pct"/>
            <w:shd w:val="clear" w:color="auto" w:fill="FFFFFF"/>
            <w:noWrap/>
            <w:vAlign w:val="center"/>
          </w:tcPr>
          <w:p w14:paraId="1B9F3DF1">
            <w:pPr>
              <w:widowControl/>
              <w:jc w:val="center"/>
              <w:textAlignment w:val="center"/>
              <w:rPr>
                <w:color w:val="auto"/>
                <w:szCs w:val="21"/>
              </w:rPr>
            </w:pPr>
            <w:r>
              <w:rPr>
                <w:color w:val="auto"/>
                <w:kern w:val="0"/>
                <w:szCs w:val="21"/>
                <w:lang w:bidi="ar"/>
              </w:rPr>
              <w:t xml:space="preserve">0.3538 </w:t>
            </w:r>
          </w:p>
        </w:tc>
        <w:tc>
          <w:tcPr>
            <w:tcW w:w="282" w:type="pct"/>
            <w:shd w:val="clear" w:color="auto" w:fill="FFFFFF"/>
            <w:noWrap/>
            <w:vAlign w:val="center"/>
          </w:tcPr>
          <w:p w14:paraId="32106E33">
            <w:pPr>
              <w:widowControl/>
              <w:jc w:val="center"/>
              <w:textAlignment w:val="center"/>
              <w:rPr>
                <w:color w:val="auto"/>
                <w:szCs w:val="21"/>
              </w:rPr>
            </w:pPr>
            <w:r>
              <w:rPr>
                <w:color w:val="auto"/>
                <w:kern w:val="0"/>
                <w:szCs w:val="21"/>
                <w:lang w:bidi="ar"/>
              </w:rPr>
              <w:t xml:space="preserve">0.0212 </w:t>
            </w:r>
          </w:p>
        </w:tc>
        <w:tc>
          <w:tcPr>
            <w:tcW w:w="1004" w:type="dxa"/>
            <w:shd w:val="clear" w:color="auto" w:fill="FFFFFF"/>
            <w:noWrap/>
            <w:vAlign w:val="center"/>
          </w:tcPr>
          <w:p w14:paraId="133C6E04">
            <w:pPr>
              <w:widowControl/>
              <w:jc w:val="center"/>
              <w:textAlignment w:val="center"/>
              <w:rPr>
                <w:color w:val="auto"/>
                <w:szCs w:val="21"/>
              </w:rPr>
            </w:pPr>
            <w:r>
              <w:rPr>
                <w:color w:val="auto"/>
                <w:kern w:val="0"/>
                <w:szCs w:val="21"/>
                <w:lang w:bidi="ar"/>
              </w:rPr>
              <w:t>9.207</w:t>
            </w:r>
          </w:p>
        </w:tc>
        <w:tc>
          <w:tcPr>
            <w:tcW w:w="1004" w:type="dxa"/>
            <w:shd w:val="clear" w:color="auto" w:fill="FFFFFF"/>
            <w:noWrap/>
            <w:vAlign w:val="center"/>
          </w:tcPr>
          <w:p w14:paraId="5CF7A94A">
            <w:pPr>
              <w:widowControl/>
              <w:jc w:val="center"/>
              <w:textAlignment w:val="center"/>
              <w:rPr>
                <w:color w:val="auto"/>
                <w:szCs w:val="21"/>
              </w:rPr>
            </w:pPr>
            <w:r>
              <w:rPr>
                <w:color w:val="auto"/>
                <w:kern w:val="0"/>
                <w:szCs w:val="21"/>
                <w:lang w:bidi="ar"/>
              </w:rPr>
              <w:t>0.564</w:t>
            </w:r>
          </w:p>
        </w:tc>
        <w:tc>
          <w:tcPr>
            <w:tcW w:w="282" w:type="pct"/>
            <w:shd w:val="clear" w:color="auto" w:fill="FFFFFF"/>
            <w:noWrap/>
            <w:vAlign w:val="center"/>
          </w:tcPr>
          <w:p w14:paraId="56F62BB8">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3891F644">
            <w:pPr>
              <w:widowControl/>
              <w:jc w:val="center"/>
              <w:textAlignment w:val="center"/>
              <w:rPr>
                <w:color w:val="auto"/>
                <w:szCs w:val="21"/>
              </w:rPr>
            </w:pPr>
            <w:r>
              <w:rPr>
                <w:color w:val="auto"/>
                <w:kern w:val="0"/>
                <w:szCs w:val="21"/>
                <w:lang w:bidi="ar"/>
              </w:rPr>
              <w:t>0</w:t>
            </w:r>
          </w:p>
        </w:tc>
      </w:tr>
      <w:tr w14:paraId="4B758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04" w:type="pct"/>
            <w:gridSpan w:val="2"/>
            <w:vMerge w:val="continue"/>
            <w:shd w:val="clear" w:color="auto" w:fill="auto"/>
            <w:vAlign w:val="center"/>
          </w:tcPr>
          <w:p w14:paraId="6C7B7570">
            <w:pPr>
              <w:jc w:val="center"/>
              <w:rPr>
                <w:rFonts w:ascii="宋体" w:hAnsi="宋体" w:cs="宋体"/>
                <w:color w:val="auto"/>
                <w:szCs w:val="21"/>
              </w:rPr>
            </w:pPr>
          </w:p>
        </w:tc>
        <w:tc>
          <w:tcPr>
            <w:tcW w:w="300" w:type="pct"/>
            <w:shd w:val="clear" w:color="auto" w:fill="FFFFFF"/>
            <w:noWrap/>
            <w:vAlign w:val="center"/>
          </w:tcPr>
          <w:p w14:paraId="7FACB2B1">
            <w:pPr>
              <w:widowControl/>
              <w:jc w:val="left"/>
              <w:textAlignment w:val="center"/>
              <w:rPr>
                <w:color w:val="auto"/>
                <w:szCs w:val="21"/>
              </w:rPr>
            </w:pPr>
            <w:r>
              <w:rPr>
                <w:color w:val="auto"/>
                <w:kern w:val="0"/>
                <w:szCs w:val="21"/>
                <w:lang w:bidi="ar"/>
              </w:rPr>
              <w:t>SS</w:t>
            </w:r>
          </w:p>
        </w:tc>
        <w:tc>
          <w:tcPr>
            <w:tcW w:w="356" w:type="pct"/>
            <w:shd w:val="clear" w:color="auto" w:fill="FFFFFF"/>
            <w:noWrap/>
            <w:vAlign w:val="center"/>
          </w:tcPr>
          <w:p w14:paraId="0656A3BB">
            <w:pPr>
              <w:widowControl/>
              <w:jc w:val="center"/>
              <w:textAlignment w:val="center"/>
              <w:rPr>
                <w:color w:val="auto"/>
                <w:szCs w:val="21"/>
              </w:rPr>
            </w:pPr>
            <w:r>
              <w:rPr>
                <w:color w:val="auto"/>
                <w:kern w:val="0"/>
                <w:szCs w:val="21"/>
                <w:lang w:bidi="ar"/>
              </w:rPr>
              <w:t>5.23</w:t>
            </w:r>
          </w:p>
        </w:tc>
        <w:tc>
          <w:tcPr>
            <w:tcW w:w="356" w:type="pct"/>
            <w:shd w:val="clear" w:color="auto" w:fill="FFFFFF"/>
            <w:noWrap/>
            <w:vAlign w:val="center"/>
          </w:tcPr>
          <w:p w14:paraId="02373171">
            <w:pPr>
              <w:widowControl/>
              <w:jc w:val="center"/>
              <w:textAlignment w:val="center"/>
              <w:rPr>
                <w:color w:val="auto"/>
                <w:szCs w:val="21"/>
              </w:rPr>
            </w:pPr>
            <w:r>
              <w:rPr>
                <w:color w:val="auto"/>
                <w:kern w:val="0"/>
                <w:szCs w:val="21"/>
                <w:lang w:bidi="ar"/>
              </w:rPr>
              <w:t>0.1476</w:t>
            </w:r>
          </w:p>
        </w:tc>
        <w:tc>
          <w:tcPr>
            <w:tcW w:w="356" w:type="pct"/>
            <w:shd w:val="clear" w:color="auto" w:fill="FFFFFF"/>
            <w:noWrap/>
            <w:vAlign w:val="center"/>
          </w:tcPr>
          <w:p w14:paraId="1DA4F0B5">
            <w:pPr>
              <w:widowControl/>
              <w:jc w:val="center"/>
              <w:textAlignment w:val="center"/>
              <w:rPr>
                <w:color w:val="auto"/>
                <w:kern w:val="0"/>
                <w:szCs w:val="21"/>
                <w:lang w:bidi="ar"/>
              </w:rPr>
            </w:pPr>
            <w:r>
              <w:rPr>
                <w:color w:val="auto"/>
                <w:kern w:val="0"/>
                <w:szCs w:val="21"/>
                <w:lang w:bidi="ar"/>
              </w:rPr>
              <w:t>5.23</w:t>
            </w:r>
          </w:p>
        </w:tc>
        <w:tc>
          <w:tcPr>
            <w:tcW w:w="356" w:type="pct"/>
            <w:shd w:val="clear" w:color="auto" w:fill="FFFFFF"/>
            <w:noWrap/>
            <w:vAlign w:val="center"/>
          </w:tcPr>
          <w:p w14:paraId="01910B5F">
            <w:pPr>
              <w:widowControl/>
              <w:jc w:val="center"/>
              <w:textAlignment w:val="center"/>
              <w:rPr>
                <w:color w:val="auto"/>
              </w:rPr>
            </w:pPr>
            <w:r>
              <w:rPr>
                <w:color w:val="auto"/>
                <w:kern w:val="0"/>
                <w:szCs w:val="21"/>
                <w:lang w:bidi="ar"/>
              </w:rPr>
              <w:t>0.1476</w:t>
            </w:r>
          </w:p>
        </w:tc>
        <w:tc>
          <w:tcPr>
            <w:tcW w:w="280" w:type="pct"/>
            <w:shd w:val="clear" w:color="auto" w:fill="FFFFFF"/>
            <w:noWrap/>
            <w:vAlign w:val="center"/>
          </w:tcPr>
          <w:p w14:paraId="7E71C423">
            <w:pPr>
              <w:widowControl/>
              <w:jc w:val="center"/>
              <w:textAlignment w:val="center"/>
              <w:rPr>
                <w:color w:val="auto"/>
                <w:kern w:val="0"/>
                <w:szCs w:val="21"/>
                <w:lang w:bidi="ar"/>
              </w:rPr>
            </w:pPr>
            <w:r>
              <w:rPr>
                <w:color w:val="auto"/>
                <w:kern w:val="0"/>
                <w:szCs w:val="21"/>
                <w:lang w:bidi="ar"/>
              </w:rPr>
              <w:t>0</w:t>
            </w:r>
          </w:p>
        </w:tc>
        <w:tc>
          <w:tcPr>
            <w:tcW w:w="280" w:type="pct"/>
            <w:shd w:val="clear" w:color="auto" w:fill="FFFFFF"/>
            <w:noWrap/>
            <w:vAlign w:val="center"/>
          </w:tcPr>
          <w:p w14:paraId="6E546DE8">
            <w:pPr>
              <w:widowControl/>
              <w:jc w:val="center"/>
              <w:textAlignment w:val="center"/>
              <w:rPr>
                <w:color w:val="auto"/>
              </w:rPr>
            </w:pPr>
            <w:r>
              <w:rPr>
                <w:color w:val="auto"/>
                <w:kern w:val="0"/>
                <w:szCs w:val="21"/>
                <w:lang w:bidi="ar"/>
              </w:rPr>
              <w:t>0</w:t>
            </w:r>
          </w:p>
        </w:tc>
        <w:tc>
          <w:tcPr>
            <w:tcW w:w="794" w:type="dxa"/>
            <w:shd w:val="clear" w:color="auto" w:fill="FFFFFF"/>
            <w:noWrap/>
            <w:vAlign w:val="center"/>
          </w:tcPr>
          <w:p w14:paraId="215929E3">
            <w:pPr>
              <w:widowControl/>
              <w:jc w:val="center"/>
              <w:textAlignment w:val="center"/>
              <w:rPr>
                <w:color w:val="auto"/>
                <w:szCs w:val="21"/>
              </w:rPr>
            </w:pPr>
            <w:r>
              <w:rPr>
                <w:color w:val="auto"/>
                <w:kern w:val="0"/>
                <w:szCs w:val="21"/>
                <w:lang w:bidi="ar"/>
              </w:rPr>
              <w:t xml:space="preserve">0.1769 </w:t>
            </w:r>
          </w:p>
        </w:tc>
        <w:tc>
          <w:tcPr>
            <w:tcW w:w="794" w:type="dxa"/>
            <w:shd w:val="clear" w:color="auto" w:fill="FFFFFF"/>
            <w:vAlign w:val="center"/>
          </w:tcPr>
          <w:p w14:paraId="192F0EFF">
            <w:pPr>
              <w:widowControl/>
              <w:jc w:val="center"/>
              <w:textAlignment w:val="center"/>
              <w:rPr>
                <w:color w:val="auto"/>
                <w:szCs w:val="21"/>
              </w:rPr>
            </w:pPr>
            <w:r>
              <w:rPr>
                <w:color w:val="auto"/>
                <w:kern w:val="0"/>
                <w:szCs w:val="21"/>
                <w:lang w:bidi="ar"/>
              </w:rPr>
              <w:t xml:space="preserve">0.0053 </w:t>
            </w:r>
          </w:p>
        </w:tc>
        <w:tc>
          <w:tcPr>
            <w:tcW w:w="282" w:type="pct"/>
            <w:shd w:val="clear" w:color="auto" w:fill="FFFFFF"/>
            <w:noWrap/>
            <w:vAlign w:val="center"/>
          </w:tcPr>
          <w:p w14:paraId="740D46AA">
            <w:pPr>
              <w:widowControl/>
              <w:jc w:val="center"/>
              <w:textAlignment w:val="center"/>
              <w:rPr>
                <w:color w:val="auto"/>
                <w:szCs w:val="21"/>
              </w:rPr>
            </w:pPr>
            <w:r>
              <w:rPr>
                <w:color w:val="auto"/>
                <w:kern w:val="0"/>
                <w:szCs w:val="21"/>
                <w:lang w:bidi="ar"/>
              </w:rPr>
              <w:t xml:space="preserve">0.1769 </w:t>
            </w:r>
          </w:p>
        </w:tc>
        <w:tc>
          <w:tcPr>
            <w:tcW w:w="282" w:type="pct"/>
            <w:shd w:val="clear" w:color="auto" w:fill="FFFFFF"/>
            <w:noWrap/>
            <w:vAlign w:val="center"/>
          </w:tcPr>
          <w:p w14:paraId="29D718FD">
            <w:pPr>
              <w:widowControl/>
              <w:jc w:val="center"/>
              <w:textAlignment w:val="center"/>
              <w:rPr>
                <w:color w:val="auto"/>
                <w:szCs w:val="21"/>
              </w:rPr>
            </w:pPr>
            <w:r>
              <w:rPr>
                <w:color w:val="auto"/>
                <w:kern w:val="0"/>
                <w:szCs w:val="21"/>
                <w:lang w:bidi="ar"/>
              </w:rPr>
              <w:t xml:space="preserve">0.0053 </w:t>
            </w:r>
          </w:p>
        </w:tc>
        <w:tc>
          <w:tcPr>
            <w:tcW w:w="1004" w:type="dxa"/>
            <w:shd w:val="clear" w:color="auto" w:fill="FFFFFF"/>
            <w:noWrap/>
            <w:vAlign w:val="center"/>
          </w:tcPr>
          <w:p w14:paraId="01170AEC">
            <w:pPr>
              <w:widowControl/>
              <w:jc w:val="center"/>
              <w:textAlignment w:val="center"/>
              <w:rPr>
                <w:color w:val="auto"/>
                <w:szCs w:val="21"/>
              </w:rPr>
            </w:pPr>
            <w:r>
              <w:rPr>
                <w:color w:val="auto"/>
                <w:kern w:val="0"/>
                <w:szCs w:val="21"/>
                <w:lang w:bidi="ar"/>
              </w:rPr>
              <w:t>5.23</w:t>
            </w:r>
          </w:p>
        </w:tc>
        <w:tc>
          <w:tcPr>
            <w:tcW w:w="1004" w:type="dxa"/>
            <w:shd w:val="clear" w:color="auto" w:fill="FFFFFF"/>
            <w:noWrap/>
            <w:vAlign w:val="center"/>
          </w:tcPr>
          <w:p w14:paraId="277D92A2">
            <w:pPr>
              <w:widowControl/>
              <w:jc w:val="center"/>
              <w:textAlignment w:val="center"/>
              <w:rPr>
                <w:color w:val="auto"/>
                <w:szCs w:val="21"/>
              </w:rPr>
            </w:pPr>
            <w:r>
              <w:rPr>
                <w:color w:val="auto"/>
                <w:kern w:val="0"/>
                <w:szCs w:val="21"/>
                <w:lang w:bidi="ar"/>
              </w:rPr>
              <w:t>0.1476</w:t>
            </w:r>
          </w:p>
        </w:tc>
        <w:tc>
          <w:tcPr>
            <w:tcW w:w="282" w:type="pct"/>
            <w:shd w:val="clear" w:color="auto" w:fill="FFFFFF"/>
            <w:noWrap/>
            <w:vAlign w:val="center"/>
          </w:tcPr>
          <w:p w14:paraId="2D0B58BE">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5369FFBD">
            <w:pPr>
              <w:widowControl/>
              <w:jc w:val="center"/>
              <w:textAlignment w:val="center"/>
              <w:rPr>
                <w:color w:val="auto"/>
                <w:szCs w:val="21"/>
              </w:rPr>
            </w:pPr>
            <w:r>
              <w:rPr>
                <w:color w:val="auto"/>
                <w:kern w:val="0"/>
                <w:szCs w:val="21"/>
                <w:lang w:bidi="ar"/>
              </w:rPr>
              <w:t>0</w:t>
            </w:r>
          </w:p>
        </w:tc>
      </w:tr>
      <w:tr w14:paraId="3D4F9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04" w:type="pct"/>
            <w:gridSpan w:val="2"/>
            <w:vMerge w:val="continue"/>
            <w:shd w:val="clear" w:color="auto" w:fill="auto"/>
            <w:vAlign w:val="center"/>
          </w:tcPr>
          <w:p w14:paraId="1C649612">
            <w:pPr>
              <w:jc w:val="center"/>
              <w:rPr>
                <w:rFonts w:ascii="宋体" w:hAnsi="宋体" w:cs="宋体"/>
                <w:color w:val="auto"/>
                <w:szCs w:val="21"/>
              </w:rPr>
            </w:pPr>
          </w:p>
        </w:tc>
        <w:tc>
          <w:tcPr>
            <w:tcW w:w="300" w:type="pct"/>
            <w:shd w:val="clear" w:color="auto" w:fill="FFFFFF"/>
            <w:noWrap/>
            <w:vAlign w:val="center"/>
          </w:tcPr>
          <w:p w14:paraId="1029B9AB">
            <w:pPr>
              <w:widowControl/>
              <w:jc w:val="left"/>
              <w:textAlignment w:val="center"/>
              <w:rPr>
                <w:rFonts w:ascii="宋体" w:hAnsi="宋体" w:cs="宋体"/>
                <w:color w:val="auto"/>
                <w:szCs w:val="21"/>
              </w:rPr>
            </w:pPr>
            <w:r>
              <w:rPr>
                <w:rFonts w:hint="eastAsia" w:ascii="宋体" w:hAnsi="宋体" w:cs="宋体"/>
                <w:color w:val="auto"/>
                <w:kern w:val="0"/>
                <w:szCs w:val="21"/>
                <w:lang w:bidi="ar"/>
              </w:rPr>
              <w:t>氨氮</w:t>
            </w:r>
          </w:p>
        </w:tc>
        <w:tc>
          <w:tcPr>
            <w:tcW w:w="356" w:type="pct"/>
            <w:shd w:val="clear" w:color="auto" w:fill="FFFFFF"/>
            <w:noWrap/>
            <w:vAlign w:val="center"/>
          </w:tcPr>
          <w:p w14:paraId="4B44DD3D">
            <w:pPr>
              <w:widowControl/>
              <w:jc w:val="center"/>
              <w:textAlignment w:val="center"/>
              <w:rPr>
                <w:color w:val="auto"/>
                <w:szCs w:val="21"/>
              </w:rPr>
            </w:pPr>
            <w:r>
              <w:rPr>
                <w:color w:val="auto"/>
                <w:kern w:val="0"/>
                <w:szCs w:val="21"/>
                <w:lang w:bidi="ar"/>
              </w:rPr>
              <w:t>1.407</w:t>
            </w:r>
          </w:p>
        </w:tc>
        <w:tc>
          <w:tcPr>
            <w:tcW w:w="356" w:type="pct"/>
            <w:shd w:val="clear" w:color="auto" w:fill="FFFFFF"/>
            <w:noWrap/>
            <w:vAlign w:val="center"/>
          </w:tcPr>
          <w:p w14:paraId="742C2FBA">
            <w:pPr>
              <w:widowControl/>
              <w:jc w:val="center"/>
              <w:textAlignment w:val="center"/>
              <w:rPr>
                <w:color w:val="auto"/>
                <w:szCs w:val="21"/>
              </w:rPr>
            </w:pPr>
            <w:r>
              <w:rPr>
                <w:color w:val="auto"/>
                <w:kern w:val="0"/>
                <w:szCs w:val="21"/>
                <w:lang w:bidi="ar"/>
              </w:rPr>
              <w:t>0.0602</w:t>
            </w:r>
          </w:p>
        </w:tc>
        <w:tc>
          <w:tcPr>
            <w:tcW w:w="356" w:type="pct"/>
            <w:shd w:val="clear" w:color="auto" w:fill="FFFFFF"/>
            <w:noWrap/>
            <w:vAlign w:val="center"/>
          </w:tcPr>
          <w:p w14:paraId="42205D84">
            <w:pPr>
              <w:widowControl/>
              <w:jc w:val="center"/>
              <w:textAlignment w:val="center"/>
              <w:rPr>
                <w:color w:val="auto"/>
                <w:kern w:val="0"/>
                <w:szCs w:val="21"/>
                <w:lang w:bidi="ar"/>
              </w:rPr>
            </w:pPr>
            <w:r>
              <w:rPr>
                <w:color w:val="auto"/>
                <w:kern w:val="0"/>
                <w:szCs w:val="21"/>
                <w:lang w:bidi="ar"/>
              </w:rPr>
              <w:t>1.407</w:t>
            </w:r>
          </w:p>
        </w:tc>
        <w:tc>
          <w:tcPr>
            <w:tcW w:w="356" w:type="pct"/>
            <w:shd w:val="clear" w:color="auto" w:fill="FFFFFF"/>
            <w:noWrap/>
            <w:vAlign w:val="center"/>
          </w:tcPr>
          <w:p w14:paraId="653FB7EA">
            <w:pPr>
              <w:widowControl/>
              <w:jc w:val="center"/>
              <w:textAlignment w:val="center"/>
              <w:rPr>
                <w:color w:val="auto"/>
              </w:rPr>
            </w:pPr>
            <w:r>
              <w:rPr>
                <w:color w:val="auto"/>
                <w:kern w:val="0"/>
                <w:szCs w:val="21"/>
                <w:lang w:bidi="ar"/>
              </w:rPr>
              <w:t>0.0602</w:t>
            </w:r>
          </w:p>
        </w:tc>
        <w:tc>
          <w:tcPr>
            <w:tcW w:w="280" w:type="pct"/>
            <w:shd w:val="clear" w:color="auto" w:fill="FFFFFF"/>
            <w:noWrap/>
            <w:vAlign w:val="center"/>
          </w:tcPr>
          <w:p w14:paraId="47F989E4">
            <w:pPr>
              <w:widowControl/>
              <w:jc w:val="center"/>
              <w:textAlignment w:val="center"/>
              <w:rPr>
                <w:color w:val="auto"/>
                <w:kern w:val="0"/>
                <w:szCs w:val="21"/>
                <w:lang w:bidi="ar"/>
              </w:rPr>
            </w:pPr>
            <w:r>
              <w:rPr>
                <w:color w:val="auto"/>
                <w:kern w:val="0"/>
                <w:szCs w:val="21"/>
                <w:lang w:bidi="ar"/>
              </w:rPr>
              <w:t>0</w:t>
            </w:r>
          </w:p>
        </w:tc>
        <w:tc>
          <w:tcPr>
            <w:tcW w:w="280" w:type="pct"/>
            <w:shd w:val="clear" w:color="auto" w:fill="FFFFFF"/>
            <w:noWrap/>
            <w:vAlign w:val="center"/>
          </w:tcPr>
          <w:p w14:paraId="1D2796AC">
            <w:pPr>
              <w:widowControl/>
              <w:jc w:val="center"/>
              <w:textAlignment w:val="center"/>
              <w:rPr>
                <w:color w:val="auto"/>
              </w:rPr>
            </w:pPr>
            <w:r>
              <w:rPr>
                <w:color w:val="auto"/>
                <w:kern w:val="0"/>
                <w:szCs w:val="21"/>
                <w:lang w:bidi="ar"/>
              </w:rPr>
              <w:t>0</w:t>
            </w:r>
          </w:p>
        </w:tc>
        <w:tc>
          <w:tcPr>
            <w:tcW w:w="794" w:type="dxa"/>
            <w:shd w:val="clear" w:color="auto" w:fill="FFFFFF"/>
            <w:noWrap/>
            <w:vAlign w:val="center"/>
          </w:tcPr>
          <w:p w14:paraId="542D3AA0">
            <w:pPr>
              <w:widowControl/>
              <w:jc w:val="center"/>
              <w:textAlignment w:val="center"/>
              <w:rPr>
                <w:color w:val="auto"/>
                <w:szCs w:val="21"/>
              </w:rPr>
            </w:pPr>
            <w:r>
              <w:rPr>
                <w:color w:val="auto"/>
                <w:kern w:val="0"/>
                <w:szCs w:val="21"/>
                <w:lang w:bidi="ar"/>
              </w:rPr>
              <w:t xml:space="preserve">0.0088 </w:t>
            </w:r>
          </w:p>
        </w:tc>
        <w:tc>
          <w:tcPr>
            <w:tcW w:w="794" w:type="dxa"/>
            <w:shd w:val="clear" w:color="auto" w:fill="FFFFFF"/>
            <w:vAlign w:val="center"/>
          </w:tcPr>
          <w:p w14:paraId="50398779">
            <w:pPr>
              <w:widowControl/>
              <w:jc w:val="center"/>
              <w:textAlignment w:val="center"/>
              <w:rPr>
                <w:color w:val="auto"/>
                <w:szCs w:val="21"/>
              </w:rPr>
            </w:pPr>
            <w:r>
              <w:rPr>
                <w:color w:val="auto"/>
                <w:kern w:val="0"/>
                <w:szCs w:val="21"/>
                <w:lang w:bidi="ar"/>
              </w:rPr>
              <w:t xml:space="preserve">0.0027 </w:t>
            </w:r>
          </w:p>
        </w:tc>
        <w:tc>
          <w:tcPr>
            <w:tcW w:w="282" w:type="pct"/>
            <w:shd w:val="clear" w:color="auto" w:fill="FFFFFF"/>
            <w:noWrap/>
            <w:vAlign w:val="center"/>
          </w:tcPr>
          <w:p w14:paraId="61956E66">
            <w:pPr>
              <w:widowControl/>
              <w:jc w:val="center"/>
              <w:textAlignment w:val="center"/>
              <w:rPr>
                <w:color w:val="auto"/>
                <w:szCs w:val="21"/>
              </w:rPr>
            </w:pPr>
            <w:r>
              <w:rPr>
                <w:color w:val="auto"/>
                <w:kern w:val="0"/>
                <w:szCs w:val="21"/>
                <w:lang w:bidi="ar"/>
              </w:rPr>
              <w:t xml:space="preserve">0.0088 </w:t>
            </w:r>
          </w:p>
        </w:tc>
        <w:tc>
          <w:tcPr>
            <w:tcW w:w="282" w:type="pct"/>
            <w:shd w:val="clear" w:color="auto" w:fill="FFFFFF"/>
            <w:noWrap/>
            <w:vAlign w:val="center"/>
          </w:tcPr>
          <w:p w14:paraId="4496BEDE">
            <w:pPr>
              <w:widowControl/>
              <w:jc w:val="center"/>
              <w:textAlignment w:val="center"/>
              <w:rPr>
                <w:color w:val="auto"/>
                <w:szCs w:val="21"/>
              </w:rPr>
            </w:pPr>
            <w:r>
              <w:rPr>
                <w:color w:val="auto"/>
                <w:kern w:val="0"/>
                <w:szCs w:val="21"/>
                <w:lang w:bidi="ar"/>
              </w:rPr>
              <w:t xml:space="preserve">0.0027 </w:t>
            </w:r>
          </w:p>
        </w:tc>
        <w:tc>
          <w:tcPr>
            <w:tcW w:w="1004" w:type="dxa"/>
            <w:shd w:val="clear" w:color="auto" w:fill="FFFFFF"/>
            <w:noWrap/>
            <w:vAlign w:val="center"/>
          </w:tcPr>
          <w:p w14:paraId="6BD6DAFF">
            <w:pPr>
              <w:widowControl/>
              <w:jc w:val="center"/>
              <w:textAlignment w:val="center"/>
              <w:rPr>
                <w:color w:val="auto"/>
                <w:szCs w:val="21"/>
              </w:rPr>
            </w:pPr>
            <w:r>
              <w:rPr>
                <w:color w:val="auto"/>
                <w:kern w:val="0"/>
                <w:szCs w:val="21"/>
                <w:lang w:bidi="ar"/>
              </w:rPr>
              <w:t>1.407</w:t>
            </w:r>
          </w:p>
        </w:tc>
        <w:tc>
          <w:tcPr>
            <w:tcW w:w="1004" w:type="dxa"/>
            <w:shd w:val="clear" w:color="auto" w:fill="FFFFFF"/>
            <w:noWrap/>
            <w:vAlign w:val="center"/>
          </w:tcPr>
          <w:p w14:paraId="66840C40">
            <w:pPr>
              <w:widowControl/>
              <w:jc w:val="center"/>
              <w:textAlignment w:val="center"/>
              <w:rPr>
                <w:color w:val="auto"/>
                <w:szCs w:val="21"/>
              </w:rPr>
            </w:pPr>
            <w:r>
              <w:rPr>
                <w:color w:val="auto"/>
                <w:kern w:val="0"/>
                <w:szCs w:val="21"/>
                <w:lang w:bidi="ar"/>
              </w:rPr>
              <w:t>0.0602</w:t>
            </w:r>
          </w:p>
        </w:tc>
        <w:tc>
          <w:tcPr>
            <w:tcW w:w="282" w:type="pct"/>
            <w:shd w:val="clear" w:color="auto" w:fill="FFFFFF"/>
            <w:noWrap/>
            <w:vAlign w:val="center"/>
          </w:tcPr>
          <w:p w14:paraId="47007710">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7E584669">
            <w:pPr>
              <w:widowControl/>
              <w:jc w:val="center"/>
              <w:textAlignment w:val="center"/>
              <w:rPr>
                <w:color w:val="auto"/>
                <w:szCs w:val="21"/>
              </w:rPr>
            </w:pPr>
            <w:r>
              <w:rPr>
                <w:color w:val="auto"/>
                <w:kern w:val="0"/>
                <w:szCs w:val="21"/>
                <w:lang w:bidi="ar"/>
              </w:rPr>
              <w:t>0</w:t>
            </w:r>
          </w:p>
        </w:tc>
      </w:tr>
      <w:tr w14:paraId="4A4B3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04" w:type="pct"/>
            <w:gridSpan w:val="2"/>
            <w:vMerge w:val="continue"/>
            <w:shd w:val="clear" w:color="auto" w:fill="auto"/>
            <w:vAlign w:val="center"/>
          </w:tcPr>
          <w:p w14:paraId="1F6A4CEF">
            <w:pPr>
              <w:jc w:val="center"/>
              <w:rPr>
                <w:rFonts w:ascii="宋体" w:hAnsi="宋体" w:cs="宋体"/>
                <w:color w:val="auto"/>
                <w:szCs w:val="21"/>
              </w:rPr>
            </w:pPr>
          </w:p>
        </w:tc>
        <w:tc>
          <w:tcPr>
            <w:tcW w:w="300" w:type="pct"/>
            <w:shd w:val="clear" w:color="auto" w:fill="FFFFFF"/>
            <w:noWrap/>
            <w:vAlign w:val="center"/>
          </w:tcPr>
          <w:p w14:paraId="14C4A760">
            <w:pPr>
              <w:widowControl/>
              <w:jc w:val="left"/>
              <w:textAlignment w:val="center"/>
              <w:rPr>
                <w:rFonts w:ascii="宋体" w:hAnsi="宋体" w:cs="宋体"/>
                <w:color w:val="auto"/>
                <w:szCs w:val="21"/>
              </w:rPr>
            </w:pPr>
            <w:r>
              <w:rPr>
                <w:rFonts w:hint="eastAsia" w:ascii="宋体" w:hAnsi="宋体" w:cs="宋体"/>
                <w:color w:val="auto"/>
                <w:kern w:val="0"/>
                <w:szCs w:val="21"/>
                <w:lang w:bidi="ar"/>
              </w:rPr>
              <w:t>总氮</w:t>
            </w:r>
          </w:p>
        </w:tc>
        <w:tc>
          <w:tcPr>
            <w:tcW w:w="356" w:type="pct"/>
            <w:shd w:val="clear" w:color="auto" w:fill="FFFFFF"/>
            <w:noWrap/>
            <w:vAlign w:val="center"/>
          </w:tcPr>
          <w:p w14:paraId="6F01794E">
            <w:pPr>
              <w:widowControl/>
              <w:jc w:val="center"/>
              <w:textAlignment w:val="center"/>
              <w:rPr>
                <w:color w:val="auto"/>
                <w:szCs w:val="21"/>
              </w:rPr>
            </w:pPr>
            <w:r>
              <w:rPr>
                <w:color w:val="auto"/>
                <w:kern w:val="0"/>
                <w:szCs w:val="21"/>
                <w:lang w:bidi="ar"/>
              </w:rPr>
              <w:t>1.691</w:t>
            </w:r>
          </w:p>
        </w:tc>
        <w:tc>
          <w:tcPr>
            <w:tcW w:w="356" w:type="pct"/>
            <w:shd w:val="clear" w:color="auto" w:fill="FFFFFF"/>
            <w:noWrap/>
            <w:vAlign w:val="center"/>
          </w:tcPr>
          <w:p w14:paraId="48A2C5EE">
            <w:pPr>
              <w:widowControl/>
              <w:jc w:val="center"/>
              <w:textAlignment w:val="center"/>
              <w:rPr>
                <w:color w:val="auto"/>
                <w:szCs w:val="21"/>
              </w:rPr>
            </w:pPr>
            <w:r>
              <w:rPr>
                <w:color w:val="auto"/>
                <w:kern w:val="0"/>
                <w:szCs w:val="21"/>
                <w:lang w:bidi="ar"/>
              </w:rPr>
              <w:t>0.1813</w:t>
            </w:r>
          </w:p>
        </w:tc>
        <w:tc>
          <w:tcPr>
            <w:tcW w:w="356" w:type="pct"/>
            <w:shd w:val="clear" w:color="auto" w:fill="FFFFFF"/>
            <w:noWrap/>
            <w:vAlign w:val="center"/>
          </w:tcPr>
          <w:p w14:paraId="26D7E919">
            <w:pPr>
              <w:widowControl/>
              <w:jc w:val="center"/>
              <w:textAlignment w:val="center"/>
              <w:rPr>
                <w:color w:val="auto"/>
                <w:kern w:val="0"/>
                <w:szCs w:val="21"/>
                <w:lang w:bidi="ar"/>
              </w:rPr>
            </w:pPr>
            <w:r>
              <w:rPr>
                <w:color w:val="auto"/>
                <w:kern w:val="0"/>
                <w:szCs w:val="21"/>
                <w:lang w:bidi="ar"/>
              </w:rPr>
              <w:t>1.691</w:t>
            </w:r>
          </w:p>
        </w:tc>
        <w:tc>
          <w:tcPr>
            <w:tcW w:w="356" w:type="pct"/>
            <w:shd w:val="clear" w:color="auto" w:fill="FFFFFF"/>
            <w:noWrap/>
            <w:vAlign w:val="center"/>
          </w:tcPr>
          <w:p w14:paraId="0DC320DA">
            <w:pPr>
              <w:widowControl/>
              <w:jc w:val="center"/>
              <w:textAlignment w:val="center"/>
              <w:rPr>
                <w:color w:val="auto"/>
              </w:rPr>
            </w:pPr>
            <w:r>
              <w:rPr>
                <w:color w:val="auto"/>
                <w:kern w:val="0"/>
                <w:szCs w:val="21"/>
                <w:lang w:bidi="ar"/>
              </w:rPr>
              <w:t>0.1813</w:t>
            </w:r>
          </w:p>
        </w:tc>
        <w:tc>
          <w:tcPr>
            <w:tcW w:w="280" w:type="pct"/>
            <w:shd w:val="clear" w:color="auto" w:fill="FFFFFF"/>
            <w:noWrap/>
            <w:vAlign w:val="center"/>
          </w:tcPr>
          <w:p w14:paraId="72F5691C">
            <w:pPr>
              <w:widowControl/>
              <w:jc w:val="center"/>
              <w:textAlignment w:val="center"/>
              <w:rPr>
                <w:color w:val="auto"/>
                <w:kern w:val="0"/>
                <w:szCs w:val="21"/>
                <w:lang w:bidi="ar"/>
              </w:rPr>
            </w:pPr>
            <w:r>
              <w:rPr>
                <w:color w:val="auto"/>
                <w:kern w:val="0"/>
                <w:szCs w:val="21"/>
                <w:lang w:bidi="ar"/>
              </w:rPr>
              <w:t>0</w:t>
            </w:r>
          </w:p>
        </w:tc>
        <w:tc>
          <w:tcPr>
            <w:tcW w:w="280" w:type="pct"/>
            <w:shd w:val="clear" w:color="auto" w:fill="FFFFFF"/>
            <w:noWrap/>
            <w:vAlign w:val="center"/>
          </w:tcPr>
          <w:p w14:paraId="73296164">
            <w:pPr>
              <w:widowControl/>
              <w:jc w:val="center"/>
              <w:textAlignment w:val="center"/>
              <w:rPr>
                <w:color w:val="auto"/>
              </w:rPr>
            </w:pPr>
            <w:r>
              <w:rPr>
                <w:color w:val="auto"/>
                <w:kern w:val="0"/>
                <w:szCs w:val="21"/>
                <w:lang w:bidi="ar"/>
              </w:rPr>
              <w:t>0</w:t>
            </w:r>
          </w:p>
        </w:tc>
        <w:tc>
          <w:tcPr>
            <w:tcW w:w="794" w:type="dxa"/>
            <w:shd w:val="clear" w:color="auto" w:fill="FFFFFF"/>
            <w:noWrap/>
            <w:vAlign w:val="center"/>
          </w:tcPr>
          <w:p w14:paraId="03D718D5">
            <w:pPr>
              <w:widowControl/>
              <w:jc w:val="center"/>
              <w:textAlignment w:val="center"/>
              <w:rPr>
                <w:color w:val="auto"/>
                <w:szCs w:val="21"/>
              </w:rPr>
            </w:pPr>
            <w:r>
              <w:rPr>
                <w:color w:val="auto"/>
                <w:kern w:val="0"/>
                <w:szCs w:val="21"/>
                <w:lang w:bidi="ar"/>
              </w:rPr>
              <w:t xml:space="preserve">0.0177 </w:t>
            </w:r>
          </w:p>
        </w:tc>
        <w:tc>
          <w:tcPr>
            <w:tcW w:w="794" w:type="dxa"/>
            <w:shd w:val="clear" w:color="auto" w:fill="FFFFFF"/>
            <w:vAlign w:val="center"/>
          </w:tcPr>
          <w:p w14:paraId="3BB1E766">
            <w:pPr>
              <w:widowControl/>
              <w:jc w:val="center"/>
              <w:textAlignment w:val="center"/>
              <w:rPr>
                <w:color w:val="auto"/>
                <w:szCs w:val="21"/>
              </w:rPr>
            </w:pPr>
            <w:r>
              <w:rPr>
                <w:color w:val="auto"/>
                <w:kern w:val="0"/>
                <w:szCs w:val="21"/>
                <w:lang w:bidi="ar"/>
              </w:rPr>
              <w:t xml:space="preserve">0.0080 </w:t>
            </w:r>
          </w:p>
        </w:tc>
        <w:tc>
          <w:tcPr>
            <w:tcW w:w="282" w:type="pct"/>
            <w:shd w:val="clear" w:color="auto" w:fill="FFFFFF"/>
            <w:noWrap/>
            <w:vAlign w:val="center"/>
          </w:tcPr>
          <w:p w14:paraId="4BEE75E3">
            <w:pPr>
              <w:widowControl/>
              <w:jc w:val="center"/>
              <w:textAlignment w:val="center"/>
              <w:rPr>
                <w:color w:val="auto"/>
                <w:szCs w:val="21"/>
              </w:rPr>
            </w:pPr>
            <w:r>
              <w:rPr>
                <w:color w:val="auto"/>
                <w:kern w:val="0"/>
                <w:szCs w:val="21"/>
                <w:lang w:bidi="ar"/>
              </w:rPr>
              <w:t xml:space="preserve">0.0177 </w:t>
            </w:r>
          </w:p>
        </w:tc>
        <w:tc>
          <w:tcPr>
            <w:tcW w:w="282" w:type="pct"/>
            <w:shd w:val="clear" w:color="auto" w:fill="FFFFFF"/>
            <w:noWrap/>
            <w:vAlign w:val="center"/>
          </w:tcPr>
          <w:p w14:paraId="30D279AC">
            <w:pPr>
              <w:widowControl/>
              <w:jc w:val="center"/>
              <w:textAlignment w:val="center"/>
              <w:rPr>
                <w:color w:val="auto"/>
                <w:szCs w:val="21"/>
              </w:rPr>
            </w:pPr>
            <w:r>
              <w:rPr>
                <w:color w:val="auto"/>
                <w:kern w:val="0"/>
                <w:szCs w:val="21"/>
                <w:lang w:bidi="ar"/>
              </w:rPr>
              <w:t xml:space="preserve">0.0080 </w:t>
            </w:r>
          </w:p>
        </w:tc>
        <w:tc>
          <w:tcPr>
            <w:tcW w:w="1004" w:type="dxa"/>
            <w:shd w:val="clear" w:color="auto" w:fill="FFFFFF"/>
            <w:noWrap/>
            <w:vAlign w:val="center"/>
          </w:tcPr>
          <w:p w14:paraId="01980C49">
            <w:pPr>
              <w:widowControl/>
              <w:jc w:val="center"/>
              <w:textAlignment w:val="center"/>
              <w:rPr>
                <w:color w:val="auto"/>
                <w:szCs w:val="21"/>
              </w:rPr>
            </w:pPr>
            <w:r>
              <w:rPr>
                <w:color w:val="auto"/>
                <w:kern w:val="0"/>
                <w:szCs w:val="21"/>
                <w:lang w:bidi="ar"/>
              </w:rPr>
              <w:t>1.691</w:t>
            </w:r>
          </w:p>
        </w:tc>
        <w:tc>
          <w:tcPr>
            <w:tcW w:w="1004" w:type="dxa"/>
            <w:shd w:val="clear" w:color="auto" w:fill="FFFFFF"/>
            <w:noWrap/>
            <w:vAlign w:val="center"/>
          </w:tcPr>
          <w:p w14:paraId="59991E08">
            <w:pPr>
              <w:widowControl/>
              <w:jc w:val="center"/>
              <w:textAlignment w:val="center"/>
              <w:rPr>
                <w:color w:val="auto"/>
                <w:szCs w:val="21"/>
              </w:rPr>
            </w:pPr>
            <w:r>
              <w:rPr>
                <w:color w:val="auto"/>
                <w:kern w:val="0"/>
                <w:szCs w:val="21"/>
                <w:lang w:bidi="ar"/>
              </w:rPr>
              <w:t>0.1813</w:t>
            </w:r>
          </w:p>
        </w:tc>
        <w:tc>
          <w:tcPr>
            <w:tcW w:w="282" w:type="pct"/>
            <w:shd w:val="clear" w:color="auto" w:fill="FFFFFF"/>
            <w:noWrap/>
            <w:vAlign w:val="center"/>
          </w:tcPr>
          <w:p w14:paraId="5FD848A4">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291D1232">
            <w:pPr>
              <w:widowControl/>
              <w:jc w:val="center"/>
              <w:textAlignment w:val="center"/>
              <w:rPr>
                <w:color w:val="auto"/>
                <w:szCs w:val="21"/>
              </w:rPr>
            </w:pPr>
            <w:r>
              <w:rPr>
                <w:color w:val="auto"/>
                <w:kern w:val="0"/>
                <w:szCs w:val="21"/>
                <w:lang w:bidi="ar"/>
              </w:rPr>
              <w:t>0</w:t>
            </w:r>
          </w:p>
        </w:tc>
      </w:tr>
      <w:tr w14:paraId="4F2D6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04" w:type="pct"/>
            <w:gridSpan w:val="2"/>
            <w:vMerge w:val="continue"/>
            <w:shd w:val="clear" w:color="auto" w:fill="auto"/>
            <w:vAlign w:val="center"/>
          </w:tcPr>
          <w:p w14:paraId="29EC4048">
            <w:pPr>
              <w:jc w:val="center"/>
              <w:rPr>
                <w:rFonts w:ascii="宋体" w:hAnsi="宋体" w:cs="宋体"/>
                <w:color w:val="auto"/>
                <w:szCs w:val="21"/>
              </w:rPr>
            </w:pPr>
          </w:p>
        </w:tc>
        <w:tc>
          <w:tcPr>
            <w:tcW w:w="300" w:type="pct"/>
            <w:shd w:val="clear" w:color="auto" w:fill="FFFFFF"/>
            <w:noWrap/>
            <w:vAlign w:val="center"/>
          </w:tcPr>
          <w:p w14:paraId="56AA9BC1">
            <w:pPr>
              <w:widowControl/>
              <w:jc w:val="left"/>
              <w:textAlignment w:val="center"/>
              <w:rPr>
                <w:rFonts w:ascii="宋体" w:hAnsi="宋体" w:cs="宋体"/>
                <w:color w:val="auto"/>
                <w:szCs w:val="21"/>
              </w:rPr>
            </w:pPr>
            <w:r>
              <w:rPr>
                <w:rFonts w:hint="eastAsia" w:ascii="宋体" w:hAnsi="宋体" w:cs="宋体"/>
                <w:color w:val="auto"/>
                <w:kern w:val="0"/>
                <w:szCs w:val="21"/>
                <w:lang w:bidi="ar"/>
              </w:rPr>
              <w:t>总磷</w:t>
            </w:r>
          </w:p>
        </w:tc>
        <w:tc>
          <w:tcPr>
            <w:tcW w:w="356" w:type="pct"/>
            <w:shd w:val="clear" w:color="auto" w:fill="FFFFFF"/>
            <w:noWrap/>
            <w:vAlign w:val="center"/>
          </w:tcPr>
          <w:p w14:paraId="73DD5FAE">
            <w:pPr>
              <w:widowControl/>
              <w:jc w:val="center"/>
              <w:textAlignment w:val="center"/>
              <w:rPr>
                <w:color w:val="auto"/>
                <w:szCs w:val="21"/>
              </w:rPr>
            </w:pPr>
            <w:r>
              <w:rPr>
                <w:color w:val="auto"/>
                <w:kern w:val="0"/>
                <w:szCs w:val="21"/>
                <w:lang w:bidi="ar"/>
              </w:rPr>
              <w:t>0.025</w:t>
            </w:r>
          </w:p>
        </w:tc>
        <w:tc>
          <w:tcPr>
            <w:tcW w:w="356" w:type="pct"/>
            <w:shd w:val="clear" w:color="auto" w:fill="FFFFFF"/>
            <w:noWrap/>
            <w:vAlign w:val="center"/>
          </w:tcPr>
          <w:p w14:paraId="47937E6D">
            <w:pPr>
              <w:widowControl/>
              <w:jc w:val="center"/>
              <w:textAlignment w:val="center"/>
              <w:rPr>
                <w:color w:val="auto"/>
                <w:szCs w:val="21"/>
              </w:rPr>
            </w:pPr>
            <w:r>
              <w:rPr>
                <w:color w:val="auto"/>
                <w:kern w:val="0"/>
                <w:szCs w:val="21"/>
                <w:lang w:bidi="ar"/>
              </w:rPr>
              <w:t>0.006</w:t>
            </w:r>
          </w:p>
        </w:tc>
        <w:tc>
          <w:tcPr>
            <w:tcW w:w="356" w:type="pct"/>
            <w:shd w:val="clear" w:color="auto" w:fill="FFFFFF"/>
            <w:noWrap/>
            <w:vAlign w:val="center"/>
          </w:tcPr>
          <w:p w14:paraId="6FEFD484">
            <w:pPr>
              <w:widowControl/>
              <w:jc w:val="center"/>
              <w:textAlignment w:val="center"/>
              <w:rPr>
                <w:color w:val="auto"/>
                <w:kern w:val="0"/>
                <w:szCs w:val="21"/>
                <w:lang w:bidi="ar"/>
              </w:rPr>
            </w:pPr>
            <w:r>
              <w:rPr>
                <w:color w:val="auto"/>
                <w:kern w:val="0"/>
                <w:szCs w:val="21"/>
                <w:lang w:bidi="ar"/>
              </w:rPr>
              <w:t>0.025</w:t>
            </w:r>
          </w:p>
        </w:tc>
        <w:tc>
          <w:tcPr>
            <w:tcW w:w="356" w:type="pct"/>
            <w:shd w:val="clear" w:color="auto" w:fill="FFFFFF"/>
            <w:noWrap/>
            <w:vAlign w:val="center"/>
          </w:tcPr>
          <w:p w14:paraId="4AD03FAC">
            <w:pPr>
              <w:widowControl/>
              <w:jc w:val="center"/>
              <w:textAlignment w:val="center"/>
              <w:rPr>
                <w:color w:val="auto"/>
              </w:rPr>
            </w:pPr>
            <w:r>
              <w:rPr>
                <w:color w:val="auto"/>
                <w:kern w:val="0"/>
                <w:szCs w:val="21"/>
                <w:lang w:bidi="ar"/>
              </w:rPr>
              <w:t>0.006</w:t>
            </w:r>
          </w:p>
        </w:tc>
        <w:tc>
          <w:tcPr>
            <w:tcW w:w="280" w:type="pct"/>
            <w:shd w:val="clear" w:color="auto" w:fill="FFFFFF"/>
            <w:noWrap/>
            <w:vAlign w:val="center"/>
          </w:tcPr>
          <w:p w14:paraId="7F8A3F56">
            <w:pPr>
              <w:widowControl/>
              <w:jc w:val="center"/>
              <w:textAlignment w:val="center"/>
              <w:rPr>
                <w:color w:val="auto"/>
                <w:kern w:val="0"/>
                <w:szCs w:val="21"/>
                <w:lang w:bidi="ar"/>
              </w:rPr>
            </w:pPr>
            <w:r>
              <w:rPr>
                <w:color w:val="auto"/>
                <w:kern w:val="0"/>
                <w:szCs w:val="21"/>
                <w:lang w:bidi="ar"/>
              </w:rPr>
              <w:t>0</w:t>
            </w:r>
          </w:p>
        </w:tc>
        <w:tc>
          <w:tcPr>
            <w:tcW w:w="280" w:type="pct"/>
            <w:shd w:val="clear" w:color="auto" w:fill="FFFFFF"/>
            <w:noWrap/>
            <w:vAlign w:val="center"/>
          </w:tcPr>
          <w:p w14:paraId="21B0C95D">
            <w:pPr>
              <w:widowControl/>
              <w:jc w:val="center"/>
              <w:textAlignment w:val="center"/>
              <w:rPr>
                <w:color w:val="auto"/>
              </w:rPr>
            </w:pPr>
            <w:r>
              <w:rPr>
                <w:color w:val="auto"/>
                <w:kern w:val="0"/>
                <w:szCs w:val="21"/>
                <w:lang w:bidi="ar"/>
              </w:rPr>
              <w:t>0</w:t>
            </w:r>
          </w:p>
        </w:tc>
        <w:tc>
          <w:tcPr>
            <w:tcW w:w="794" w:type="dxa"/>
            <w:shd w:val="clear" w:color="auto" w:fill="FFFFFF"/>
            <w:noWrap/>
            <w:vAlign w:val="center"/>
          </w:tcPr>
          <w:p w14:paraId="6F0B92BA">
            <w:pPr>
              <w:widowControl/>
              <w:jc w:val="center"/>
              <w:textAlignment w:val="center"/>
              <w:rPr>
                <w:color w:val="auto"/>
                <w:szCs w:val="21"/>
              </w:rPr>
            </w:pPr>
            <w:r>
              <w:rPr>
                <w:color w:val="auto"/>
                <w:kern w:val="0"/>
                <w:szCs w:val="21"/>
                <w:lang w:bidi="ar"/>
              </w:rPr>
              <w:t>0</w:t>
            </w:r>
          </w:p>
        </w:tc>
        <w:tc>
          <w:tcPr>
            <w:tcW w:w="794" w:type="dxa"/>
            <w:shd w:val="clear" w:color="auto" w:fill="FFFFFF"/>
            <w:vAlign w:val="center"/>
          </w:tcPr>
          <w:p w14:paraId="4229F4B7">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7A6E1335">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508BEFB4">
            <w:pPr>
              <w:widowControl/>
              <w:jc w:val="center"/>
              <w:textAlignment w:val="center"/>
              <w:rPr>
                <w:color w:val="auto"/>
                <w:szCs w:val="21"/>
              </w:rPr>
            </w:pPr>
            <w:r>
              <w:rPr>
                <w:color w:val="auto"/>
                <w:kern w:val="0"/>
                <w:szCs w:val="21"/>
                <w:lang w:bidi="ar"/>
              </w:rPr>
              <w:t>0</w:t>
            </w:r>
          </w:p>
        </w:tc>
        <w:tc>
          <w:tcPr>
            <w:tcW w:w="1004" w:type="dxa"/>
            <w:shd w:val="clear" w:color="auto" w:fill="FFFFFF"/>
            <w:noWrap/>
            <w:vAlign w:val="center"/>
          </w:tcPr>
          <w:p w14:paraId="5851A1CF">
            <w:pPr>
              <w:widowControl/>
              <w:jc w:val="center"/>
              <w:textAlignment w:val="center"/>
              <w:rPr>
                <w:color w:val="auto"/>
                <w:szCs w:val="21"/>
              </w:rPr>
            </w:pPr>
            <w:r>
              <w:rPr>
                <w:color w:val="auto"/>
                <w:kern w:val="0"/>
                <w:szCs w:val="21"/>
                <w:lang w:bidi="ar"/>
              </w:rPr>
              <w:t>0.025</w:t>
            </w:r>
          </w:p>
        </w:tc>
        <w:tc>
          <w:tcPr>
            <w:tcW w:w="1004" w:type="dxa"/>
            <w:shd w:val="clear" w:color="auto" w:fill="FFFFFF"/>
            <w:noWrap/>
            <w:vAlign w:val="center"/>
          </w:tcPr>
          <w:p w14:paraId="1BFB3B54">
            <w:pPr>
              <w:widowControl/>
              <w:jc w:val="center"/>
              <w:textAlignment w:val="center"/>
              <w:rPr>
                <w:color w:val="auto"/>
                <w:szCs w:val="21"/>
              </w:rPr>
            </w:pPr>
            <w:r>
              <w:rPr>
                <w:color w:val="auto"/>
                <w:kern w:val="0"/>
                <w:szCs w:val="21"/>
                <w:lang w:bidi="ar"/>
              </w:rPr>
              <w:t>0.006</w:t>
            </w:r>
          </w:p>
        </w:tc>
        <w:tc>
          <w:tcPr>
            <w:tcW w:w="282" w:type="pct"/>
            <w:shd w:val="clear" w:color="auto" w:fill="FFFFFF"/>
            <w:noWrap/>
            <w:vAlign w:val="center"/>
          </w:tcPr>
          <w:p w14:paraId="7F7D0796">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54AE3B2F">
            <w:pPr>
              <w:widowControl/>
              <w:jc w:val="center"/>
              <w:textAlignment w:val="center"/>
              <w:rPr>
                <w:color w:val="auto"/>
                <w:szCs w:val="21"/>
              </w:rPr>
            </w:pPr>
            <w:r>
              <w:rPr>
                <w:color w:val="auto"/>
                <w:kern w:val="0"/>
                <w:szCs w:val="21"/>
                <w:lang w:bidi="ar"/>
              </w:rPr>
              <w:t>0</w:t>
            </w:r>
          </w:p>
        </w:tc>
      </w:tr>
      <w:tr w14:paraId="4D30A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04" w:type="pct"/>
            <w:gridSpan w:val="2"/>
            <w:vMerge w:val="continue"/>
            <w:shd w:val="clear" w:color="auto" w:fill="auto"/>
            <w:vAlign w:val="center"/>
          </w:tcPr>
          <w:p w14:paraId="4465C95F">
            <w:pPr>
              <w:jc w:val="center"/>
              <w:rPr>
                <w:rFonts w:ascii="宋体" w:hAnsi="宋体" w:cs="宋体"/>
                <w:color w:val="auto"/>
                <w:szCs w:val="21"/>
              </w:rPr>
            </w:pPr>
          </w:p>
        </w:tc>
        <w:tc>
          <w:tcPr>
            <w:tcW w:w="300" w:type="pct"/>
            <w:shd w:val="clear" w:color="auto" w:fill="FFFFFF"/>
            <w:noWrap/>
            <w:vAlign w:val="center"/>
          </w:tcPr>
          <w:p w14:paraId="1B438FA0">
            <w:pPr>
              <w:widowControl/>
              <w:jc w:val="left"/>
              <w:textAlignment w:val="center"/>
              <w:rPr>
                <w:rFonts w:ascii="宋体" w:hAnsi="宋体" w:cs="宋体"/>
                <w:color w:val="auto"/>
                <w:szCs w:val="21"/>
              </w:rPr>
            </w:pPr>
            <w:r>
              <w:rPr>
                <w:rFonts w:hint="eastAsia" w:ascii="宋体" w:hAnsi="宋体" w:cs="宋体"/>
                <w:color w:val="auto"/>
                <w:kern w:val="0"/>
                <w:szCs w:val="21"/>
                <w:lang w:bidi="ar"/>
              </w:rPr>
              <w:t>盐分</w:t>
            </w:r>
          </w:p>
        </w:tc>
        <w:tc>
          <w:tcPr>
            <w:tcW w:w="356" w:type="pct"/>
            <w:shd w:val="clear" w:color="auto" w:fill="FFFFFF"/>
            <w:noWrap/>
            <w:vAlign w:val="center"/>
          </w:tcPr>
          <w:p w14:paraId="58E9B3D8">
            <w:pPr>
              <w:widowControl/>
              <w:jc w:val="center"/>
              <w:textAlignment w:val="center"/>
              <w:rPr>
                <w:color w:val="auto"/>
                <w:szCs w:val="21"/>
              </w:rPr>
            </w:pPr>
            <w:r>
              <w:rPr>
                <w:color w:val="auto"/>
                <w:kern w:val="0"/>
                <w:szCs w:val="21"/>
                <w:lang w:bidi="ar"/>
              </w:rPr>
              <w:t>53.882</w:t>
            </w:r>
          </w:p>
        </w:tc>
        <w:tc>
          <w:tcPr>
            <w:tcW w:w="356" w:type="pct"/>
            <w:shd w:val="clear" w:color="auto" w:fill="FFFFFF"/>
            <w:noWrap/>
            <w:vAlign w:val="center"/>
          </w:tcPr>
          <w:p w14:paraId="565B2498">
            <w:pPr>
              <w:widowControl/>
              <w:jc w:val="center"/>
              <w:textAlignment w:val="center"/>
              <w:rPr>
                <w:color w:val="auto"/>
                <w:szCs w:val="21"/>
              </w:rPr>
            </w:pPr>
            <w:r>
              <w:rPr>
                <w:color w:val="auto"/>
                <w:kern w:val="0"/>
                <w:szCs w:val="21"/>
                <w:lang w:bidi="ar"/>
              </w:rPr>
              <w:t>53.882</w:t>
            </w:r>
          </w:p>
        </w:tc>
        <w:tc>
          <w:tcPr>
            <w:tcW w:w="356" w:type="pct"/>
            <w:shd w:val="clear" w:color="auto" w:fill="FFFFFF"/>
            <w:noWrap/>
            <w:vAlign w:val="center"/>
          </w:tcPr>
          <w:p w14:paraId="2787CA89">
            <w:pPr>
              <w:widowControl/>
              <w:jc w:val="center"/>
              <w:textAlignment w:val="center"/>
              <w:rPr>
                <w:color w:val="auto"/>
                <w:kern w:val="0"/>
                <w:szCs w:val="21"/>
                <w:lang w:bidi="ar"/>
              </w:rPr>
            </w:pPr>
            <w:r>
              <w:rPr>
                <w:color w:val="auto"/>
                <w:kern w:val="0"/>
                <w:szCs w:val="21"/>
                <w:lang w:bidi="ar"/>
              </w:rPr>
              <w:t>53.882</w:t>
            </w:r>
          </w:p>
        </w:tc>
        <w:tc>
          <w:tcPr>
            <w:tcW w:w="356" w:type="pct"/>
            <w:shd w:val="clear" w:color="auto" w:fill="FFFFFF"/>
            <w:noWrap/>
            <w:vAlign w:val="center"/>
          </w:tcPr>
          <w:p w14:paraId="298E8662">
            <w:pPr>
              <w:widowControl/>
              <w:jc w:val="center"/>
              <w:textAlignment w:val="center"/>
              <w:rPr>
                <w:color w:val="auto"/>
              </w:rPr>
            </w:pPr>
            <w:r>
              <w:rPr>
                <w:color w:val="auto"/>
                <w:kern w:val="0"/>
                <w:szCs w:val="21"/>
                <w:lang w:bidi="ar"/>
              </w:rPr>
              <w:t>53.882</w:t>
            </w:r>
          </w:p>
        </w:tc>
        <w:tc>
          <w:tcPr>
            <w:tcW w:w="280" w:type="pct"/>
            <w:shd w:val="clear" w:color="auto" w:fill="FFFFFF"/>
            <w:noWrap/>
            <w:vAlign w:val="center"/>
          </w:tcPr>
          <w:p w14:paraId="73F24E6B">
            <w:pPr>
              <w:widowControl/>
              <w:jc w:val="center"/>
              <w:textAlignment w:val="center"/>
              <w:rPr>
                <w:color w:val="auto"/>
                <w:kern w:val="0"/>
                <w:szCs w:val="21"/>
                <w:lang w:bidi="ar"/>
              </w:rPr>
            </w:pPr>
            <w:r>
              <w:rPr>
                <w:color w:val="auto"/>
                <w:kern w:val="0"/>
                <w:szCs w:val="21"/>
                <w:lang w:bidi="ar"/>
              </w:rPr>
              <w:t>0</w:t>
            </w:r>
          </w:p>
        </w:tc>
        <w:tc>
          <w:tcPr>
            <w:tcW w:w="280" w:type="pct"/>
            <w:shd w:val="clear" w:color="auto" w:fill="FFFFFF"/>
            <w:noWrap/>
            <w:vAlign w:val="center"/>
          </w:tcPr>
          <w:p w14:paraId="4F288829">
            <w:pPr>
              <w:widowControl/>
              <w:jc w:val="center"/>
              <w:textAlignment w:val="center"/>
              <w:rPr>
                <w:color w:val="auto"/>
              </w:rPr>
            </w:pPr>
            <w:r>
              <w:rPr>
                <w:color w:val="auto"/>
                <w:kern w:val="0"/>
                <w:szCs w:val="21"/>
                <w:lang w:bidi="ar"/>
              </w:rPr>
              <w:t>0</w:t>
            </w:r>
          </w:p>
        </w:tc>
        <w:tc>
          <w:tcPr>
            <w:tcW w:w="794" w:type="dxa"/>
            <w:shd w:val="clear" w:color="auto" w:fill="FFFFFF"/>
            <w:noWrap/>
            <w:vAlign w:val="center"/>
          </w:tcPr>
          <w:p w14:paraId="25E37657">
            <w:pPr>
              <w:widowControl/>
              <w:jc w:val="center"/>
              <w:textAlignment w:val="center"/>
              <w:rPr>
                <w:color w:val="auto"/>
                <w:szCs w:val="21"/>
              </w:rPr>
            </w:pPr>
            <w:r>
              <w:rPr>
                <w:color w:val="auto"/>
                <w:kern w:val="0"/>
                <w:szCs w:val="21"/>
                <w:lang w:bidi="ar"/>
              </w:rPr>
              <w:t xml:space="preserve">0.1769 </w:t>
            </w:r>
          </w:p>
        </w:tc>
        <w:tc>
          <w:tcPr>
            <w:tcW w:w="794" w:type="dxa"/>
            <w:shd w:val="clear" w:color="auto" w:fill="FFFFFF"/>
            <w:vAlign w:val="center"/>
          </w:tcPr>
          <w:p w14:paraId="572A76CB">
            <w:pPr>
              <w:widowControl/>
              <w:jc w:val="center"/>
              <w:textAlignment w:val="center"/>
              <w:rPr>
                <w:color w:val="auto"/>
                <w:szCs w:val="21"/>
              </w:rPr>
            </w:pPr>
            <w:r>
              <w:rPr>
                <w:color w:val="auto"/>
                <w:kern w:val="0"/>
                <w:szCs w:val="21"/>
                <w:lang w:bidi="ar"/>
              </w:rPr>
              <w:t xml:space="preserve">0.1769 </w:t>
            </w:r>
          </w:p>
        </w:tc>
        <w:tc>
          <w:tcPr>
            <w:tcW w:w="282" w:type="pct"/>
            <w:shd w:val="clear" w:color="auto" w:fill="FFFFFF"/>
            <w:noWrap/>
            <w:vAlign w:val="center"/>
          </w:tcPr>
          <w:p w14:paraId="310A245F">
            <w:pPr>
              <w:widowControl/>
              <w:jc w:val="center"/>
              <w:textAlignment w:val="center"/>
              <w:rPr>
                <w:color w:val="auto"/>
                <w:szCs w:val="21"/>
              </w:rPr>
            </w:pPr>
            <w:r>
              <w:rPr>
                <w:color w:val="auto"/>
                <w:kern w:val="0"/>
                <w:szCs w:val="21"/>
                <w:lang w:bidi="ar"/>
              </w:rPr>
              <w:t xml:space="preserve">0.1769 </w:t>
            </w:r>
          </w:p>
        </w:tc>
        <w:tc>
          <w:tcPr>
            <w:tcW w:w="282" w:type="pct"/>
            <w:shd w:val="clear" w:color="auto" w:fill="FFFFFF"/>
            <w:noWrap/>
            <w:vAlign w:val="center"/>
          </w:tcPr>
          <w:p w14:paraId="2D0F3B89">
            <w:pPr>
              <w:widowControl/>
              <w:jc w:val="center"/>
              <w:textAlignment w:val="center"/>
              <w:rPr>
                <w:color w:val="auto"/>
                <w:szCs w:val="21"/>
              </w:rPr>
            </w:pPr>
            <w:r>
              <w:rPr>
                <w:color w:val="auto"/>
                <w:kern w:val="0"/>
                <w:szCs w:val="21"/>
                <w:lang w:bidi="ar"/>
              </w:rPr>
              <w:t xml:space="preserve">0.1769 </w:t>
            </w:r>
          </w:p>
        </w:tc>
        <w:tc>
          <w:tcPr>
            <w:tcW w:w="1004" w:type="dxa"/>
            <w:shd w:val="clear" w:color="auto" w:fill="FFFFFF"/>
            <w:noWrap/>
            <w:vAlign w:val="center"/>
          </w:tcPr>
          <w:p w14:paraId="1E81BE04">
            <w:pPr>
              <w:widowControl/>
              <w:jc w:val="center"/>
              <w:textAlignment w:val="center"/>
              <w:rPr>
                <w:color w:val="auto"/>
                <w:szCs w:val="21"/>
              </w:rPr>
            </w:pPr>
            <w:r>
              <w:rPr>
                <w:color w:val="auto"/>
                <w:kern w:val="0"/>
                <w:szCs w:val="21"/>
                <w:lang w:bidi="ar"/>
              </w:rPr>
              <w:t>53.882</w:t>
            </w:r>
          </w:p>
        </w:tc>
        <w:tc>
          <w:tcPr>
            <w:tcW w:w="1004" w:type="dxa"/>
            <w:shd w:val="clear" w:color="auto" w:fill="FFFFFF"/>
            <w:noWrap/>
            <w:vAlign w:val="center"/>
          </w:tcPr>
          <w:p w14:paraId="562C4D0B">
            <w:pPr>
              <w:widowControl/>
              <w:jc w:val="center"/>
              <w:textAlignment w:val="center"/>
              <w:rPr>
                <w:color w:val="auto"/>
                <w:szCs w:val="21"/>
              </w:rPr>
            </w:pPr>
            <w:r>
              <w:rPr>
                <w:color w:val="auto"/>
                <w:kern w:val="0"/>
                <w:szCs w:val="21"/>
                <w:lang w:bidi="ar"/>
              </w:rPr>
              <w:t>53.882</w:t>
            </w:r>
          </w:p>
        </w:tc>
        <w:tc>
          <w:tcPr>
            <w:tcW w:w="282" w:type="pct"/>
            <w:shd w:val="clear" w:color="auto" w:fill="FFFFFF"/>
            <w:noWrap/>
            <w:vAlign w:val="center"/>
          </w:tcPr>
          <w:p w14:paraId="6E79DB5A">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1688C1E4">
            <w:pPr>
              <w:widowControl/>
              <w:jc w:val="center"/>
              <w:textAlignment w:val="center"/>
              <w:rPr>
                <w:color w:val="auto"/>
                <w:szCs w:val="21"/>
              </w:rPr>
            </w:pPr>
            <w:r>
              <w:rPr>
                <w:color w:val="auto"/>
                <w:kern w:val="0"/>
                <w:szCs w:val="21"/>
                <w:lang w:bidi="ar"/>
              </w:rPr>
              <w:t>0</w:t>
            </w:r>
          </w:p>
        </w:tc>
      </w:tr>
      <w:tr w14:paraId="2E039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04" w:type="pct"/>
            <w:gridSpan w:val="2"/>
            <w:vMerge w:val="continue"/>
            <w:shd w:val="clear" w:color="auto" w:fill="auto"/>
            <w:vAlign w:val="center"/>
          </w:tcPr>
          <w:p w14:paraId="6827C66A">
            <w:pPr>
              <w:jc w:val="center"/>
              <w:rPr>
                <w:rFonts w:ascii="宋体" w:hAnsi="宋体" w:cs="宋体"/>
                <w:color w:val="auto"/>
                <w:szCs w:val="21"/>
              </w:rPr>
            </w:pPr>
          </w:p>
        </w:tc>
        <w:tc>
          <w:tcPr>
            <w:tcW w:w="300" w:type="pct"/>
            <w:shd w:val="clear" w:color="auto" w:fill="FFFFFF"/>
            <w:noWrap/>
            <w:vAlign w:val="center"/>
          </w:tcPr>
          <w:p w14:paraId="7DA6F4FE">
            <w:pPr>
              <w:widowControl/>
              <w:jc w:val="left"/>
              <w:textAlignment w:val="center"/>
              <w:rPr>
                <w:rFonts w:ascii="宋体" w:hAnsi="宋体" w:cs="宋体"/>
                <w:color w:val="auto"/>
                <w:szCs w:val="21"/>
              </w:rPr>
            </w:pPr>
            <w:r>
              <w:rPr>
                <w:rFonts w:hint="eastAsia" w:ascii="宋体" w:hAnsi="宋体" w:cs="宋体"/>
                <w:color w:val="auto"/>
                <w:kern w:val="0"/>
                <w:szCs w:val="21"/>
                <w:lang w:bidi="ar"/>
              </w:rPr>
              <w:t>总铬</w:t>
            </w:r>
          </w:p>
        </w:tc>
        <w:tc>
          <w:tcPr>
            <w:tcW w:w="356" w:type="pct"/>
            <w:shd w:val="clear" w:color="auto" w:fill="FFFFFF"/>
            <w:noWrap/>
            <w:vAlign w:val="center"/>
          </w:tcPr>
          <w:p w14:paraId="7465E725">
            <w:pPr>
              <w:widowControl/>
              <w:jc w:val="center"/>
              <w:textAlignment w:val="center"/>
              <w:rPr>
                <w:color w:val="auto"/>
                <w:szCs w:val="21"/>
              </w:rPr>
            </w:pPr>
            <w:r>
              <w:rPr>
                <w:color w:val="auto"/>
                <w:kern w:val="0"/>
                <w:szCs w:val="21"/>
                <w:lang w:bidi="ar"/>
              </w:rPr>
              <w:t>0.000014</w:t>
            </w:r>
          </w:p>
        </w:tc>
        <w:tc>
          <w:tcPr>
            <w:tcW w:w="356" w:type="pct"/>
            <w:shd w:val="clear" w:color="auto" w:fill="FFFFFF"/>
            <w:noWrap/>
            <w:vAlign w:val="center"/>
          </w:tcPr>
          <w:p w14:paraId="421D38DA">
            <w:pPr>
              <w:widowControl/>
              <w:jc w:val="center"/>
              <w:textAlignment w:val="center"/>
              <w:rPr>
                <w:color w:val="auto"/>
                <w:szCs w:val="21"/>
              </w:rPr>
            </w:pPr>
            <w:r>
              <w:rPr>
                <w:color w:val="auto"/>
                <w:kern w:val="0"/>
                <w:szCs w:val="21"/>
                <w:lang w:bidi="ar"/>
              </w:rPr>
              <w:t>0.000014</w:t>
            </w:r>
          </w:p>
        </w:tc>
        <w:tc>
          <w:tcPr>
            <w:tcW w:w="356" w:type="pct"/>
            <w:shd w:val="clear" w:color="auto" w:fill="FFFFFF"/>
            <w:noWrap/>
            <w:vAlign w:val="center"/>
          </w:tcPr>
          <w:p w14:paraId="76B56942">
            <w:pPr>
              <w:widowControl/>
              <w:jc w:val="center"/>
              <w:textAlignment w:val="center"/>
              <w:rPr>
                <w:color w:val="auto"/>
                <w:kern w:val="0"/>
                <w:szCs w:val="21"/>
                <w:lang w:bidi="ar"/>
              </w:rPr>
            </w:pPr>
            <w:r>
              <w:rPr>
                <w:color w:val="auto"/>
                <w:kern w:val="0"/>
                <w:szCs w:val="21"/>
                <w:lang w:bidi="ar"/>
              </w:rPr>
              <w:t>0.000014</w:t>
            </w:r>
          </w:p>
        </w:tc>
        <w:tc>
          <w:tcPr>
            <w:tcW w:w="356" w:type="pct"/>
            <w:shd w:val="clear" w:color="auto" w:fill="FFFFFF"/>
            <w:noWrap/>
            <w:vAlign w:val="center"/>
          </w:tcPr>
          <w:p w14:paraId="21D21BB4">
            <w:pPr>
              <w:widowControl/>
              <w:jc w:val="center"/>
              <w:textAlignment w:val="center"/>
              <w:rPr>
                <w:color w:val="auto"/>
              </w:rPr>
            </w:pPr>
            <w:r>
              <w:rPr>
                <w:color w:val="auto"/>
                <w:kern w:val="0"/>
                <w:szCs w:val="21"/>
                <w:lang w:bidi="ar"/>
              </w:rPr>
              <w:t>0.000014</w:t>
            </w:r>
          </w:p>
        </w:tc>
        <w:tc>
          <w:tcPr>
            <w:tcW w:w="280" w:type="pct"/>
            <w:shd w:val="clear" w:color="auto" w:fill="FFFFFF"/>
            <w:noWrap/>
            <w:vAlign w:val="center"/>
          </w:tcPr>
          <w:p w14:paraId="37B0BF3E">
            <w:pPr>
              <w:widowControl/>
              <w:jc w:val="center"/>
              <w:textAlignment w:val="center"/>
              <w:rPr>
                <w:color w:val="auto"/>
                <w:kern w:val="0"/>
                <w:szCs w:val="21"/>
                <w:lang w:bidi="ar"/>
              </w:rPr>
            </w:pPr>
            <w:r>
              <w:rPr>
                <w:color w:val="auto"/>
                <w:kern w:val="0"/>
                <w:szCs w:val="21"/>
                <w:lang w:bidi="ar"/>
              </w:rPr>
              <w:t>0</w:t>
            </w:r>
          </w:p>
        </w:tc>
        <w:tc>
          <w:tcPr>
            <w:tcW w:w="280" w:type="pct"/>
            <w:shd w:val="clear" w:color="auto" w:fill="FFFFFF"/>
            <w:noWrap/>
            <w:vAlign w:val="center"/>
          </w:tcPr>
          <w:p w14:paraId="25094047">
            <w:pPr>
              <w:widowControl/>
              <w:jc w:val="center"/>
              <w:textAlignment w:val="center"/>
              <w:rPr>
                <w:color w:val="auto"/>
              </w:rPr>
            </w:pPr>
            <w:r>
              <w:rPr>
                <w:color w:val="auto"/>
                <w:kern w:val="0"/>
                <w:szCs w:val="21"/>
                <w:lang w:bidi="ar"/>
              </w:rPr>
              <w:t>0</w:t>
            </w:r>
          </w:p>
        </w:tc>
        <w:tc>
          <w:tcPr>
            <w:tcW w:w="794" w:type="dxa"/>
            <w:shd w:val="clear" w:color="auto" w:fill="FFFFFF"/>
            <w:noWrap/>
            <w:vAlign w:val="center"/>
          </w:tcPr>
          <w:p w14:paraId="4643FA3E">
            <w:pPr>
              <w:widowControl/>
              <w:jc w:val="center"/>
              <w:textAlignment w:val="center"/>
              <w:rPr>
                <w:color w:val="auto"/>
                <w:szCs w:val="21"/>
              </w:rPr>
            </w:pPr>
            <w:r>
              <w:rPr>
                <w:color w:val="auto"/>
                <w:kern w:val="0"/>
                <w:szCs w:val="21"/>
                <w:lang w:bidi="ar"/>
              </w:rPr>
              <w:t>0</w:t>
            </w:r>
          </w:p>
        </w:tc>
        <w:tc>
          <w:tcPr>
            <w:tcW w:w="794" w:type="dxa"/>
            <w:shd w:val="clear" w:color="auto" w:fill="FFFFFF"/>
            <w:vAlign w:val="center"/>
          </w:tcPr>
          <w:p w14:paraId="3B0E756C">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42C29689">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5D57682E">
            <w:pPr>
              <w:widowControl/>
              <w:jc w:val="center"/>
              <w:textAlignment w:val="center"/>
              <w:rPr>
                <w:color w:val="auto"/>
                <w:szCs w:val="21"/>
              </w:rPr>
            </w:pPr>
            <w:r>
              <w:rPr>
                <w:color w:val="auto"/>
                <w:kern w:val="0"/>
                <w:szCs w:val="21"/>
                <w:lang w:bidi="ar"/>
              </w:rPr>
              <w:t>0</w:t>
            </w:r>
          </w:p>
        </w:tc>
        <w:tc>
          <w:tcPr>
            <w:tcW w:w="1004" w:type="dxa"/>
            <w:shd w:val="clear" w:color="auto" w:fill="FFFFFF"/>
            <w:noWrap/>
            <w:vAlign w:val="center"/>
          </w:tcPr>
          <w:p w14:paraId="29E70FA4">
            <w:pPr>
              <w:widowControl/>
              <w:jc w:val="center"/>
              <w:textAlignment w:val="center"/>
              <w:rPr>
                <w:color w:val="auto"/>
                <w:szCs w:val="21"/>
              </w:rPr>
            </w:pPr>
            <w:r>
              <w:rPr>
                <w:color w:val="auto"/>
                <w:kern w:val="0"/>
                <w:szCs w:val="21"/>
                <w:lang w:bidi="ar"/>
              </w:rPr>
              <w:t>0.000014</w:t>
            </w:r>
          </w:p>
        </w:tc>
        <w:tc>
          <w:tcPr>
            <w:tcW w:w="1004" w:type="dxa"/>
            <w:shd w:val="clear" w:color="auto" w:fill="FFFFFF"/>
            <w:noWrap/>
            <w:vAlign w:val="center"/>
          </w:tcPr>
          <w:p w14:paraId="33C258DC">
            <w:pPr>
              <w:widowControl/>
              <w:jc w:val="center"/>
              <w:textAlignment w:val="center"/>
              <w:rPr>
                <w:color w:val="auto"/>
                <w:szCs w:val="21"/>
              </w:rPr>
            </w:pPr>
            <w:r>
              <w:rPr>
                <w:color w:val="auto"/>
                <w:kern w:val="0"/>
                <w:szCs w:val="21"/>
                <w:lang w:bidi="ar"/>
              </w:rPr>
              <w:t>0.000014</w:t>
            </w:r>
          </w:p>
        </w:tc>
        <w:tc>
          <w:tcPr>
            <w:tcW w:w="282" w:type="pct"/>
            <w:shd w:val="clear" w:color="auto" w:fill="FFFFFF"/>
            <w:noWrap/>
            <w:vAlign w:val="center"/>
          </w:tcPr>
          <w:p w14:paraId="5388D69D">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72A2F3F5">
            <w:pPr>
              <w:widowControl/>
              <w:jc w:val="center"/>
              <w:textAlignment w:val="center"/>
              <w:rPr>
                <w:color w:val="auto"/>
                <w:szCs w:val="21"/>
              </w:rPr>
            </w:pPr>
            <w:r>
              <w:rPr>
                <w:color w:val="auto"/>
                <w:kern w:val="0"/>
                <w:szCs w:val="21"/>
                <w:lang w:bidi="ar"/>
              </w:rPr>
              <w:t>0</w:t>
            </w:r>
          </w:p>
        </w:tc>
      </w:tr>
      <w:tr w14:paraId="584BF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04" w:type="pct"/>
            <w:gridSpan w:val="2"/>
            <w:vMerge w:val="continue"/>
            <w:shd w:val="clear" w:color="auto" w:fill="auto"/>
            <w:vAlign w:val="center"/>
          </w:tcPr>
          <w:p w14:paraId="08742804">
            <w:pPr>
              <w:jc w:val="center"/>
              <w:rPr>
                <w:rFonts w:ascii="宋体" w:hAnsi="宋体" w:cs="宋体"/>
                <w:color w:val="auto"/>
                <w:szCs w:val="21"/>
              </w:rPr>
            </w:pPr>
          </w:p>
        </w:tc>
        <w:tc>
          <w:tcPr>
            <w:tcW w:w="300" w:type="pct"/>
            <w:shd w:val="clear" w:color="auto" w:fill="FFFFFF"/>
            <w:noWrap/>
            <w:vAlign w:val="center"/>
          </w:tcPr>
          <w:p w14:paraId="349BB99A">
            <w:pPr>
              <w:widowControl/>
              <w:jc w:val="left"/>
              <w:textAlignment w:val="center"/>
              <w:rPr>
                <w:rFonts w:ascii="宋体" w:hAnsi="宋体" w:cs="宋体"/>
                <w:color w:val="auto"/>
                <w:szCs w:val="21"/>
              </w:rPr>
            </w:pPr>
            <w:r>
              <w:rPr>
                <w:rFonts w:hint="eastAsia" w:ascii="宋体" w:hAnsi="宋体" w:cs="宋体"/>
                <w:color w:val="auto"/>
                <w:kern w:val="0"/>
                <w:szCs w:val="21"/>
                <w:lang w:bidi="ar"/>
              </w:rPr>
              <w:t>总镍</w:t>
            </w:r>
          </w:p>
        </w:tc>
        <w:tc>
          <w:tcPr>
            <w:tcW w:w="356" w:type="pct"/>
            <w:shd w:val="clear" w:color="auto" w:fill="FFFFFF"/>
            <w:noWrap/>
            <w:vAlign w:val="center"/>
          </w:tcPr>
          <w:p w14:paraId="3FFA6186">
            <w:pPr>
              <w:widowControl/>
              <w:jc w:val="center"/>
              <w:textAlignment w:val="center"/>
              <w:rPr>
                <w:color w:val="auto"/>
                <w:szCs w:val="21"/>
              </w:rPr>
            </w:pPr>
            <w:r>
              <w:rPr>
                <w:color w:val="auto"/>
                <w:kern w:val="0"/>
                <w:szCs w:val="21"/>
                <w:lang w:bidi="ar"/>
              </w:rPr>
              <w:t>0.000081</w:t>
            </w:r>
          </w:p>
        </w:tc>
        <w:tc>
          <w:tcPr>
            <w:tcW w:w="356" w:type="pct"/>
            <w:shd w:val="clear" w:color="auto" w:fill="FFFFFF"/>
            <w:noWrap/>
            <w:vAlign w:val="center"/>
          </w:tcPr>
          <w:p w14:paraId="1A15133F">
            <w:pPr>
              <w:widowControl/>
              <w:jc w:val="center"/>
              <w:textAlignment w:val="center"/>
              <w:rPr>
                <w:color w:val="auto"/>
                <w:szCs w:val="21"/>
              </w:rPr>
            </w:pPr>
            <w:r>
              <w:rPr>
                <w:color w:val="auto"/>
                <w:kern w:val="0"/>
                <w:szCs w:val="21"/>
                <w:lang w:bidi="ar"/>
              </w:rPr>
              <w:t>0.000081</w:t>
            </w:r>
          </w:p>
        </w:tc>
        <w:tc>
          <w:tcPr>
            <w:tcW w:w="356" w:type="pct"/>
            <w:shd w:val="clear" w:color="auto" w:fill="FFFFFF"/>
            <w:noWrap/>
            <w:vAlign w:val="center"/>
          </w:tcPr>
          <w:p w14:paraId="128F13CC">
            <w:pPr>
              <w:widowControl/>
              <w:jc w:val="center"/>
              <w:textAlignment w:val="center"/>
              <w:rPr>
                <w:color w:val="auto"/>
                <w:kern w:val="0"/>
                <w:szCs w:val="21"/>
                <w:lang w:bidi="ar"/>
              </w:rPr>
            </w:pPr>
            <w:r>
              <w:rPr>
                <w:color w:val="auto"/>
                <w:kern w:val="0"/>
                <w:szCs w:val="21"/>
                <w:lang w:bidi="ar"/>
              </w:rPr>
              <w:t>0.000081</w:t>
            </w:r>
          </w:p>
        </w:tc>
        <w:tc>
          <w:tcPr>
            <w:tcW w:w="356" w:type="pct"/>
            <w:shd w:val="clear" w:color="auto" w:fill="FFFFFF"/>
            <w:noWrap/>
            <w:vAlign w:val="center"/>
          </w:tcPr>
          <w:p w14:paraId="3FCE0E45">
            <w:pPr>
              <w:widowControl/>
              <w:jc w:val="center"/>
              <w:textAlignment w:val="center"/>
              <w:rPr>
                <w:color w:val="auto"/>
              </w:rPr>
            </w:pPr>
            <w:r>
              <w:rPr>
                <w:color w:val="auto"/>
                <w:kern w:val="0"/>
                <w:szCs w:val="21"/>
                <w:lang w:bidi="ar"/>
              </w:rPr>
              <w:t>0.000081</w:t>
            </w:r>
          </w:p>
        </w:tc>
        <w:tc>
          <w:tcPr>
            <w:tcW w:w="280" w:type="pct"/>
            <w:shd w:val="clear" w:color="auto" w:fill="FFFFFF"/>
            <w:noWrap/>
            <w:vAlign w:val="center"/>
          </w:tcPr>
          <w:p w14:paraId="2E4821F1">
            <w:pPr>
              <w:widowControl/>
              <w:jc w:val="center"/>
              <w:textAlignment w:val="center"/>
              <w:rPr>
                <w:color w:val="auto"/>
                <w:kern w:val="0"/>
                <w:szCs w:val="21"/>
                <w:lang w:bidi="ar"/>
              </w:rPr>
            </w:pPr>
            <w:r>
              <w:rPr>
                <w:color w:val="auto"/>
                <w:kern w:val="0"/>
                <w:szCs w:val="21"/>
                <w:lang w:bidi="ar"/>
              </w:rPr>
              <w:t>0</w:t>
            </w:r>
          </w:p>
        </w:tc>
        <w:tc>
          <w:tcPr>
            <w:tcW w:w="280" w:type="pct"/>
            <w:shd w:val="clear" w:color="auto" w:fill="FFFFFF"/>
            <w:noWrap/>
            <w:vAlign w:val="center"/>
          </w:tcPr>
          <w:p w14:paraId="2497D5C8">
            <w:pPr>
              <w:widowControl/>
              <w:jc w:val="center"/>
              <w:textAlignment w:val="center"/>
              <w:rPr>
                <w:color w:val="auto"/>
              </w:rPr>
            </w:pPr>
            <w:r>
              <w:rPr>
                <w:color w:val="auto"/>
                <w:kern w:val="0"/>
                <w:szCs w:val="21"/>
                <w:lang w:bidi="ar"/>
              </w:rPr>
              <w:t>0</w:t>
            </w:r>
          </w:p>
        </w:tc>
        <w:tc>
          <w:tcPr>
            <w:tcW w:w="794" w:type="dxa"/>
            <w:shd w:val="clear" w:color="auto" w:fill="FFFFFF"/>
            <w:noWrap/>
            <w:vAlign w:val="center"/>
          </w:tcPr>
          <w:p w14:paraId="25FB2B3D">
            <w:pPr>
              <w:widowControl/>
              <w:jc w:val="center"/>
              <w:textAlignment w:val="center"/>
              <w:rPr>
                <w:color w:val="auto"/>
                <w:szCs w:val="21"/>
              </w:rPr>
            </w:pPr>
            <w:r>
              <w:rPr>
                <w:color w:val="auto"/>
                <w:kern w:val="0"/>
                <w:szCs w:val="21"/>
                <w:lang w:bidi="ar"/>
              </w:rPr>
              <w:t>0</w:t>
            </w:r>
          </w:p>
        </w:tc>
        <w:tc>
          <w:tcPr>
            <w:tcW w:w="794" w:type="dxa"/>
            <w:shd w:val="clear" w:color="auto" w:fill="FFFFFF"/>
            <w:vAlign w:val="center"/>
          </w:tcPr>
          <w:p w14:paraId="4E16433C">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74AB6534">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722F2BFE">
            <w:pPr>
              <w:widowControl/>
              <w:jc w:val="center"/>
              <w:textAlignment w:val="center"/>
              <w:rPr>
                <w:color w:val="auto"/>
                <w:szCs w:val="21"/>
              </w:rPr>
            </w:pPr>
            <w:r>
              <w:rPr>
                <w:color w:val="auto"/>
                <w:kern w:val="0"/>
                <w:szCs w:val="21"/>
                <w:lang w:bidi="ar"/>
              </w:rPr>
              <w:t>0</w:t>
            </w:r>
          </w:p>
        </w:tc>
        <w:tc>
          <w:tcPr>
            <w:tcW w:w="1004" w:type="dxa"/>
            <w:shd w:val="clear" w:color="auto" w:fill="FFFFFF"/>
            <w:noWrap/>
            <w:vAlign w:val="center"/>
          </w:tcPr>
          <w:p w14:paraId="1C18956B">
            <w:pPr>
              <w:widowControl/>
              <w:jc w:val="center"/>
              <w:textAlignment w:val="center"/>
              <w:rPr>
                <w:color w:val="auto"/>
                <w:szCs w:val="21"/>
              </w:rPr>
            </w:pPr>
            <w:r>
              <w:rPr>
                <w:color w:val="auto"/>
                <w:kern w:val="0"/>
                <w:szCs w:val="21"/>
                <w:lang w:bidi="ar"/>
              </w:rPr>
              <w:t>0.000081</w:t>
            </w:r>
          </w:p>
        </w:tc>
        <w:tc>
          <w:tcPr>
            <w:tcW w:w="1004" w:type="dxa"/>
            <w:shd w:val="clear" w:color="auto" w:fill="FFFFFF"/>
            <w:noWrap/>
            <w:vAlign w:val="center"/>
          </w:tcPr>
          <w:p w14:paraId="367287F2">
            <w:pPr>
              <w:widowControl/>
              <w:jc w:val="center"/>
              <w:textAlignment w:val="center"/>
              <w:rPr>
                <w:color w:val="auto"/>
                <w:szCs w:val="21"/>
              </w:rPr>
            </w:pPr>
            <w:r>
              <w:rPr>
                <w:color w:val="auto"/>
                <w:kern w:val="0"/>
                <w:szCs w:val="21"/>
                <w:lang w:bidi="ar"/>
              </w:rPr>
              <w:t>0.000081</w:t>
            </w:r>
          </w:p>
        </w:tc>
        <w:tc>
          <w:tcPr>
            <w:tcW w:w="282" w:type="pct"/>
            <w:shd w:val="clear" w:color="auto" w:fill="FFFFFF"/>
            <w:noWrap/>
            <w:vAlign w:val="center"/>
          </w:tcPr>
          <w:p w14:paraId="38980743">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2BAD63ED">
            <w:pPr>
              <w:widowControl/>
              <w:jc w:val="center"/>
              <w:textAlignment w:val="center"/>
              <w:rPr>
                <w:color w:val="auto"/>
                <w:szCs w:val="21"/>
              </w:rPr>
            </w:pPr>
            <w:r>
              <w:rPr>
                <w:color w:val="auto"/>
                <w:kern w:val="0"/>
                <w:szCs w:val="21"/>
                <w:lang w:bidi="ar"/>
              </w:rPr>
              <w:t>0</w:t>
            </w:r>
          </w:p>
        </w:tc>
      </w:tr>
      <w:tr w14:paraId="24A60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04" w:type="pct"/>
            <w:gridSpan w:val="2"/>
            <w:vMerge w:val="continue"/>
            <w:shd w:val="clear" w:color="auto" w:fill="auto"/>
            <w:vAlign w:val="center"/>
          </w:tcPr>
          <w:p w14:paraId="680E5538">
            <w:pPr>
              <w:jc w:val="center"/>
              <w:rPr>
                <w:rFonts w:ascii="宋体" w:hAnsi="宋体" w:cs="宋体"/>
                <w:color w:val="auto"/>
                <w:szCs w:val="21"/>
              </w:rPr>
            </w:pPr>
          </w:p>
        </w:tc>
        <w:tc>
          <w:tcPr>
            <w:tcW w:w="300" w:type="pct"/>
            <w:shd w:val="clear" w:color="auto" w:fill="FFFFFF"/>
            <w:noWrap/>
            <w:vAlign w:val="center"/>
          </w:tcPr>
          <w:p w14:paraId="32560307">
            <w:pPr>
              <w:widowControl/>
              <w:jc w:val="left"/>
              <w:textAlignment w:val="center"/>
              <w:rPr>
                <w:rFonts w:ascii="宋体" w:hAnsi="宋体" w:cs="宋体"/>
                <w:color w:val="auto"/>
                <w:szCs w:val="21"/>
              </w:rPr>
            </w:pPr>
            <w:r>
              <w:rPr>
                <w:rFonts w:hint="eastAsia" w:ascii="宋体" w:hAnsi="宋体" w:cs="宋体"/>
                <w:color w:val="auto"/>
                <w:kern w:val="0"/>
                <w:szCs w:val="21"/>
                <w:lang w:bidi="ar"/>
              </w:rPr>
              <w:t>总银</w:t>
            </w:r>
          </w:p>
        </w:tc>
        <w:tc>
          <w:tcPr>
            <w:tcW w:w="356" w:type="pct"/>
            <w:shd w:val="clear" w:color="auto" w:fill="FFFFFF"/>
            <w:noWrap/>
            <w:vAlign w:val="center"/>
          </w:tcPr>
          <w:p w14:paraId="04FD970E">
            <w:pPr>
              <w:widowControl/>
              <w:jc w:val="center"/>
              <w:textAlignment w:val="center"/>
              <w:rPr>
                <w:color w:val="auto"/>
                <w:szCs w:val="21"/>
              </w:rPr>
            </w:pPr>
            <w:r>
              <w:rPr>
                <w:color w:val="auto"/>
                <w:kern w:val="0"/>
                <w:szCs w:val="21"/>
                <w:lang w:bidi="ar"/>
              </w:rPr>
              <w:t>0.000011</w:t>
            </w:r>
          </w:p>
        </w:tc>
        <w:tc>
          <w:tcPr>
            <w:tcW w:w="356" w:type="pct"/>
            <w:shd w:val="clear" w:color="auto" w:fill="FFFFFF"/>
            <w:noWrap/>
            <w:vAlign w:val="center"/>
          </w:tcPr>
          <w:p w14:paraId="6A40480D">
            <w:pPr>
              <w:widowControl/>
              <w:jc w:val="center"/>
              <w:textAlignment w:val="center"/>
              <w:rPr>
                <w:color w:val="auto"/>
                <w:szCs w:val="21"/>
              </w:rPr>
            </w:pPr>
            <w:r>
              <w:rPr>
                <w:color w:val="auto"/>
                <w:kern w:val="0"/>
                <w:szCs w:val="21"/>
                <w:lang w:bidi="ar"/>
              </w:rPr>
              <w:t>0.000011</w:t>
            </w:r>
          </w:p>
        </w:tc>
        <w:tc>
          <w:tcPr>
            <w:tcW w:w="356" w:type="pct"/>
            <w:shd w:val="clear" w:color="auto" w:fill="FFFFFF"/>
            <w:noWrap/>
            <w:vAlign w:val="center"/>
          </w:tcPr>
          <w:p w14:paraId="0895BBF9">
            <w:pPr>
              <w:widowControl/>
              <w:jc w:val="center"/>
              <w:textAlignment w:val="center"/>
              <w:rPr>
                <w:color w:val="auto"/>
                <w:kern w:val="0"/>
                <w:szCs w:val="21"/>
                <w:lang w:bidi="ar"/>
              </w:rPr>
            </w:pPr>
            <w:r>
              <w:rPr>
                <w:color w:val="auto"/>
                <w:kern w:val="0"/>
                <w:szCs w:val="21"/>
                <w:lang w:bidi="ar"/>
              </w:rPr>
              <w:t>0.000011</w:t>
            </w:r>
          </w:p>
        </w:tc>
        <w:tc>
          <w:tcPr>
            <w:tcW w:w="356" w:type="pct"/>
            <w:shd w:val="clear" w:color="auto" w:fill="FFFFFF"/>
            <w:noWrap/>
            <w:vAlign w:val="center"/>
          </w:tcPr>
          <w:p w14:paraId="69293921">
            <w:pPr>
              <w:widowControl/>
              <w:jc w:val="center"/>
              <w:textAlignment w:val="center"/>
              <w:rPr>
                <w:color w:val="auto"/>
              </w:rPr>
            </w:pPr>
            <w:r>
              <w:rPr>
                <w:color w:val="auto"/>
                <w:kern w:val="0"/>
                <w:szCs w:val="21"/>
                <w:lang w:bidi="ar"/>
              </w:rPr>
              <w:t>0.000011</w:t>
            </w:r>
          </w:p>
        </w:tc>
        <w:tc>
          <w:tcPr>
            <w:tcW w:w="280" w:type="pct"/>
            <w:shd w:val="clear" w:color="auto" w:fill="FFFFFF"/>
            <w:noWrap/>
            <w:vAlign w:val="center"/>
          </w:tcPr>
          <w:p w14:paraId="33396FE9">
            <w:pPr>
              <w:widowControl/>
              <w:jc w:val="center"/>
              <w:textAlignment w:val="center"/>
              <w:rPr>
                <w:color w:val="auto"/>
                <w:kern w:val="0"/>
                <w:szCs w:val="21"/>
                <w:lang w:bidi="ar"/>
              </w:rPr>
            </w:pPr>
            <w:r>
              <w:rPr>
                <w:color w:val="auto"/>
                <w:kern w:val="0"/>
                <w:szCs w:val="21"/>
                <w:lang w:bidi="ar"/>
              </w:rPr>
              <w:t>0</w:t>
            </w:r>
          </w:p>
        </w:tc>
        <w:tc>
          <w:tcPr>
            <w:tcW w:w="280" w:type="pct"/>
            <w:shd w:val="clear" w:color="auto" w:fill="FFFFFF"/>
            <w:noWrap/>
            <w:vAlign w:val="center"/>
          </w:tcPr>
          <w:p w14:paraId="2AE28C94">
            <w:pPr>
              <w:widowControl/>
              <w:jc w:val="center"/>
              <w:textAlignment w:val="center"/>
              <w:rPr>
                <w:color w:val="auto"/>
              </w:rPr>
            </w:pPr>
            <w:r>
              <w:rPr>
                <w:color w:val="auto"/>
                <w:kern w:val="0"/>
                <w:szCs w:val="21"/>
                <w:lang w:bidi="ar"/>
              </w:rPr>
              <w:t>0</w:t>
            </w:r>
          </w:p>
        </w:tc>
        <w:tc>
          <w:tcPr>
            <w:tcW w:w="794" w:type="dxa"/>
            <w:shd w:val="clear" w:color="auto" w:fill="FFFFFF"/>
            <w:noWrap/>
            <w:vAlign w:val="center"/>
          </w:tcPr>
          <w:p w14:paraId="53618D6E">
            <w:pPr>
              <w:widowControl/>
              <w:jc w:val="center"/>
              <w:textAlignment w:val="center"/>
              <w:rPr>
                <w:color w:val="auto"/>
                <w:szCs w:val="21"/>
              </w:rPr>
            </w:pPr>
            <w:r>
              <w:rPr>
                <w:color w:val="auto"/>
                <w:kern w:val="0"/>
                <w:szCs w:val="21"/>
                <w:lang w:bidi="ar"/>
              </w:rPr>
              <w:t>0</w:t>
            </w:r>
          </w:p>
        </w:tc>
        <w:tc>
          <w:tcPr>
            <w:tcW w:w="794" w:type="dxa"/>
            <w:shd w:val="clear" w:color="auto" w:fill="FFFFFF"/>
            <w:vAlign w:val="center"/>
          </w:tcPr>
          <w:p w14:paraId="700144AE">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13E6D702">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2A11D421">
            <w:pPr>
              <w:widowControl/>
              <w:jc w:val="center"/>
              <w:textAlignment w:val="center"/>
              <w:rPr>
                <w:color w:val="auto"/>
                <w:szCs w:val="21"/>
              </w:rPr>
            </w:pPr>
            <w:r>
              <w:rPr>
                <w:color w:val="auto"/>
                <w:kern w:val="0"/>
                <w:szCs w:val="21"/>
                <w:lang w:bidi="ar"/>
              </w:rPr>
              <w:t>0</w:t>
            </w:r>
          </w:p>
        </w:tc>
        <w:tc>
          <w:tcPr>
            <w:tcW w:w="1004" w:type="dxa"/>
            <w:shd w:val="clear" w:color="auto" w:fill="FFFFFF"/>
            <w:noWrap/>
            <w:vAlign w:val="center"/>
          </w:tcPr>
          <w:p w14:paraId="3AA7ED2F">
            <w:pPr>
              <w:widowControl/>
              <w:jc w:val="center"/>
              <w:textAlignment w:val="center"/>
              <w:rPr>
                <w:color w:val="auto"/>
                <w:szCs w:val="21"/>
              </w:rPr>
            </w:pPr>
            <w:r>
              <w:rPr>
                <w:color w:val="auto"/>
                <w:kern w:val="0"/>
                <w:szCs w:val="21"/>
                <w:lang w:bidi="ar"/>
              </w:rPr>
              <w:t>0.000011</w:t>
            </w:r>
          </w:p>
        </w:tc>
        <w:tc>
          <w:tcPr>
            <w:tcW w:w="1004" w:type="dxa"/>
            <w:shd w:val="clear" w:color="auto" w:fill="FFFFFF"/>
            <w:noWrap/>
            <w:vAlign w:val="center"/>
          </w:tcPr>
          <w:p w14:paraId="185533CA">
            <w:pPr>
              <w:widowControl/>
              <w:jc w:val="center"/>
              <w:textAlignment w:val="center"/>
              <w:rPr>
                <w:color w:val="auto"/>
                <w:szCs w:val="21"/>
              </w:rPr>
            </w:pPr>
            <w:r>
              <w:rPr>
                <w:color w:val="auto"/>
                <w:kern w:val="0"/>
                <w:szCs w:val="21"/>
                <w:lang w:bidi="ar"/>
              </w:rPr>
              <w:t>0.000011</w:t>
            </w:r>
          </w:p>
        </w:tc>
        <w:tc>
          <w:tcPr>
            <w:tcW w:w="282" w:type="pct"/>
            <w:shd w:val="clear" w:color="auto" w:fill="FFFFFF"/>
            <w:noWrap/>
            <w:vAlign w:val="center"/>
          </w:tcPr>
          <w:p w14:paraId="4E370D84">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14BBD284">
            <w:pPr>
              <w:widowControl/>
              <w:jc w:val="center"/>
              <w:textAlignment w:val="center"/>
              <w:rPr>
                <w:color w:val="auto"/>
                <w:szCs w:val="21"/>
              </w:rPr>
            </w:pPr>
            <w:r>
              <w:rPr>
                <w:color w:val="auto"/>
                <w:kern w:val="0"/>
                <w:szCs w:val="21"/>
                <w:lang w:bidi="ar"/>
              </w:rPr>
              <w:t>0</w:t>
            </w:r>
          </w:p>
        </w:tc>
      </w:tr>
      <w:tr w14:paraId="4B302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04" w:type="pct"/>
            <w:gridSpan w:val="2"/>
            <w:vMerge w:val="continue"/>
            <w:shd w:val="clear" w:color="auto" w:fill="auto"/>
            <w:vAlign w:val="center"/>
          </w:tcPr>
          <w:p w14:paraId="35EE22FC">
            <w:pPr>
              <w:jc w:val="center"/>
              <w:rPr>
                <w:rFonts w:ascii="宋体" w:hAnsi="宋体" w:cs="宋体"/>
                <w:color w:val="auto"/>
                <w:szCs w:val="21"/>
              </w:rPr>
            </w:pPr>
          </w:p>
        </w:tc>
        <w:tc>
          <w:tcPr>
            <w:tcW w:w="300" w:type="pct"/>
            <w:shd w:val="clear" w:color="auto" w:fill="FFFFFF"/>
            <w:noWrap/>
            <w:vAlign w:val="center"/>
          </w:tcPr>
          <w:p w14:paraId="4CE4701B">
            <w:pPr>
              <w:widowControl/>
              <w:jc w:val="left"/>
              <w:textAlignment w:val="center"/>
              <w:rPr>
                <w:rFonts w:ascii="宋体" w:hAnsi="宋体" w:cs="宋体"/>
                <w:color w:val="auto"/>
                <w:szCs w:val="21"/>
              </w:rPr>
            </w:pPr>
            <w:r>
              <w:rPr>
                <w:rFonts w:hint="eastAsia" w:ascii="宋体" w:hAnsi="宋体" w:cs="宋体"/>
                <w:color w:val="auto"/>
                <w:kern w:val="0"/>
                <w:szCs w:val="21"/>
                <w:lang w:bidi="ar"/>
              </w:rPr>
              <w:t>总铜</w:t>
            </w:r>
          </w:p>
        </w:tc>
        <w:tc>
          <w:tcPr>
            <w:tcW w:w="356" w:type="pct"/>
            <w:shd w:val="clear" w:color="auto" w:fill="FFFFFF"/>
            <w:noWrap/>
            <w:vAlign w:val="center"/>
          </w:tcPr>
          <w:p w14:paraId="67E1FD59">
            <w:pPr>
              <w:widowControl/>
              <w:jc w:val="center"/>
              <w:textAlignment w:val="center"/>
              <w:rPr>
                <w:color w:val="auto"/>
                <w:szCs w:val="21"/>
              </w:rPr>
            </w:pPr>
            <w:r>
              <w:rPr>
                <w:color w:val="auto"/>
                <w:kern w:val="0"/>
                <w:szCs w:val="21"/>
                <w:lang w:bidi="ar"/>
              </w:rPr>
              <w:t>0.000304</w:t>
            </w:r>
          </w:p>
        </w:tc>
        <w:tc>
          <w:tcPr>
            <w:tcW w:w="356" w:type="pct"/>
            <w:shd w:val="clear" w:color="auto" w:fill="FFFFFF"/>
            <w:noWrap/>
            <w:vAlign w:val="center"/>
          </w:tcPr>
          <w:p w14:paraId="5DAEBDE1">
            <w:pPr>
              <w:widowControl/>
              <w:jc w:val="center"/>
              <w:textAlignment w:val="center"/>
              <w:rPr>
                <w:color w:val="auto"/>
                <w:szCs w:val="21"/>
              </w:rPr>
            </w:pPr>
            <w:r>
              <w:rPr>
                <w:color w:val="auto"/>
                <w:kern w:val="0"/>
                <w:szCs w:val="21"/>
                <w:lang w:bidi="ar"/>
              </w:rPr>
              <w:t>0.000304</w:t>
            </w:r>
          </w:p>
        </w:tc>
        <w:tc>
          <w:tcPr>
            <w:tcW w:w="356" w:type="pct"/>
            <w:shd w:val="clear" w:color="auto" w:fill="FFFFFF"/>
            <w:noWrap/>
            <w:vAlign w:val="center"/>
          </w:tcPr>
          <w:p w14:paraId="483DC668">
            <w:pPr>
              <w:widowControl/>
              <w:jc w:val="center"/>
              <w:textAlignment w:val="center"/>
              <w:rPr>
                <w:color w:val="auto"/>
                <w:kern w:val="0"/>
                <w:szCs w:val="21"/>
                <w:lang w:bidi="ar"/>
              </w:rPr>
            </w:pPr>
            <w:r>
              <w:rPr>
                <w:color w:val="auto"/>
                <w:kern w:val="0"/>
                <w:szCs w:val="21"/>
                <w:lang w:bidi="ar"/>
              </w:rPr>
              <w:t>0.000304</w:t>
            </w:r>
          </w:p>
        </w:tc>
        <w:tc>
          <w:tcPr>
            <w:tcW w:w="356" w:type="pct"/>
            <w:shd w:val="clear" w:color="auto" w:fill="FFFFFF"/>
            <w:noWrap/>
            <w:vAlign w:val="center"/>
          </w:tcPr>
          <w:p w14:paraId="7F56B3B1">
            <w:pPr>
              <w:widowControl/>
              <w:jc w:val="center"/>
              <w:textAlignment w:val="center"/>
              <w:rPr>
                <w:color w:val="auto"/>
              </w:rPr>
            </w:pPr>
            <w:r>
              <w:rPr>
                <w:color w:val="auto"/>
                <w:kern w:val="0"/>
                <w:szCs w:val="21"/>
                <w:lang w:bidi="ar"/>
              </w:rPr>
              <w:t>0.000304</w:t>
            </w:r>
          </w:p>
        </w:tc>
        <w:tc>
          <w:tcPr>
            <w:tcW w:w="280" w:type="pct"/>
            <w:shd w:val="clear" w:color="auto" w:fill="FFFFFF"/>
            <w:noWrap/>
            <w:vAlign w:val="center"/>
          </w:tcPr>
          <w:p w14:paraId="1AB09D68">
            <w:pPr>
              <w:widowControl/>
              <w:jc w:val="center"/>
              <w:textAlignment w:val="center"/>
              <w:rPr>
                <w:color w:val="auto"/>
                <w:kern w:val="0"/>
                <w:szCs w:val="21"/>
                <w:lang w:bidi="ar"/>
              </w:rPr>
            </w:pPr>
            <w:r>
              <w:rPr>
                <w:color w:val="auto"/>
                <w:kern w:val="0"/>
                <w:szCs w:val="21"/>
                <w:lang w:bidi="ar"/>
              </w:rPr>
              <w:t>0</w:t>
            </w:r>
          </w:p>
        </w:tc>
        <w:tc>
          <w:tcPr>
            <w:tcW w:w="280" w:type="pct"/>
            <w:shd w:val="clear" w:color="auto" w:fill="FFFFFF"/>
            <w:noWrap/>
            <w:vAlign w:val="center"/>
          </w:tcPr>
          <w:p w14:paraId="17876FBE">
            <w:pPr>
              <w:widowControl/>
              <w:jc w:val="center"/>
              <w:textAlignment w:val="center"/>
              <w:rPr>
                <w:color w:val="auto"/>
              </w:rPr>
            </w:pPr>
            <w:r>
              <w:rPr>
                <w:color w:val="auto"/>
                <w:kern w:val="0"/>
                <w:szCs w:val="21"/>
                <w:lang w:bidi="ar"/>
              </w:rPr>
              <w:t>0</w:t>
            </w:r>
          </w:p>
        </w:tc>
        <w:tc>
          <w:tcPr>
            <w:tcW w:w="794" w:type="dxa"/>
            <w:shd w:val="clear" w:color="auto" w:fill="FFFFFF"/>
            <w:noWrap/>
            <w:vAlign w:val="center"/>
          </w:tcPr>
          <w:p w14:paraId="2F725FCA">
            <w:pPr>
              <w:widowControl/>
              <w:jc w:val="center"/>
              <w:textAlignment w:val="center"/>
              <w:rPr>
                <w:color w:val="auto"/>
                <w:szCs w:val="21"/>
              </w:rPr>
            </w:pPr>
            <w:r>
              <w:rPr>
                <w:color w:val="auto"/>
                <w:kern w:val="0"/>
                <w:szCs w:val="21"/>
                <w:lang w:bidi="ar"/>
              </w:rPr>
              <w:t>0</w:t>
            </w:r>
          </w:p>
        </w:tc>
        <w:tc>
          <w:tcPr>
            <w:tcW w:w="794" w:type="dxa"/>
            <w:shd w:val="clear" w:color="auto" w:fill="FFFFFF"/>
            <w:vAlign w:val="center"/>
          </w:tcPr>
          <w:p w14:paraId="40953641">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39AB18BB">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71583BBF">
            <w:pPr>
              <w:widowControl/>
              <w:jc w:val="center"/>
              <w:textAlignment w:val="center"/>
              <w:rPr>
                <w:color w:val="auto"/>
                <w:szCs w:val="21"/>
              </w:rPr>
            </w:pPr>
            <w:r>
              <w:rPr>
                <w:color w:val="auto"/>
                <w:kern w:val="0"/>
                <w:szCs w:val="21"/>
                <w:lang w:bidi="ar"/>
              </w:rPr>
              <w:t>0</w:t>
            </w:r>
          </w:p>
        </w:tc>
        <w:tc>
          <w:tcPr>
            <w:tcW w:w="1004" w:type="dxa"/>
            <w:shd w:val="clear" w:color="auto" w:fill="FFFFFF"/>
            <w:noWrap/>
            <w:vAlign w:val="center"/>
          </w:tcPr>
          <w:p w14:paraId="2F289D93">
            <w:pPr>
              <w:widowControl/>
              <w:jc w:val="center"/>
              <w:textAlignment w:val="center"/>
              <w:rPr>
                <w:color w:val="auto"/>
                <w:szCs w:val="21"/>
              </w:rPr>
            </w:pPr>
            <w:r>
              <w:rPr>
                <w:color w:val="auto"/>
                <w:kern w:val="0"/>
                <w:szCs w:val="21"/>
                <w:lang w:bidi="ar"/>
              </w:rPr>
              <w:t>0.000304</w:t>
            </w:r>
          </w:p>
        </w:tc>
        <w:tc>
          <w:tcPr>
            <w:tcW w:w="1004" w:type="dxa"/>
            <w:shd w:val="clear" w:color="auto" w:fill="FFFFFF"/>
            <w:noWrap/>
            <w:vAlign w:val="center"/>
          </w:tcPr>
          <w:p w14:paraId="331C884B">
            <w:pPr>
              <w:widowControl/>
              <w:jc w:val="center"/>
              <w:textAlignment w:val="center"/>
              <w:rPr>
                <w:color w:val="auto"/>
                <w:szCs w:val="21"/>
              </w:rPr>
            </w:pPr>
            <w:r>
              <w:rPr>
                <w:color w:val="auto"/>
                <w:kern w:val="0"/>
                <w:szCs w:val="21"/>
                <w:lang w:bidi="ar"/>
              </w:rPr>
              <w:t>0.000304</w:t>
            </w:r>
          </w:p>
        </w:tc>
        <w:tc>
          <w:tcPr>
            <w:tcW w:w="282" w:type="pct"/>
            <w:shd w:val="clear" w:color="auto" w:fill="FFFFFF"/>
            <w:noWrap/>
            <w:vAlign w:val="center"/>
          </w:tcPr>
          <w:p w14:paraId="56106B55">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60EDD580">
            <w:pPr>
              <w:widowControl/>
              <w:jc w:val="center"/>
              <w:textAlignment w:val="center"/>
              <w:rPr>
                <w:color w:val="auto"/>
                <w:szCs w:val="21"/>
              </w:rPr>
            </w:pPr>
            <w:r>
              <w:rPr>
                <w:color w:val="auto"/>
                <w:kern w:val="0"/>
                <w:szCs w:val="21"/>
                <w:lang w:bidi="ar"/>
              </w:rPr>
              <w:t>0</w:t>
            </w:r>
          </w:p>
        </w:tc>
      </w:tr>
      <w:tr w14:paraId="37021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04" w:type="pct"/>
            <w:gridSpan w:val="2"/>
            <w:vMerge w:val="continue"/>
            <w:shd w:val="clear" w:color="auto" w:fill="auto"/>
            <w:vAlign w:val="center"/>
          </w:tcPr>
          <w:p w14:paraId="4219B234">
            <w:pPr>
              <w:jc w:val="center"/>
              <w:rPr>
                <w:rFonts w:ascii="宋体" w:hAnsi="宋体" w:cs="宋体"/>
                <w:color w:val="auto"/>
                <w:szCs w:val="21"/>
              </w:rPr>
            </w:pPr>
          </w:p>
        </w:tc>
        <w:tc>
          <w:tcPr>
            <w:tcW w:w="300" w:type="pct"/>
            <w:shd w:val="clear" w:color="auto" w:fill="FFFFFF"/>
            <w:noWrap/>
            <w:vAlign w:val="center"/>
          </w:tcPr>
          <w:p w14:paraId="584DE1DE">
            <w:pPr>
              <w:widowControl/>
              <w:jc w:val="left"/>
              <w:textAlignment w:val="center"/>
              <w:rPr>
                <w:rFonts w:ascii="宋体" w:hAnsi="宋体" w:cs="宋体"/>
                <w:color w:val="auto"/>
                <w:szCs w:val="21"/>
              </w:rPr>
            </w:pPr>
            <w:r>
              <w:rPr>
                <w:rFonts w:hint="eastAsia" w:ascii="宋体" w:hAnsi="宋体" w:cs="宋体"/>
                <w:color w:val="auto"/>
                <w:kern w:val="0"/>
                <w:szCs w:val="21"/>
                <w:lang w:bidi="ar"/>
              </w:rPr>
              <w:t>总锌</w:t>
            </w:r>
          </w:p>
        </w:tc>
        <w:tc>
          <w:tcPr>
            <w:tcW w:w="356" w:type="pct"/>
            <w:shd w:val="clear" w:color="auto" w:fill="FFFFFF"/>
            <w:noWrap/>
            <w:vAlign w:val="center"/>
          </w:tcPr>
          <w:p w14:paraId="25573AB3">
            <w:pPr>
              <w:widowControl/>
              <w:jc w:val="center"/>
              <w:textAlignment w:val="center"/>
              <w:rPr>
                <w:color w:val="auto"/>
                <w:szCs w:val="21"/>
              </w:rPr>
            </w:pPr>
            <w:r>
              <w:rPr>
                <w:color w:val="auto"/>
                <w:kern w:val="0"/>
                <w:szCs w:val="21"/>
                <w:lang w:bidi="ar"/>
              </w:rPr>
              <w:t>0.000022</w:t>
            </w:r>
          </w:p>
        </w:tc>
        <w:tc>
          <w:tcPr>
            <w:tcW w:w="356" w:type="pct"/>
            <w:shd w:val="clear" w:color="auto" w:fill="FFFFFF"/>
            <w:noWrap/>
            <w:vAlign w:val="center"/>
          </w:tcPr>
          <w:p w14:paraId="1D2DABF2">
            <w:pPr>
              <w:widowControl/>
              <w:jc w:val="center"/>
              <w:textAlignment w:val="center"/>
              <w:rPr>
                <w:color w:val="auto"/>
                <w:szCs w:val="21"/>
              </w:rPr>
            </w:pPr>
            <w:r>
              <w:rPr>
                <w:color w:val="auto"/>
                <w:kern w:val="0"/>
                <w:szCs w:val="21"/>
                <w:lang w:bidi="ar"/>
              </w:rPr>
              <w:t>0.000022</w:t>
            </w:r>
          </w:p>
        </w:tc>
        <w:tc>
          <w:tcPr>
            <w:tcW w:w="356" w:type="pct"/>
            <w:shd w:val="clear" w:color="auto" w:fill="FFFFFF"/>
            <w:noWrap/>
            <w:vAlign w:val="center"/>
          </w:tcPr>
          <w:p w14:paraId="43171845">
            <w:pPr>
              <w:widowControl/>
              <w:jc w:val="center"/>
              <w:textAlignment w:val="center"/>
              <w:rPr>
                <w:color w:val="auto"/>
                <w:kern w:val="0"/>
                <w:szCs w:val="21"/>
                <w:lang w:bidi="ar"/>
              </w:rPr>
            </w:pPr>
            <w:r>
              <w:rPr>
                <w:color w:val="auto"/>
                <w:kern w:val="0"/>
                <w:szCs w:val="21"/>
                <w:lang w:bidi="ar"/>
              </w:rPr>
              <w:t>0.000022</w:t>
            </w:r>
          </w:p>
        </w:tc>
        <w:tc>
          <w:tcPr>
            <w:tcW w:w="356" w:type="pct"/>
            <w:shd w:val="clear" w:color="auto" w:fill="FFFFFF"/>
            <w:noWrap/>
            <w:vAlign w:val="center"/>
          </w:tcPr>
          <w:p w14:paraId="3128CBBD">
            <w:pPr>
              <w:widowControl/>
              <w:jc w:val="center"/>
              <w:textAlignment w:val="center"/>
              <w:rPr>
                <w:color w:val="auto"/>
              </w:rPr>
            </w:pPr>
            <w:r>
              <w:rPr>
                <w:color w:val="auto"/>
                <w:kern w:val="0"/>
                <w:szCs w:val="21"/>
                <w:lang w:bidi="ar"/>
              </w:rPr>
              <w:t>0.000022</w:t>
            </w:r>
          </w:p>
        </w:tc>
        <w:tc>
          <w:tcPr>
            <w:tcW w:w="280" w:type="pct"/>
            <w:shd w:val="clear" w:color="auto" w:fill="FFFFFF"/>
            <w:noWrap/>
            <w:vAlign w:val="center"/>
          </w:tcPr>
          <w:p w14:paraId="1D7E4C45">
            <w:pPr>
              <w:widowControl/>
              <w:jc w:val="center"/>
              <w:textAlignment w:val="center"/>
              <w:rPr>
                <w:color w:val="auto"/>
                <w:kern w:val="0"/>
                <w:szCs w:val="21"/>
                <w:lang w:bidi="ar"/>
              </w:rPr>
            </w:pPr>
            <w:r>
              <w:rPr>
                <w:color w:val="auto"/>
                <w:kern w:val="0"/>
                <w:szCs w:val="21"/>
                <w:lang w:bidi="ar"/>
              </w:rPr>
              <w:t>0</w:t>
            </w:r>
          </w:p>
        </w:tc>
        <w:tc>
          <w:tcPr>
            <w:tcW w:w="280" w:type="pct"/>
            <w:shd w:val="clear" w:color="auto" w:fill="FFFFFF"/>
            <w:noWrap/>
            <w:vAlign w:val="center"/>
          </w:tcPr>
          <w:p w14:paraId="04E99964">
            <w:pPr>
              <w:widowControl/>
              <w:jc w:val="center"/>
              <w:textAlignment w:val="center"/>
              <w:rPr>
                <w:color w:val="auto"/>
              </w:rPr>
            </w:pPr>
            <w:r>
              <w:rPr>
                <w:color w:val="auto"/>
                <w:kern w:val="0"/>
                <w:szCs w:val="21"/>
                <w:lang w:bidi="ar"/>
              </w:rPr>
              <w:t>0</w:t>
            </w:r>
          </w:p>
        </w:tc>
        <w:tc>
          <w:tcPr>
            <w:tcW w:w="794" w:type="dxa"/>
            <w:shd w:val="clear" w:color="auto" w:fill="FFFFFF"/>
            <w:noWrap/>
            <w:vAlign w:val="center"/>
          </w:tcPr>
          <w:p w14:paraId="2A3D3A3E">
            <w:pPr>
              <w:widowControl/>
              <w:jc w:val="center"/>
              <w:textAlignment w:val="center"/>
              <w:rPr>
                <w:color w:val="auto"/>
                <w:szCs w:val="21"/>
              </w:rPr>
            </w:pPr>
            <w:r>
              <w:rPr>
                <w:color w:val="auto"/>
                <w:kern w:val="0"/>
                <w:szCs w:val="21"/>
                <w:lang w:bidi="ar"/>
              </w:rPr>
              <w:t>0</w:t>
            </w:r>
          </w:p>
        </w:tc>
        <w:tc>
          <w:tcPr>
            <w:tcW w:w="794" w:type="dxa"/>
            <w:shd w:val="clear" w:color="auto" w:fill="FFFFFF"/>
            <w:vAlign w:val="center"/>
          </w:tcPr>
          <w:p w14:paraId="569BEEDB">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68324C4B">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445C0F23">
            <w:pPr>
              <w:widowControl/>
              <w:jc w:val="center"/>
              <w:textAlignment w:val="center"/>
              <w:rPr>
                <w:color w:val="auto"/>
                <w:szCs w:val="21"/>
              </w:rPr>
            </w:pPr>
            <w:r>
              <w:rPr>
                <w:color w:val="auto"/>
                <w:kern w:val="0"/>
                <w:szCs w:val="21"/>
                <w:lang w:bidi="ar"/>
              </w:rPr>
              <w:t>0</w:t>
            </w:r>
          </w:p>
        </w:tc>
        <w:tc>
          <w:tcPr>
            <w:tcW w:w="1004" w:type="dxa"/>
            <w:shd w:val="clear" w:color="auto" w:fill="FFFFFF"/>
            <w:noWrap/>
            <w:vAlign w:val="center"/>
          </w:tcPr>
          <w:p w14:paraId="28DB73AC">
            <w:pPr>
              <w:widowControl/>
              <w:jc w:val="center"/>
              <w:textAlignment w:val="center"/>
              <w:rPr>
                <w:color w:val="auto"/>
                <w:szCs w:val="21"/>
              </w:rPr>
            </w:pPr>
            <w:r>
              <w:rPr>
                <w:color w:val="auto"/>
                <w:kern w:val="0"/>
                <w:szCs w:val="21"/>
                <w:lang w:bidi="ar"/>
              </w:rPr>
              <w:t>0.000022</w:t>
            </w:r>
          </w:p>
        </w:tc>
        <w:tc>
          <w:tcPr>
            <w:tcW w:w="1004" w:type="dxa"/>
            <w:shd w:val="clear" w:color="auto" w:fill="FFFFFF"/>
            <w:noWrap/>
            <w:vAlign w:val="center"/>
          </w:tcPr>
          <w:p w14:paraId="3842D6BC">
            <w:pPr>
              <w:widowControl/>
              <w:jc w:val="center"/>
              <w:textAlignment w:val="center"/>
              <w:rPr>
                <w:color w:val="auto"/>
                <w:szCs w:val="21"/>
              </w:rPr>
            </w:pPr>
            <w:r>
              <w:rPr>
                <w:color w:val="auto"/>
                <w:kern w:val="0"/>
                <w:szCs w:val="21"/>
                <w:lang w:bidi="ar"/>
              </w:rPr>
              <w:t>0.000022</w:t>
            </w:r>
          </w:p>
        </w:tc>
        <w:tc>
          <w:tcPr>
            <w:tcW w:w="282" w:type="pct"/>
            <w:shd w:val="clear" w:color="auto" w:fill="FFFFFF"/>
            <w:noWrap/>
            <w:vAlign w:val="center"/>
          </w:tcPr>
          <w:p w14:paraId="2DED5ABA">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3BAF99B1">
            <w:pPr>
              <w:widowControl/>
              <w:jc w:val="center"/>
              <w:textAlignment w:val="center"/>
              <w:rPr>
                <w:color w:val="auto"/>
                <w:szCs w:val="21"/>
              </w:rPr>
            </w:pPr>
            <w:r>
              <w:rPr>
                <w:color w:val="auto"/>
                <w:kern w:val="0"/>
                <w:szCs w:val="21"/>
                <w:lang w:bidi="ar"/>
              </w:rPr>
              <w:t>0</w:t>
            </w:r>
          </w:p>
        </w:tc>
      </w:tr>
      <w:tr w14:paraId="4A24A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04" w:type="pct"/>
            <w:gridSpan w:val="2"/>
            <w:vMerge w:val="continue"/>
            <w:shd w:val="clear" w:color="auto" w:fill="auto"/>
            <w:vAlign w:val="center"/>
          </w:tcPr>
          <w:p w14:paraId="01DAAAF5">
            <w:pPr>
              <w:jc w:val="center"/>
              <w:rPr>
                <w:rFonts w:ascii="宋体" w:hAnsi="宋体" w:cs="宋体"/>
                <w:color w:val="auto"/>
                <w:szCs w:val="21"/>
              </w:rPr>
            </w:pPr>
          </w:p>
        </w:tc>
        <w:tc>
          <w:tcPr>
            <w:tcW w:w="300" w:type="pct"/>
            <w:shd w:val="clear" w:color="auto" w:fill="FFFFFF"/>
            <w:noWrap/>
            <w:vAlign w:val="center"/>
          </w:tcPr>
          <w:p w14:paraId="34EFBC0E">
            <w:pPr>
              <w:widowControl/>
              <w:jc w:val="left"/>
              <w:textAlignment w:val="center"/>
              <w:rPr>
                <w:rFonts w:ascii="宋体" w:hAnsi="宋体" w:cs="宋体"/>
                <w:color w:val="auto"/>
                <w:szCs w:val="21"/>
              </w:rPr>
            </w:pPr>
            <w:r>
              <w:rPr>
                <w:rFonts w:hint="eastAsia" w:ascii="宋体" w:hAnsi="宋体" w:cs="宋体"/>
                <w:color w:val="auto"/>
                <w:kern w:val="0"/>
                <w:szCs w:val="21"/>
                <w:lang w:bidi="ar"/>
              </w:rPr>
              <w:t>总锰</w:t>
            </w:r>
          </w:p>
        </w:tc>
        <w:tc>
          <w:tcPr>
            <w:tcW w:w="356" w:type="pct"/>
            <w:shd w:val="clear" w:color="auto" w:fill="FFFFFF"/>
            <w:noWrap/>
            <w:vAlign w:val="center"/>
          </w:tcPr>
          <w:p w14:paraId="7E86C4CB">
            <w:pPr>
              <w:widowControl/>
              <w:jc w:val="center"/>
              <w:textAlignment w:val="center"/>
              <w:rPr>
                <w:color w:val="auto"/>
                <w:szCs w:val="21"/>
              </w:rPr>
            </w:pPr>
            <w:r>
              <w:rPr>
                <w:color w:val="auto"/>
                <w:kern w:val="0"/>
                <w:szCs w:val="21"/>
                <w:lang w:bidi="ar"/>
              </w:rPr>
              <w:t>0.000006</w:t>
            </w:r>
          </w:p>
        </w:tc>
        <w:tc>
          <w:tcPr>
            <w:tcW w:w="356" w:type="pct"/>
            <w:shd w:val="clear" w:color="auto" w:fill="FFFFFF"/>
            <w:noWrap/>
            <w:vAlign w:val="center"/>
          </w:tcPr>
          <w:p w14:paraId="3DBB1ACD">
            <w:pPr>
              <w:widowControl/>
              <w:jc w:val="center"/>
              <w:textAlignment w:val="center"/>
              <w:rPr>
                <w:color w:val="auto"/>
                <w:szCs w:val="21"/>
              </w:rPr>
            </w:pPr>
            <w:r>
              <w:rPr>
                <w:color w:val="auto"/>
                <w:kern w:val="0"/>
                <w:szCs w:val="21"/>
                <w:lang w:bidi="ar"/>
              </w:rPr>
              <w:t>0.000006</w:t>
            </w:r>
          </w:p>
        </w:tc>
        <w:tc>
          <w:tcPr>
            <w:tcW w:w="356" w:type="pct"/>
            <w:shd w:val="clear" w:color="auto" w:fill="FFFFFF"/>
            <w:noWrap/>
            <w:vAlign w:val="center"/>
          </w:tcPr>
          <w:p w14:paraId="72D024B6">
            <w:pPr>
              <w:widowControl/>
              <w:jc w:val="center"/>
              <w:textAlignment w:val="center"/>
              <w:rPr>
                <w:color w:val="auto"/>
                <w:kern w:val="0"/>
                <w:szCs w:val="21"/>
                <w:lang w:bidi="ar"/>
              </w:rPr>
            </w:pPr>
            <w:r>
              <w:rPr>
                <w:color w:val="auto"/>
                <w:kern w:val="0"/>
                <w:szCs w:val="21"/>
                <w:lang w:bidi="ar"/>
              </w:rPr>
              <w:t>0.000006</w:t>
            </w:r>
          </w:p>
        </w:tc>
        <w:tc>
          <w:tcPr>
            <w:tcW w:w="356" w:type="pct"/>
            <w:shd w:val="clear" w:color="auto" w:fill="FFFFFF"/>
            <w:noWrap/>
            <w:vAlign w:val="center"/>
          </w:tcPr>
          <w:p w14:paraId="60ADDF69">
            <w:pPr>
              <w:widowControl/>
              <w:jc w:val="center"/>
              <w:textAlignment w:val="center"/>
              <w:rPr>
                <w:color w:val="auto"/>
              </w:rPr>
            </w:pPr>
            <w:r>
              <w:rPr>
                <w:color w:val="auto"/>
                <w:kern w:val="0"/>
                <w:szCs w:val="21"/>
                <w:lang w:bidi="ar"/>
              </w:rPr>
              <w:t>0.000006</w:t>
            </w:r>
          </w:p>
        </w:tc>
        <w:tc>
          <w:tcPr>
            <w:tcW w:w="280" w:type="pct"/>
            <w:shd w:val="clear" w:color="auto" w:fill="FFFFFF"/>
            <w:noWrap/>
            <w:vAlign w:val="center"/>
          </w:tcPr>
          <w:p w14:paraId="189E9A0C">
            <w:pPr>
              <w:widowControl/>
              <w:jc w:val="center"/>
              <w:textAlignment w:val="center"/>
              <w:rPr>
                <w:color w:val="auto"/>
                <w:kern w:val="0"/>
                <w:szCs w:val="21"/>
                <w:lang w:bidi="ar"/>
              </w:rPr>
            </w:pPr>
            <w:r>
              <w:rPr>
                <w:color w:val="auto"/>
                <w:kern w:val="0"/>
                <w:szCs w:val="21"/>
                <w:lang w:bidi="ar"/>
              </w:rPr>
              <w:t>0</w:t>
            </w:r>
          </w:p>
        </w:tc>
        <w:tc>
          <w:tcPr>
            <w:tcW w:w="280" w:type="pct"/>
            <w:shd w:val="clear" w:color="auto" w:fill="FFFFFF"/>
            <w:noWrap/>
            <w:vAlign w:val="center"/>
          </w:tcPr>
          <w:p w14:paraId="6161186B">
            <w:pPr>
              <w:widowControl/>
              <w:jc w:val="center"/>
              <w:textAlignment w:val="center"/>
              <w:rPr>
                <w:color w:val="auto"/>
              </w:rPr>
            </w:pPr>
            <w:r>
              <w:rPr>
                <w:color w:val="auto"/>
                <w:kern w:val="0"/>
                <w:szCs w:val="21"/>
                <w:lang w:bidi="ar"/>
              </w:rPr>
              <w:t>0</w:t>
            </w:r>
          </w:p>
        </w:tc>
        <w:tc>
          <w:tcPr>
            <w:tcW w:w="794" w:type="dxa"/>
            <w:shd w:val="clear" w:color="auto" w:fill="FFFFFF"/>
            <w:noWrap/>
            <w:vAlign w:val="center"/>
          </w:tcPr>
          <w:p w14:paraId="17568E99">
            <w:pPr>
              <w:widowControl/>
              <w:jc w:val="center"/>
              <w:textAlignment w:val="center"/>
              <w:rPr>
                <w:color w:val="auto"/>
                <w:szCs w:val="21"/>
              </w:rPr>
            </w:pPr>
            <w:r>
              <w:rPr>
                <w:color w:val="auto"/>
                <w:kern w:val="0"/>
                <w:szCs w:val="21"/>
                <w:lang w:bidi="ar"/>
              </w:rPr>
              <w:t>0</w:t>
            </w:r>
          </w:p>
        </w:tc>
        <w:tc>
          <w:tcPr>
            <w:tcW w:w="794" w:type="dxa"/>
            <w:shd w:val="clear" w:color="auto" w:fill="FFFFFF"/>
            <w:vAlign w:val="center"/>
          </w:tcPr>
          <w:p w14:paraId="49C95597">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7709403C">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5DFB8B95">
            <w:pPr>
              <w:widowControl/>
              <w:jc w:val="center"/>
              <w:textAlignment w:val="center"/>
              <w:rPr>
                <w:color w:val="auto"/>
                <w:szCs w:val="21"/>
              </w:rPr>
            </w:pPr>
            <w:r>
              <w:rPr>
                <w:color w:val="auto"/>
                <w:kern w:val="0"/>
                <w:szCs w:val="21"/>
                <w:lang w:bidi="ar"/>
              </w:rPr>
              <w:t>0</w:t>
            </w:r>
          </w:p>
        </w:tc>
        <w:tc>
          <w:tcPr>
            <w:tcW w:w="1004" w:type="dxa"/>
            <w:shd w:val="clear" w:color="auto" w:fill="FFFFFF"/>
            <w:noWrap/>
            <w:vAlign w:val="center"/>
          </w:tcPr>
          <w:p w14:paraId="199134E3">
            <w:pPr>
              <w:widowControl/>
              <w:jc w:val="center"/>
              <w:textAlignment w:val="center"/>
              <w:rPr>
                <w:color w:val="auto"/>
                <w:szCs w:val="21"/>
              </w:rPr>
            </w:pPr>
            <w:r>
              <w:rPr>
                <w:color w:val="auto"/>
                <w:kern w:val="0"/>
                <w:szCs w:val="21"/>
                <w:lang w:bidi="ar"/>
              </w:rPr>
              <w:t>0.000006</w:t>
            </w:r>
          </w:p>
        </w:tc>
        <w:tc>
          <w:tcPr>
            <w:tcW w:w="1004" w:type="dxa"/>
            <w:shd w:val="clear" w:color="auto" w:fill="FFFFFF"/>
            <w:noWrap/>
            <w:vAlign w:val="center"/>
          </w:tcPr>
          <w:p w14:paraId="35BD2A07">
            <w:pPr>
              <w:widowControl/>
              <w:jc w:val="center"/>
              <w:textAlignment w:val="center"/>
              <w:rPr>
                <w:color w:val="auto"/>
                <w:szCs w:val="21"/>
              </w:rPr>
            </w:pPr>
            <w:r>
              <w:rPr>
                <w:color w:val="auto"/>
                <w:kern w:val="0"/>
                <w:szCs w:val="21"/>
                <w:lang w:bidi="ar"/>
              </w:rPr>
              <w:t>0.000006</w:t>
            </w:r>
          </w:p>
        </w:tc>
        <w:tc>
          <w:tcPr>
            <w:tcW w:w="282" w:type="pct"/>
            <w:shd w:val="clear" w:color="auto" w:fill="FFFFFF"/>
            <w:noWrap/>
            <w:vAlign w:val="center"/>
          </w:tcPr>
          <w:p w14:paraId="6EF03EFB">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4112ABEB">
            <w:pPr>
              <w:widowControl/>
              <w:jc w:val="center"/>
              <w:textAlignment w:val="center"/>
              <w:rPr>
                <w:color w:val="auto"/>
                <w:szCs w:val="21"/>
              </w:rPr>
            </w:pPr>
            <w:r>
              <w:rPr>
                <w:color w:val="auto"/>
                <w:kern w:val="0"/>
                <w:szCs w:val="21"/>
                <w:lang w:bidi="ar"/>
              </w:rPr>
              <w:t>0</w:t>
            </w:r>
          </w:p>
        </w:tc>
      </w:tr>
      <w:tr w14:paraId="52E08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04" w:type="pct"/>
            <w:gridSpan w:val="2"/>
            <w:vMerge w:val="continue"/>
            <w:shd w:val="clear" w:color="auto" w:fill="auto"/>
            <w:vAlign w:val="center"/>
          </w:tcPr>
          <w:p w14:paraId="782C965A">
            <w:pPr>
              <w:jc w:val="center"/>
              <w:rPr>
                <w:rFonts w:ascii="宋体" w:hAnsi="宋体" w:cs="宋体"/>
                <w:color w:val="auto"/>
                <w:szCs w:val="21"/>
              </w:rPr>
            </w:pPr>
          </w:p>
        </w:tc>
        <w:tc>
          <w:tcPr>
            <w:tcW w:w="300" w:type="pct"/>
            <w:shd w:val="clear" w:color="auto" w:fill="FFFFFF"/>
            <w:noWrap/>
            <w:vAlign w:val="center"/>
          </w:tcPr>
          <w:p w14:paraId="42B0227E">
            <w:pPr>
              <w:widowControl/>
              <w:jc w:val="left"/>
              <w:textAlignment w:val="center"/>
              <w:rPr>
                <w:rFonts w:ascii="宋体" w:hAnsi="宋体" w:cs="宋体"/>
                <w:color w:val="auto"/>
                <w:szCs w:val="21"/>
              </w:rPr>
            </w:pPr>
            <w:r>
              <w:rPr>
                <w:rFonts w:hint="eastAsia" w:ascii="宋体" w:hAnsi="宋体" w:cs="宋体"/>
                <w:color w:val="auto"/>
                <w:kern w:val="0"/>
                <w:szCs w:val="21"/>
                <w:lang w:bidi="ar"/>
              </w:rPr>
              <w:t>总钴</w:t>
            </w:r>
          </w:p>
        </w:tc>
        <w:tc>
          <w:tcPr>
            <w:tcW w:w="356" w:type="pct"/>
            <w:shd w:val="clear" w:color="auto" w:fill="FFFFFF"/>
            <w:noWrap/>
            <w:vAlign w:val="center"/>
          </w:tcPr>
          <w:p w14:paraId="0682803B">
            <w:pPr>
              <w:widowControl/>
              <w:jc w:val="center"/>
              <w:textAlignment w:val="center"/>
              <w:rPr>
                <w:color w:val="auto"/>
                <w:szCs w:val="21"/>
              </w:rPr>
            </w:pPr>
            <w:r>
              <w:rPr>
                <w:color w:val="auto"/>
                <w:kern w:val="0"/>
                <w:szCs w:val="21"/>
                <w:lang w:bidi="ar"/>
              </w:rPr>
              <w:t>0.000008</w:t>
            </w:r>
          </w:p>
        </w:tc>
        <w:tc>
          <w:tcPr>
            <w:tcW w:w="356" w:type="pct"/>
            <w:shd w:val="clear" w:color="auto" w:fill="FFFFFF"/>
            <w:noWrap/>
            <w:vAlign w:val="center"/>
          </w:tcPr>
          <w:p w14:paraId="098A3D74">
            <w:pPr>
              <w:widowControl/>
              <w:jc w:val="center"/>
              <w:textAlignment w:val="center"/>
              <w:rPr>
                <w:color w:val="auto"/>
                <w:szCs w:val="21"/>
              </w:rPr>
            </w:pPr>
            <w:r>
              <w:rPr>
                <w:color w:val="auto"/>
                <w:kern w:val="0"/>
                <w:szCs w:val="21"/>
                <w:lang w:bidi="ar"/>
              </w:rPr>
              <w:t>0.000008</w:t>
            </w:r>
          </w:p>
        </w:tc>
        <w:tc>
          <w:tcPr>
            <w:tcW w:w="356" w:type="pct"/>
            <w:shd w:val="clear" w:color="auto" w:fill="FFFFFF"/>
            <w:noWrap/>
            <w:vAlign w:val="center"/>
          </w:tcPr>
          <w:p w14:paraId="1656080C">
            <w:pPr>
              <w:widowControl/>
              <w:jc w:val="center"/>
              <w:textAlignment w:val="center"/>
              <w:rPr>
                <w:color w:val="auto"/>
                <w:kern w:val="0"/>
                <w:szCs w:val="21"/>
                <w:lang w:bidi="ar"/>
              </w:rPr>
            </w:pPr>
            <w:r>
              <w:rPr>
                <w:color w:val="auto"/>
                <w:kern w:val="0"/>
                <w:szCs w:val="21"/>
                <w:lang w:bidi="ar"/>
              </w:rPr>
              <w:t>0.000008</w:t>
            </w:r>
          </w:p>
        </w:tc>
        <w:tc>
          <w:tcPr>
            <w:tcW w:w="356" w:type="pct"/>
            <w:shd w:val="clear" w:color="auto" w:fill="FFFFFF"/>
            <w:noWrap/>
            <w:vAlign w:val="center"/>
          </w:tcPr>
          <w:p w14:paraId="19C59520">
            <w:pPr>
              <w:widowControl/>
              <w:jc w:val="center"/>
              <w:textAlignment w:val="center"/>
              <w:rPr>
                <w:color w:val="auto"/>
              </w:rPr>
            </w:pPr>
            <w:r>
              <w:rPr>
                <w:color w:val="auto"/>
                <w:kern w:val="0"/>
                <w:szCs w:val="21"/>
                <w:lang w:bidi="ar"/>
              </w:rPr>
              <w:t>0.000008</w:t>
            </w:r>
          </w:p>
        </w:tc>
        <w:tc>
          <w:tcPr>
            <w:tcW w:w="280" w:type="pct"/>
            <w:shd w:val="clear" w:color="auto" w:fill="FFFFFF"/>
            <w:noWrap/>
            <w:vAlign w:val="center"/>
          </w:tcPr>
          <w:p w14:paraId="5B0DFF91">
            <w:pPr>
              <w:widowControl/>
              <w:jc w:val="center"/>
              <w:textAlignment w:val="center"/>
              <w:rPr>
                <w:color w:val="auto"/>
                <w:kern w:val="0"/>
                <w:szCs w:val="21"/>
                <w:lang w:bidi="ar"/>
              </w:rPr>
            </w:pPr>
            <w:r>
              <w:rPr>
                <w:color w:val="auto"/>
                <w:kern w:val="0"/>
                <w:szCs w:val="21"/>
                <w:lang w:bidi="ar"/>
              </w:rPr>
              <w:t>0</w:t>
            </w:r>
          </w:p>
        </w:tc>
        <w:tc>
          <w:tcPr>
            <w:tcW w:w="280" w:type="pct"/>
            <w:shd w:val="clear" w:color="auto" w:fill="FFFFFF"/>
            <w:noWrap/>
            <w:vAlign w:val="center"/>
          </w:tcPr>
          <w:p w14:paraId="7AEAF893">
            <w:pPr>
              <w:widowControl/>
              <w:jc w:val="center"/>
              <w:textAlignment w:val="center"/>
              <w:rPr>
                <w:color w:val="auto"/>
              </w:rPr>
            </w:pPr>
            <w:r>
              <w:rPr>
                <w:color w:val="auto"/>
                <w:kern w:val="0"/>
                <w:szCs w:val="21"/>
                <w:lang w:bidi="ar"/>
              </w:rPr>
              <w:t>0</w:t>
            </w:r>
          </w:p>
        </w:tc>
        <w:tc>
          <w:tcPr>
            <w:tcW w:w="794" w:type="dxa"/>
            <w:shd w:val="clear" w:color="auto" w:fill="FFFFFF"/>
            <w:noWrap/>
            <w:vAlign w:val="center"/>
          </w:tcPr>
          <w:p w14:paraId="68C63C30">
            <w:pPr>
              <w:widowControl/>
              <w:jc w:val="center"/>
              <w:textAlignment w:val="center"/>
              <w:rPr>
                <w:color w:val="auto"/>
                <w:szCs w:val="21"/>
              </w:rPr>
            </w:pPr>
            <w:r>
              <w:rPr>
                <w:color w:val="auto"/>
                <w:kern w:val="0"/>
                <w:szCs w:val="21"/>
                <w:lang w:bidi="ar"/>
              </w:rPr>
              <w:t>0</w:t>
            </w:r>
          </w:p>
        </w:tc>
        <w:tc>
          <w:tcPr>
            <w:tcW w:w="794" w:type="dxa"/>
            <w:shd w:val="clear" w:color="auto" w:fill="FFFFFF"/>
            <w:vAlign w:val="center"/>
          </w:tcPr>
          <w:p w14:paraId="3A111B11">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1D6FC8B9">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4DAA7C49">
            <w:pPr>
              <w:widowControl/>
              <w:jc w:val="center"/>
              <w:textAlignment w:val="center"/>
              <w:rPr>
                <w:color w:val="auto"/>
                <w:szCs w:val="21"/>
              </w:rPr>
            </w:pPr>
            <w:r>
              <w:rPr>
                <w:color w:val="auto"/>
                <w:kern w:val="0"/>
                <w:szCs w:val="21"/>
                <w:lang w:bidi="ar"/>
              </w:rPr>
              <w:t>0</w:t>
            </w:r>
          </w:p>
        </w:tc>
        <w:tc>
          <w:tcPr>
            <w:tcW w:w="1004" w:type="dxa"/>
            <w:shd w:val="clear" w:color="auto" w:fill="FFFFFF"/>
            <w:noWrap/>
            <w:vAlign w:val="center"/>
          </w:tcPr>
          <w:p w14:paraId="2BEA8678">
            <w:pPr>
              <w:widowControl/>
              <w:jc w:val="center"/>
              <w:textAlignment w:val="center"/>
              <w:rPr>
                <w:color w:val="auto"/>
                <w:szCs w:val="21"/>
              </w:rPr>
            </w:pPr>
            <w:r>
              <w:rPr>
                <w:color w:val="auto"/>
                <w:kern w:val="0"/>
                <w:szCs w:val="21"/>
                <w:lang w:bidi="ar"/>
              </w:rPr>
              <w:t>0.000008</w:t>
            </w:r>
          </w:p>
        </w:tc>
        <w:tc>
          <w:tcPr>
            <w:tcW w:w="1004" w:type="dxa"/>
            <w:shd w:val="clear" w:color="auto" w:fill="FFFFFF"/>
            <w:noWrap/>
            <w:vAlign w:val="center"/>
          </w:tcPr>
          <w:p w14:paraId="1A174574">
            <w:pPr>
              <w:widowControl/>
              <w:jc w:val="center"/>
              <w:textAlignment w:val="center"/>
              <w:rPr>
                <w:color w:val="auto"/>
                <w:szCs w:val="21"/>
              </w:rPr>
            </w:pPr>
            <w:r>
              <w:rPr>
                <w:color w:val="auto"/>
                <w:kern w:val="0"/>
                <w:szCs w:val="21"/>
                <w:lang w:bidi="ar"/>
              </w:rPr>
              <w:t>0.000008</w:t>
            </w:r>
          </w:p>
        </w:tc>
        <w:tc>
          <w:tcPr>
            <w:tcW w:w="282" w:type="pct"/>
            <w:shd w:val="clear" w:color="auto" w:fill="FFFFFF"/>
            <w:noWrap/>
            <w:vAlign w:val="center"/>
          </w:tcPr>
          <w:p w14:paraId="014AA29B">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1135FF52">
            <w:pPr>
              <w:widowControl/>
              <w:jc w:val="center"/>
              <w:textAlignment w:val="center"/>
              <w:rPr>
                <w:color w:val="auto"/>
                <w:szCs w:val="21"/>
              </w:rPr>
            </w:pPr>
            <w:r>
              <w:rPr>
                <w:color w:val="auto"/>
                <w:kern w:val="0"/>
                <w:szCs w:val="21"/>
                <w:lang w:bidi="ar"/>
              </w:rPr>
              <w:t>0</w:t>
            </w:r>
          </w:p>
        </w:tc>
      </w:tr>
      <w:tr w14:paraId="3AC6B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04" w:type="pct"/>
            <w:gridSpan w:val="2"/>
            <w:vMerge w:val="continue"/>
            <w:shd w:val="clear" w:color="auto" w:fill="auto"/>
            <w:vAlign w:val="center"/>
          </w:tcPr>
          <w:p w14:paraId="7136289C">
            <w:pPr>
              <w:jc w:val="center"/>
              <w:rPr>
                <w:rFonts w:ascii="宋体" w:hAnsi="宋体" w:cs="宋体"/>
                <w:color w:val="auto"/>
                <w:szCs w:val="21"/>
              </w:rPr>
            </w:pPr>
          </w:p>
        </w:tc>
        <w:tc>
          <w:tcPr>
            <w:tcW w:w="300" w:type="pct"/>
            <w:shd w:val="clear" w:color="auto" w:fill="FFFFFF"/>
            <w:noWrap/>
            <w:vAlign w:val="center"/>
          </w:tcPr>
          <w:p w14:paraId="28588A7A">
            <w:pPr>
              <w:widowControl/>
              <w:jc w:val="left"/>
              <w:textAlignment w:val="center"/>
              <w:rPr>
                <w:rFonts w:ascii="宋体" w:hAnsi="宋体" w:cs="宋体"/>
                <w:color w:val="auto"/>
                <w:szCs w:val="21"/>
              </w:rPr>
            </w:pPr>
            <w:r>
              <w:rPr>
                <w:rFonts w:hint="eastAsia" w:ascii="宋体" w:hAnsi="宋体" w:cs="宋体"/>
                <w:color w:val="auto"/>
                <w:kern w:val="0"/>
                <w:szCs w:val="21"/>
                <w:lang w:bidi="ar"/>
              </w:rPr>
              <w:t>氟化物</w:t>
            </w:r>
          </w:p>
        </w:tc>
        <w:tc>
          <w:tcPr>
            <w:tcW w:w="356" w:type="pct"/>
            <w:shd w:val="clear" w:color="auto" w:fill="FFFFFF"/>
            <w:noWrap/>
            <w:vAlign w:val="center"/>
          </w:tcPr>
          <w:p w14:paraId="7179A0AB">
            <w:pPr>
              <w:widowControl/>
              <w:jc w:val="center"/>
              <w:textAlignment w:val="center"/>
              <w:rPr>
                <w:color w:val="auto"/>
                <w:szCs w:val="21"/>
              </w:rPr>
            </w:pPr>
            <w:r>
              <w:rPr>
                <w:color w:val="auto"/>
                <w:kern w:val="0"/>
                <w:szCs w:val="21"/>
                <w:lang w:bidi="ar"/>
              </w:rPr>
              <w:t>0.012802</w:t>
            </w:r>
          </w:p>
        </w:tc>
        <w:tc>
          <w:tcPr>
            <w:tcW w:w="356" w:type="pct"/>
            <w:shd w:val="clear" w:color="auto" w:fill="FFFFFF"/>
            <w:noWrap/>
            <w:vAlign w:val="center"/>
          </w:tcPr>
          <w:p w14:paraId="0BB65F80">
            <w:pPr>
              <w:widowControl/>
              <w:jc w:val="center"/>
              <w:textAlignment w:val="center"/>
              <w:rPr>
                <w:color w:val="auto"/>
                <w:szCs w:val="21"/>
              </w:rPr>
            </w:pPr>
            <w:r>
              <w:rPr>
                <w:color w:val="auto"/>
                <w:kern w:val="0"/>
                <w:szCs w:val="21"/>
                <w:lang w:bidi="ar"/>
              </w:rPr>
              <w:t>0.012802</w:t>
            </w:r>
          </w:p>
        </w:tc>
        <w:tc>
          <w:tcPr>
            <w:tcW w:w="356" w:type="pct"/>
            <w:shd w:val="clear" w:color="auto" w:fill="FFFFFF"/>
            <w:noWrap/>
            <w:vAlign w:val="center"/>
          </w:tcPr>
          <w:p w14:paraId="092D6676">
            <w:pPr>
              <w:widowControl/>
              <w:jc w:val="center"/>
              <w:textAlignment w:val="center"/>
              <w:rPr>
                <w:color w:val="auto"/>
                <w:kern w:val="0"/>
                <w:szCs w:val="21"/>
                <w:lang w:bidi="ar"/>
              </w:rPr>
            </w:pPr>
            <w:r>
              <w:rPr>
                <w:color w:val="auto"/>
                <w:kern w:val="0"/>
                <w:szCs w:val="21"/>
                <w:lang w:bidi="ar"/>
              </w:rPr>
              <w:t>0.012802</w:t>
            </w:r>
          </w:p>
        </w:tc>
        <w:tc>
          <w:tcPr>
            <w:tcW w:w="356" w:type="pct"/>
            <w:shd w:val="clear" w:color="auto" w:fill="FFFFFF"/>
            <w:noWrap/>
            <w:vAlign w:val="center"/>
          </w:tcPr>
          <w:p w14:paraId="33346574">
            <w:pPr>
              <w:widowControl/>
              <w:jc w:val="center"/>
              <w:textAlignment w:val="center"/>
              <w:rPr>
                <w:color w:val="auto"/>
              </w:rPr>
            </w:pPr>
            <w:r>
              <w:rPr>
                <w:color w:val="auto"/>
                <w:kern w:val="0"/>
                <w:szCs w:val="21"/>
                <w:lang w:bidi="ar"/>
              </w:rPr>
              <w:t>0.012802</w:t>
            </w:r>
          </w:p>
        </w:tc>
        <w:tc>
          <w:tcPr>
            <w:tcW w:w="280" w:type="pct"/>
            <w:shd w:val="clear" w:color="auto" w:fill="FFFFFF"/>
            <w:noWrap/>
            <w:vAlign w:val="center"/>
          </w:tcPr>
          <w:p w14:paraId="19C10DED">
            <w:pPr>
              <w:widowControl/>
              <w:jc w:val="center"/>
              <w:textAlignment w:val="center"/>
              <w:rPr>
                <w:color w:val="auto"/>
                <w:kern w:val="0"/>
                <w:szCs w:val="21"/>
                <w:lang w:bidi="ar"/>
              </w:rPr>
            </w:pPr>
            <w:r>
              <w:rPr>
                <w:color w:val="auto"/>
                <w:kern w:val="0"/>
                <w:szCs w:val="21"/>
                <w:lang w:bidi="ar"/>
              </w:rPr>
              <w:t>0</w:t>
            </w:r>
          </w:p>
        </w:tc>
        <w:tc>
          <w:tcPr>
            <w:tcW w:w="280" w:type="pct"/>
            <w:shd w:val="clear" w:color="auto" w:fill="FFFFFF"/>
            <w:noWrap/>
            <w:vAlign w:val="center"/>
          </w:tcPr>
          <w:p w14:paraId="2575958F">
            <w:pPr>
              <w:widowControl/>
              <w:jc w:val="center"/>
              <w:textAlignment w:val="center"/>
              <w:rPr>
                <w:color w:val="auto"/>
              </w:rPr>
            </w:pPr>
            <w:r>
              <w:rPr>
                <w:color w:val="auto"/>
                <w:kern w:val="0"/>
                <w:szCs w:val="21"/>
                <w:lang w:bidi="ar"/>
              </w:rPr>
              <w:t>0</w:t>
            </w:r>
          </w:p>
        </w:tc>
        <w:tc>
          <w:tcPr>
            <w:tcW w:w="794" w:type="dxa"/>
            <w:shd w:val="clear" w:color="auto" w:fill="FFFFFF"/>
            <w:noWrap/>
            <w:vAlign w:val="center"/>
          </w:tcPr>
          <w:p w14:paraId="30243962">
            <w:pPr>
              <w:widowControl/>
              <w:jc w:val="center"/>
              <w:textAlignment w:val="center"/>
              <w:rPr>
                <w:color w:val="auto"/>
                <w:szCs w:val="21"/>
              </w:rPr>
            </w:pPr>
            <w:r>
              <w:rPr>
                <w:color w:val="auto"/>
                <w:kern w:val="0"/>
                <w:szCs w:val="21"/>
                <w:lang w:bidi="ar"/>
              </w:rPr>
              <w:t>0</w:t>
            </w:r>
          </w:p>
        </w:tc>
        <w:tc>
          <w:tcPr>
            <w:tcW w:w="794" w:type="dxa"/>
            <w:shd w:val="clear" w:color="auto" w:fill="FFFFFF"/>
            <w:vAlign w:val="center"/>
          </w:tcPr>
          <w:p w14:paraId="470E49E5">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7BDD07BD">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5C3BA099">
            <w:pPr>
              <w:widowControl/>
              <w:jc w:val="center"/>
              <w:textAlignment w:val="center"/>
              <w:rPr>
                <w:color w:val="auto"/>
                <w:szCs w:val="21"/>
              </w:rPr>
            </w:pPr>
            <w:r>
              <w:rPr>
                <w:color w:val="auto"/>
                <w:kern w:val="0"/>
                <w:szCs w:val="21"/>
                <w:lang w:bidi="ar"/>
              </w:rPr>
              <w:t>0</w:t>
            </w:r>
          </w:p>
        </w:tc>
        <w:tc>
          <w:tcPr>
            <w:tcW w:w="1004" w:type="dxa"/>
            <w:shd w:val="clear" w:color="auto" w:fill="FFFFFF"/>
            <w:noWrap/>
            <w:vAlign w:val="center"/>
          </w:tcPr>
          <w:p w14:paraId="628BCB15">
            <w:pPr>
              <w:widowControl/>
              <w:jc w:val="center"/>
              <w:textAlignment w:val="center"/>
              <w:rPr>
                <w:color w:val="auto"/>
                <w:szCs w:val="21"/>
              </w:rPr>
            </w:pPr>
            <w:r>
              <w:rPr>
                <w:color w:val="auto"/>
                <w:kern w:val="0"/>
                <w:szCs w:val="21"/>
                <w:lang w:bidi="ar"/>
              </w:rPr>
              <w:t>0.012802</w:t>
            </w:r>
          </w:p>
        </w:tc>
        <w:tc>
          <w:tcPr>
            <w:tcW w:w="1004" w:type="dxa"/>
            <w:shd w:val="clear" w:color="auto" w:fill="FFFFFF"/>
            <w:noWrap/>
            <w:vAlign w:val="center"/>
          </w:tcPr>
          <w:p w14:paraId="78044FB4">
            <w:pPr>
              <w:widowControl/>
              <w:jc w:val="center"/>
              <w:textAlignment w:val="center"/>
              <w:rPr>
                <w:color w:val="auto"/>
                <w:szCs w:val="21"/>
              </w:rPr>
            </w:pPr>
            <w:r>
              <w:rPr>
                <w:color w:val="auto"/>
                <w:kern w:val="0"/>
                <w:szCs w:val="21"/>
                <w:lang w:bidi="ar"/>
              </w:rPr>
              <w:t>0.012802</w:t>
            </w:r>
          </w:p>
        </w:tc>
        <w:tc>
          <w:tcPr>
            <w:tcW w:w="282" w:type="pct"/>
            <w:shd w:val="clear" w:color="auto" w:fill="FFFFFF"/>
            <w:noWrap/>
            <w:vAlign w:val="center"/>
          </w:tcPr>
          <w:p w14:paraId="46A6E9D9">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3D7E9D3B">
            <w:pPr>
              <w:widowControl/>
              <w:jc w:val="center"/>
              <w:textAlignment w:val="center"/>
              <w:rPr>
                <w:color w:val="auto"/>
                <w:szCs w:val="21"/>
              </w:rPr>
            </w:pPr>
            <w:r>
              <w:rPr>
                <w:color w:val="auto"/>
                <w:kern w:val="0"/>
                <w:szCs w:val="21"/>
                <w:lang w:bidi="ar"/>
              </w:rPr>
              <w:t>0</w:t>
            </w:r>
          </w:p>
        </w:tc>
      </w:tr>
      <w:tr w14:paraId="02B6A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04" w:type="pct"/>
            <w:gridSpan w:val="2"/>
            <w:vMerge w:val="continue"/>
            <w:shd w:val="clear" w:color="auto" w:fill="auto"/>
            <w:vAlign w:val="center"/>
          </w:tcPr>
          <w:p w14:paraId="3770AACA">
            <w:pPr>
              <w:jc w:val="center"/>
              <w:rPr>
                <w:rFonts w:ascii="宋体" w:hAnsi="宋体" w:cs="宋体"/>
                <w:color w:val="auto"/>
                <w:szCs w:val="21"/>
              </w:rPr>
            </w:pPr>
          </w:p>
        </w:tc>
        <w:tc>
          <w:tcPr>
            <w:tcW w:w="300" w:type="pct"/>
            <w:shd w:val="clear" w:color="auto" w:fill="FFFFFF"/>
            <w:noWrap/>
            <w:vAlign w:val="center"/>
          </w:tcPr>
          <w:p w14:paraId="054DF55C">
            <w:pPr>
              <w:widowControl/>
              <w:jc w:val="left"/>
              <w:textAlignment w:val="center"/>
              <w:rPr>
                <w:rFonts w:ascii="宋体" w:hAnsi="宋体" w:cs="宋体"/>
                <w:color w:val="auto"/>
                <w:szCs w:val="21"/>
              </w:rPr>
            </w:pPr>
            <w:r>
              <w:rPr>
                <w:rFonts w:hint="eastAsia" w:ascii="宋体" w:hAnsi="宋体" w:cs="宋体"/>
                <w:color w:val="auto"/>
                <w:kern w:val="0"/>
                <w:szCs w:val="21"/>
                <w:lang w:bidi="ar"/>
              </w:rPr>
              <w:t>甲醛</w:t>
            </w:r>
          </w:p>
        </w:tc>
        <w:tc>
          <w:tcPr>
            <w:tcW w:w="356" w:type="pct"/>
            <w:shd w:val="clear" w:color="auto" w:fill="FFFFFF"/>
            <w:noWrap/>
            <w:vAlign w:val="center"/>
          </w:tcPr>
          <w:p w14:paraId="78838D2D">
            <w:pPr>
              <w:widowControl/>
              <w:jc w:val="center"/>
              <w:textAlignment w:val="center"/>
              <w:rPr>
                <w:color w:val="auto"/>
                <w:szCs w:val="21"/>
              </w:rPr>
            </w:pPr>
            <w:r>
              <w:rPr>
                <w:color w:val="auto"/>
                <w:kern w:val="0"/>
                <w:szCs w:val="21"/>
                <w:lang w:bidi="ar"/>
              </w:rPr>
              <w:t>0.00185</w:t>
            </w:r>
          </w:p>
        </w:tc>
        <w:tc>
          <w:tcPr>
            <w:tcW w:w="356" w:type="pct"/>
            <w:shd w:val="clear" w:color="auto" w:fill="FFFFFF"/>
            <w:noWrap/>
            <w:vAlign w:val="center"/>
          </w:tcPr>
          <w:p w14:paraId="67CA4916">
            <w:pPr>
              <w:widowControl/>
              <w:jc w:val="center"/>
              <w:textAlignment w:val="center"/>
              <w:rPr>
                <w:color w:val="auto"/>
                <w:szCs w:val="21"/>
              </w:rPr>
            </w:pPr>
            <w:r>
              <w:rPr>
                <w:color w:val="auto"/>
                <w:kern w:val="0"/>
                <w:szCs w:val="21"/>
                <w:lang w:bidi="ar"/>
              </w:rPr>
              <w:t>0.00185</w:t>
            </w:r>
          </w:p>
        </w:tc>
        <w:tc>
          <w:tcPr>
            <w:tcW w:w="356" w:type="pct"/>
            <w:shd w:val="clear" w:color="auto" w:fill="FFFFFF"/>
            <w:noWrap/>
            <w:vAlign w:val="center"/>
          </w:tcPr>
          <w:p w14:paraId="0589E9AC">
            <w:pPr>
              <w:widowControl/>
              <w:jc w:val="center"/>
              <w:textAlignment w:val="center"/>
              <w:rPr>
                <w:color w:val="auto"/>
                <w:kern w:val="0"/>
                <w:szCs w:val="21"/>
                <w:lang w:bidi="ar"/>
              </w:rPr>
            </w:pPr>
            <w:r>
              <w:rPr>
                <w:color w:val="auto"/>
                <w:kern w:val="0"/>
                <w:szCs w:val="21"/>
                <w:lang w:bidi="ar"/>
              </w:rPr>
              <w:t>0.00185</w:t>
            </w:r>
          </w:p>
        </w:tc>
        <w:tc>
          <w:tcPr>
            <w:tcW w:w="356" w:type="pct"/>
            <w:shd w:val="clear" w:color="auto" w:fill="FFFFFF"/>
            <w:noWrap/>
            <w:vAlign w:val="center"/>
          </w:tcPr>
          <w:p w14:paraId="3DC12E0E">
            <w:pPr>
              <w:widowControl/>
              <w:jc w:val="center"/>
              <w:textAlignment w:val="center"/>
              <w:rPr>
                <w:color w:val="auto"/>
              </w:rPr>
            </w:pPr>
            <w:r>
              <w:rPr>
                <w:color w:val="auto"/>
                <w:kern w:val="0"/>
                <w:szCs w:val="21"/>
                <w:lang w:bidi="ar"/>
              </w:rPr>
              <w:t>0.00185</w:t>
            </w:r>
          </w:p>
        </w:tc>
        <w:tc>
          <w:tcPr>
            <w:tcW w:w="280" w:type="pct"/>
            <w:shd w:val="clear" w:color="auto" w:fill="FFFFFF"/>
            <w:noWrap/>
            <w:vAlign w:val="center"/>
          </w:tcPr>
          <w:p w14:paraId="07423ACA">
            <w:pPr>
              <w:widowControl/>
              <w:jc w:val="center"/>
              <w:textAlignment w:val="center"/>
              <w:rPr>
                <w:color w:val="auto"/>
                <w:kern w:val="0"/>
                <w:szCs w:val="21"/>
                <w:lang w:bidi="ar"/>
              </w:rPr>
            </w:pPr>
            <w:r>
              <w:rPr>
                <w:color w:val="auto"/>
                <w:kern w:val="0"/>
                <w:szCs w:val="21"/>
                <w:lang w:bidi="ar"/>
              </w:rPr>
              <w:t>0</w:t>
            </w:r>
          </w:p>
        </w:tc>
        <w:tc>
          <w:tcPr>
            <w:tcW w:w="280" w:type="pct"/>
            <w:shd w:val="clear" w:color="auto" w:fill="FFFFFF"/>
            <w:noWrap/>
            <w:vAlign w:val="center"/>
          </w:tcPr>
          <w:p w14:paraId="5121619D">
            <w:pPr>
              <w:widowControl/>
              <w:jc w:val="center"/>
              <w:textAlignment w:val="center"/>
              <w:rPr>
                <w:color w:val="auto"/>
              </w:rPr>
            </w:pPr>
            <w:r>
              <w:rPr>
                <w:color w:val="auto"/>
                <w:kern w:val="0"/>
                <w:szCs w:val="21"/>
                <w:lang w:bidi="ar"/>
              </w:rPr>
              <w:t>0</w:t>
            </w:r>
          </w:p>
        </w:tc>
        <w:tc>
          <w:tcPr>
            <w:tcW w:w="794" w:type="dxa"/>
            <w:shd w:val="clear" w:color="auto" w:fill="FFFFFF"/>
            <w:noWrap/>
            <w:vAlign w:val="center"/>
          </w:tcPr>
          <w:p w14:paraId="4EFF893F">
            <w:pPr>
              <w:widowControl/>
              <w:jc w:val="center"/>
              <w:textAlignment w:val="center"/>
              <w:rPr>
                <w:color w:val="auto"/>
                <w:szCs w:val="21"/>
              </w:rPr>
            </w:pPr>
            <w:r>
              <w:rPr>
                <w:color w:val="auto"/>
                <w:kern w:val="0"/>
                <w:szCs w:val="21"/>
                <w:lang w:bidi="ar"/>
              </w:rPr>
              <w:t>0</w:t>
            </w:r>
          </w:p>
        </w:tc>
        <w:tc>
          <w:tcPr>
            <w:tcW w:w="794" w:type="dxa"/>
            <w:shd w:val="clear" w:color="auto" w:fill="FFFFFF"/>
            <w:vAlign w:val="center"/>
          </w:tcPr>
          <w:p w14:paraId="36200ED1">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62D2130C">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7DC20337">
            <w:pPr>
              <w:widowControl/>
              <w:jc w:val="center"/>
              <w:textAlignment w:val="center"/>
              <w:rPr>
                <w:color w:val="auto"/>
                <w:szCs w:val="21"/>
              </w:rPr>
            </w:pPr>
            <w:r>
              <w:rPr>
                <w:color w:val="auto"/>
                <w:kern w:val="0"/>
                <w:szCs w:val="21"/>
                <w:lang w:bidi="ar"/>
              </w:rPr>
              <w:t>0</w:t>
            </w:r>
          </w:p>
        </w:tc>
        <w:tc>
          <w:tcPr>
            <w:tcW w:w="1004" w:type="dxa"/>
            <w:shd w:val="clear" w:color="auto" w:fill="FFFFFF"/>
            <w:noWrap/>
            <w:vAlign w:val="center"/>
          </w:tcPr>
          <w:p w14:paraId="34900A0C">
            <w:pPr>
              <w:widowControl/>
              <w:jc w:val="center"/>
              <w:textAlignment w:val="center"/>
              <w:rPr>
                <w:color w:val="auto"/>
                <w:szCs w:val="21"/>
              </w:rPr>
            </w:pPr>
            <w:r>
              <w:rPr>
                <w:color w:val="auto"/>
                <w:kern w:val="0"/>
                <w:szCs w:val="21"/>
                <w:lang w:bidi="ar"/>
              </w:rPr>
              <w:t>0.00185</w:t>
            </w:r>
          </w:p>
        </w:tc>
        <w:tc>
          <w:tcPr>
            <w:tcW w:w="1004" w:type="dxa"/>
            <w:shd w:val="clear" w:color="auto" w:fill="FFFFFF"/>
            <w:noWrap/>
            <w:vAlign w:val="center"/>
          </w:tcPr>
          <w:p w14:paraId="75A325C9">
            <w:pPr>
              <w:widowControl/>
              <w:jc w:val="center"/>
              <w:textAlignment w:val="center"/>
              <w:rPr>
                <w:color w:val="auto"/>
                <w:szCs w:val="21"/>
              </w:rPr>
            </w:pPr>
            <w:r>
              <w:rPr>
                <w:color w:val="auto"/>
                <w:kern w:val="0"/>
                <w:szCs w:val="21"/>
                <w:lang w:bidi="ar"/>
              </w:rPr>
              <w:t>0.00185</w:t>
            </w:r>
          </w:p>
        </w:tc>
        <w:tc>
          <w:tcPr>
            <w:tcW w:w="282" w:type="pct"/>
            <w:shd w:val="clear" w:color="auto" w:fill="FFFFFF"/>
            <w:noWrap/>
            <w:vAlign w:val="center"/>
          </w:tcPr>
          <w:p w14:paraId="7A90E4BC">
            <w:pPr>
              <w:widowControl/>
              <w:jc w:val="center"/>
              <w:textAlignment w:val="center"/>
              <w:rPr>
                <w:color w:val="auto"/>
                <w:szCs w:val="21"/>
              </w:rPr>
            </w:pPr>
            <w:r>
              <w:rPr>
                <w:color w:val="auto"/>
                <w:kern w:val="0"/>
                <w:szCs w:val="21"/>
                <w:lang w:bidi="ar"/>
              </w:rPr>
              <w:t>0</w:t>
            </w:r>
          </w:p>
        </w:tc>
        <w:tc>
          <w:tcPr>
            <w:tcW w:w="282" w:type="pct"/>
            <w:shd w:val="clear" w:color="auto" w:fill="FFFFFF"/>
            <w:noWrap/>
            <w:vAlign w:val="center"/>
          </w:tcPr>
          <w:p w14:paraId="31B65BFF">
            <w:pPr>
              <w:widowControl/>
              <w:jc w:val="center"/>
              <w:textAlignment w:val="center"/>
              <w:rPr>
                <w:color w:val="auto"/>
                <w:szCs w:val="21"/>
              </w:rPr>
            </w:pPr>
            <w:r>
              <w:rPr>
                <w:color w:val="auto"/>
                <w:kern w:val="0"/>
                <w:szCs w:val="21"/>
                <w:lang w:bidi="ar"/>
              </w:rPr>
              <w:t>0</w:t>
            </w:r>
          </w:p>
        </w:tc>
      </w:tr>
      <w:tr w14:paraId="59FB5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04" w:type="pct"/>
            <w:gridSpan w:val="2"/>
            <w:vMerge w:val="restart"/>
            <w:shd w:val="clear" w:color="auto" w:fill="FFFFFF"/>
            <w:vAlign w:val="center"/>
          </w:tcPr>
          <w:p w14:paraId="24292124">
            <w:pPr>
              <w:widowControl/>
              <w:jc w:val="center"/>
              <w:textAlignment w:val="center"/>
              <w:rPr>
                <w:rFonts w:ascii="宋体" w:hAnsi="宋体" w:cs="宋体"/>
                <w:color w:val="auto"/>
                <w:szCs w:val="21"/>
              </w:rPr>
            </w:pPr>
            <w:r>
              <w:rPr>
                <w:rFonts w:hint="eastAsia" w:ascii="宋体" w:hAnsi="宋体" w:cs="宋体"/>
                <w:color w:val="auto"/>
                <w:kern w:val="0"/>
                <w:szCs w:val="21"/>
                <w:lang w:bidi="ar"/>
              </w:rPr>
              <w:t>固废</w:t>
            </w:r>
          </w:p>
        </w:tc>
        <w:tc>
          <w:tcPr>
            <w:tcW w:w="300" w:type="pct"/>
            <w:shd w:val="clear" w:color="auto" w:fill="FFFFFF"/>
            <w:vAlign w:val="center"/>
          </w:tcPr>
          <w:p w14:paraId="130C1918">
            <w:pPr>
              <w:widowControl/>
              <w:jc w:val="left"/>
              <w:textAlignment w:val="center"/>
              <w:rPr>
                <w:rFonts w:ascii="宋体" w:hAnsi="宋体" w:cs="宋体"/>
                <w:color w:val="auto"/>
                <w:szCs w:val="21"/>
              </w:rPr>
            </w:pPr>
            <w:r>
              <w:rPr>
                <w:rFonts w:hint="eastAsia" w:ascii="宋体" w:hAnsi="宋体" w:cs="宋体"/>
                <w:color w:val="auto"/>
                <w:kern w:val="0"/>
                <w:szCs w:val="21"/>
                <w:lang w:bidi="ar"/>
              </w:rPr>
              <w:t>危险废物</w:t>
            </w:r>
          </w:p>
        </w:tc>
        <w:tc>
          <w:tcPr>
            <w:tcW w:w="713" w:type="pct"/>
            <w:gridSpan w:val="2"/>
            <w:shd w:val="clear" w:color="auto" w:fill="FFFFFF"/>
            <w:vAlign w:val="center"/>
          </w:tcPr>
          <w:p w14:paraId="52B41CBB">
            <w:pPr>
              <w:widowControl/>
              <w:jc w:val="center"/>
              <w:textAlignment w:val="center"/>
              <w:rPr>
                <w:color w:val="auto"/>
                <w:szCs w:val="21"/>
              </w:rPr>
            </w:pPr>
            <w:r>
              <w:rPr>
                <w:rFonts w:hint="eastAsia"/>
                <w:color w:val="auto"/>
                <w:kern w:val="0"/>
                <w:szCs w:val="21"/>
                <w:lang w:bidi="ar"/>
              </w:rPr>
              <w:t>79.97</w:t>
            </w:r>
          </w:p>
        </w:tc>
        <w:tc>
          <w:tcPr>
            <w:tcW w:w="713" w:type="pct"/>
            <w:gridSpan w:val="2"/>
            <w:shd w:val="clear" w:color="auto" w:fill="FFFFFF"/>
            <w:vAlign w:val="center"/>
          </w:tcPr>
          <w:p w14:paraId="29B6BF1A">
            <w:pPr>
              <w:widowControl/>
              <w:jc w:val="center"/>
              <w:textAlignment w:val="center"/>
              <w:rPr>
                <w:color w:val="auto"/>
                <w:kern w:val="0"/>
                <w:szCs w:val="21"/>
                <w:lang w:bidi="ar"/>
              </w:rPr>
            </w:pPr>
            <w:r>
              <w:rPr>
                <w:rFonts w:hint="eastAsia"/>
                <w:color w:val="auto"/>
                <w:kern w:val="0"/>
                <w:szCs w:val="21"/>
                <w:lang w:bidi="ar"/>
              </w:rPr>
              <w:t>79.97</w:t>
            </w:r>
          </w:p>
        </w:tc>
        <w:tc>
          <w:tcPr>
            <w:tcW w:w="561" w:type="pct"/>
            <w:gridSpan w:val="2"/>
            <w:shd w:val="clear" w:color="auto" w:fill="FFFFFF"/>
            <w:vAlign w:val="center"/>
          </w:tcPr>
          <w:p w14:paraId="6A8236F6">
            <w:pPr>
              <w:widowControl/>
              <w:jc w:val="center"/>
              <w:textAlignment w:val="center"/>
              <w:rPr>
                <w:color w:val="auto"/>
                <w:kern w:val="0"/>
                <w:szCs w:val="21"/>
                <w:lang w:bidi="ar"/>
              </w:rPr>
            </w:pPr>
            <w:r>
              <w:rPr>
                <w:rFonts w:hint="eastAsia"/>
                <w:color w:val="auto"/>
                <w:kern w:val="0"/>
                <w:szCs w:val="21"/>
                <w:lang w:bidi="ar"/>
              </w:rPr>
              <w:t>0</w:t>
            </w:r>
          </w:p>
        </w:tc>
        <w:tc>
          <w:tcPr>
            <w:tcW w:w="564" w:type="pct"/>
            <w:gridSpan w:val="2"/>
            <w:shd w:val="clear" w:color="auto" w:fill="FFFFFF"/>
            <w:vAlign w:val="center"/>
          </w:tcPr>
          <w:p w14:paraId="20E3B8DD">
            <w:pPr>
              <w:widowControl/>
              <w:jc w:val="center"/>
              <w:textAlignment w:val="center"/>
              <w:rPr>
                <w:rFonts w:hint="default" w:eastAsia="宋体"/>
                <w:color w:val="auto"/>
                <w:szCs w:val="21"/>
                <w:lang w:val="en-US" w:eastAsia="zh-CN"/>
              </w:rPr>
            </w:pPr>
            <w:r>
              <w:rPr>
                <w:rFonts w:hint="eastAsia"/>
                <w:color w:val="auto"/>
                <w:kern w:val="0"/>
                <w:szCs w:val="21"/>
                <w:lang w:val="en-US" w:eastAsia="zh-CN" w:bidi="ar"/>
              </w:rPr>
              <w:t>8.33</w:t>
            </w:r>
          </w:p>
        </w:tc>
        <w:tc>
          <w:tcPr>
            <w:tcW w:w="564" w:type="pct"/>
            <w:gridSpan w:val="2"/>
            <w:shd w:val="clear" w:color="auto" w:fill="FFFFFF"/>
            <w:vAlign w:val="center"/>
          </w:tcPr>
          <w:p w14:paraId="39DFE951">
            <w:pPr>
              <w:widowControl/>
              <w:jc w:val="center"/>
              <w:textAlignment w:val="center"/>
              <w:rPr>
                <w:color w:val="auto"/>
                <w:szCs w:val="21"/>
              </w:rPr>
            </w:pPr>
            <w:r>
              <w:rPr>
                <w:color w:val="auto"/>
                <w:kern w:val="0"/>
                <w:szCs w:val="21"/>
                <w:lang w:bidi="ar"/>
              </w:rPr>
              <w:t>0</w:t>
            </w:r>
            <w:r>
              <w:rPr>
                <w:rFonts w:hint="eastAsia"/>
                <w:color w:val="auto"/>
                <w:kern w:val="0"/>
                <w:szCs w:val="21"/>
                <w:lang w:bidi="ar"/>
              </w:rPr>
              <w:t>.03</w:t>
            </w:r>
          </w:p>
        </w:tc>
        <w:tc>
          <w:tcPr>
            <w:tcW w:w="713" w:type="pct"/>
            <w:gridSpan w:val="2"/>
            <w:shd w:val="clear" w:color="auto" w:fill="FFFFFF"/>
            <w:vAlign w:val="center"/>
          </w:tcPr>
          <w:p w14:paraId="704AC85F">
            <w:pPr>
              <w:widowControl/>
              <w:jc w:val="center"/>
              <w:textAlignment w:val="center"/>
              <w:rPr>
                <w:rFonts w:hint="default" w:eastAsia="宋体"/>
                <w:color w:val="auto"/>
                <w:szCs w:val="21"/>
                <w:lang w:val="en-US" w:eastAsia="zh-CN"/>
              </w:rPr>
            </w:pPr>
            <w:r>
              <w:rPr>
                <w:rFonts w:hint="eastAsia"/>
                <w:color w:val="auto"/>
                <w:kern w:val="0"/>
                <w:szCs w:val="21"/>
                <w:lang w:val="en-US" w:eastAsia="zh-CN" w:bidi="ar"/>
              </w:rPr>
              <w:t>88.26</w:t>
            </w:r>
          </w:p>
        </w:tc>
        <w:tc>
          <w:tcPr>
            <w:tcW w:w="564" w:type="pct"/>
            <w:gridSpan w:val="2"/>
            <w:shd w:val="clear" w:color="auto" w:fill="FFFFFF"/>
            <w:vAlign w:val="center"/>
          </w:tcPr>
          <w:p w14:paraId="288036C8">
            <w:pPr>
              <w:widowControl/>
              <w:jc w:val="center"/>
              <w:textAlignment w:val="center"/>
              <w:rPr>
                <w:color w:val="auto"/>
                <w:szCs w:val="21"/>
              </w:rPr>
            </w:pPr>
            <w:r>
              <w:rPr>
                <w:color w:val="auto"/>
                <w:kern w:val="0"/>
                <w:szCs w:val="21"/>
                <w:lang w:bidi="ar"/>
              </w:rPr>
              <w:t>0</w:t>
            </w:r>
          </w:p>
        </w:tc>
      </w:tr>
      <w:tr w14:paraId="5B73E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04" w:type="pct"/>
            <w:gridSpan w:val="2"/>
            <w:vMerge w:val="continue"/>
            <w:shd w:val="clear" w:color="auto" w:fill="FFFFFF"/>
            <w:vAlign w:val="center"/>
          </w:tcPr>
          <w:p w14:paraId="261F4C20">
            <w:pPr>
              <w:jc w:val="center"/>
              <w:rPr>
                <w:rFonts w:ascii="宋体" w:hAnsi="宋体" w:cs="宋体"/>
                <w:color w:val="auto"/>
                <w:szCs w:val="21"/>
              </w:rPr>
            </w:pPr>
          </w:p>
        </w:tc>
        <w:tc>
          <w:tcPr>
            <w:tcW w:w="300" w:type="pct"/>
            <w:shd w:val="clear" w:color="auto" w:fill="FFFFFF"/>
            <w:vAlign w:val="center"/>
          </w:tcPr>
          <w:p w14:paraId="118BBF5F">
            <w:pPr>
              <w:widowControl/>
              <w:jc w:val="left"/>
              <w:textAlignment w:val="center"/>
              <w:rPr>
                <w:rFonts w:ascii="宋体" w:hAnsi="宋体" w:cs="宋体"/>
                <w:color w:val="auto"/>
                <w:szCs w:val="21"/>
              </w:rPr>
            </w:pPr>
            <w:r>
              <w:rPr>
                <w:rFonts w:hint="eastAsia" w:ascii="宋体" w:hAnsi="宋体" w:cs="宋体"/>
                <w:color w:val="auto"/>
                <w:kern w:val="0"/>
                <w:szCs w:val="21"/>
                <w:lang w:bidi="ar"/>
              </w:rPr>
              <w:t>一般工业固废</w:t>
            </w:r>
          </w:p>
        </w:tc>
        <w:tc>
          <w:tcPr>
            <w:tcW w:w="713" w:type="pct"/>
            <w:gridSpan w:val="2"/>
            <w:shd w:val="clear" w:color="auto" w:fill="FFFFFF"/>
            <w:vAlign w:val="center"/>
          </w:tcPr>
          <w:p w14:paraId="1A56F4BF">
            <w:pPr>
              <w:widowControl/>
              <w:jc w:val="center"/>
              <w:textAlignment w:val="center"/>
              <w:rPr>
                <w:color w:val="auto"/>
                <w:szCs w:val="21"/>
              </w:rPr>
            </w:pPr>
            <w:r>
              <w:rPr>
                <w:rFonts w:hint="eastAsia"/>
                <w:color w:val="auto"/>
                <w:kern w:val="0"/>
                <w:szCs w:val="21"/>
                <w:lang w:bidi="ar"/>
              </w:rPr>
              <w:t>1.045</w:t>
            </w:r>
          </w:p>
        </w:tc>
        <w:tc>
          <w:tcPr>
            <w:tcW w:w="713" w:type="pct"/>
            <w:gridSpan w:val="2"/>
            <w:shd w:val="clear" w:color="auto" w:fill="FFFFFF"/>
            <w:vAlign w:val="center"/>
          </w:tcPr>
          <w:p w14:paraId="2AC6952F">
            <w:pPr>
              <w:widowControl/>
              <w:jc w:val="center"/>
              <w:textAlignment w:val="center"/>
              <w:rPr>
                <w:color w:val="auto"/>
                <w:kern w:val="0"/>
                <w:szCs w:val="21"/>
                <w:lang w:bidi="ar"/>
              </w:rPr>
            </w:pPr>
            <w:r>
              <w:rPr>
                <w:rFonts w:hint="eastAsia"/>
                <w:color w:val="auto"/>
                <w:kern w:val="0"/>
                <w:szCs w:val="21"/>
                <w:lang w:bidi="ar"/>
              </w:rPr>
              <w:t>1.045</w:t>
            </w:r>
          </w:p>
        </w:tc>
        <w:tc>
          <w:tcPr>
            <w:tcW w:w="561" w:type="pct"/>
            <w:gridSpan w:val="2"/>
            <w:shd w:val="clear" w:color="auto" w:fill="FFFFFF"/>
            <w:vAlign w:val="center"/>
          </w:tcPr>
          <w:p w14:paraId="137F0F31">
            <w:pPr>
              <w:widowControl/>
              <w:jc w:val="center"/>
              <w:textAlignment w:val="center"/>
              <w:rPr>
                <w:color w:val="auto"/>
                <w:kern w:val="0"/>
                <w:szCs w:val="21"/>
                <w:lang w:bidi="ar"/>
              </w:rPr>
            </w:pPr>
            <w:r>
              <w:rPr>
                <w:rFonts w:hint="eastAsia"/>
                <w:color w:val="auto"/>
                <w:kern w:val="0"/>
                <w:szCs w:val="21"/>
                <w:lang w:bidi="ar"/>
              </w:rPr>
              <w:t>0</w:t>
            </w:r>
          </w:p>
        </w:tc>
        <w:tc>
          <w:tcPr>
            <w:tcW w:w="564" w:type="pct"/>
            <w:gridSpan w:val="2"/>
            <w:shd w:val="clear" w:color="auto" w:fill="FFFFFF"/>
            <w:vAlign w:val="center"/>
          </w:tcPr>
          <w:p w14:paraId="2B21B742">
            <w:pPr>
              <w:widowControl/>
              <w:jc w:val="center"/>
              <w:textAlignment w:val="center"/>
              <w:rPr>
                <w:color w:val="auto"/>
                <w:szCs w:val="21"/>
              </w:rPr>
            </w:pPr>
            <w:r>
              <w:rPr>
                <w:rFonts w:hint="eastAsia"/>
                <w:color w:val="auto"/>
                <w:kern w:val="0"/>
                <w:szCs w:val="21"/>
                <w:lang w:bidi="ar"/>
              </w:rPr>
              <w:t>1</w:t>
            </w:r>
          </w:p>
        </w:tc>
        <w:tc>
          <w:tcPr>
            <w:tcW w:w="564" w:type="pct"/>
            <w:gridSpan w:val="2"/>
            <w:shd w:val="clear" w:color="auto" w:fill="FFFFFF"/>
            <w:vAlign w:val="center"/>
          </w:tcPr>
          <w:p w14:paraId="3B06F6D6">
            <w:pPr>
              <w:widowControl/>
              <w:jc w:val="center"/>
              <w:textAlignment w:val="center"/>
              <w:rPr>
                <w:color w:val="auto"/>
                <w:szCs w:val="21"/>
              </w:rPr>
            </w:pPr>
            <w:r>
              <w:rPr>
                <w:color w:val="auto"/>
                <w:kern w:val="0"/>
                <w:szCs w:val="21"/>
                <w:lang w:bidi="ar"/>
              </w:rPr>
              <w:t>0</w:t>
            </w:r>
          </w:p>
        </w:tc>
        <w:tc>
          <w:tcPr>
            <w:tcW w:w="713" w:type="pct"/>
            <w:gridSpan w:val="2"/>
            <w:shd w:val="clear" w:color="auto" w:fill="FFFFFF"/>
            <w:vAlign w:val="center"/>
          </w:tcPr>
          <w:p w14:paraId="7D706D0B">
            <w:pPr>
              <w:widowControl/>
              <w:jc w:val="center"/>
              <w:textAlignment w:val="center"/>
              <w:rPr>
                <w:color w:val="auto"/>
                <w:szCs w:val="21"/>
              </w:rPr>
            </w:pPr>
            <w:r>
              <w:rPr>
                <w:rFonts w:hint="eastAsia"/>
                <w:color w:val="auto"/>
                <w:kern w:val="0"/>
                <w:szCs w:val="21"/>
                <w:lang w:bidi="ar"/>
              </w:rPr>
              <w:t>2.05</w:t>
            </w:r>
          </w:p>
        </w:tc>
        <w:tc>
          <w:tcPr>
            <w:tcW w:w="564" w:type="pct"/>
            <w:gridSpan w:val="2"/>
            <w:shd w:val="clear" w:color="auto" w:fill="FFFFFF"/>
            <w:vAlign w:val="center"/>
          </w:tcPr>
          <w:p w14:paraId="767E40D0">
            <w:pPr>
              <w:widowControl/>
              <w:jc w:val="center"/>
              <w:textAlignment w:val="center"/>
              <w:rPr>
                <w:color w:val="auto"/>
                <w:szCs w:val="21"/>
              </w:rPr>
            </w:pPr>
            <w:r>
              <w:rPr>
                <w:color w:val="auto"/>
                <w:kern w:val="0"/>
                <w:szCs w:val="21"/>
                <w:lang w:bidi="ar"/>
              </w:rPr>
              <w:t>0</w:t>
            </w:r>
          </w:p>
        </w:tc>
      </w:tr>
      <w:tr w14:paraId="747DD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04" w:type="pct"/>
            <w:gridSpan w:val="2"/>
            <w:vMerge w:val="continue"/>
            <w:shd w:val="clear" w:color="auto" w:fill="FFFFFF"/>
            <w:vAlign w:val="center"/>
          </w:tcPr>
          <w:p w14:paraId="2625E4D9">
            <w:pPr>
              <w:jc w:val="center"/>
              <w:rPr>
                <w:rFonts w:ascii="宋体" w:hAnsi="宋体" w:cs="宋体"/>
                <w:color w:val="auto"/>
                <w:szCs w:val="21"/>
              </w:rPr>
            </w:pPr>
          </w:p>
        </w:tc>
        <w:tc>
          <w:tcPr>
            <w:tcW w:w="300" w:type="pct"/>
            <w:shd w:val="clear" w:color="auto" w:fill="FFFFFF"/>
            <w:vAlign w:val="center"/>
          </w:tcPr>
          <w:p w14:paraId="4827D9AA">
            <w:pPr>
              <w:widowControl/>
              <w:jc w:val="left"/>
              <w:textAlignment w:val="center"/>
              <w:rPr>
                <w:rFonts w:ascii="宋体" w:hAnsi="宋体" w:cs="宋体"/>
                <w:color w:val="auto"/>
                <w:szCs w:val="21"/>
              </w:rPr>
            </w:pPr>
            <w:r>
              <w:rPr>
                <w:rFonts w:hint="eastAsia" w:ascii="宋体" w:hAnsi="宋体" w:cs="宋体"/>
                <w:color w:val="auto"/>
                <w:kern w:val="0"/>
                <w:szCs w:val="21"/>
                <w:lang w:bidi="ar"/>
              </w:rPr>
              <w:t>生活垃圾</w:t>
            </w:r>
          </w:p>
        </w:tc>
        <w:tc>
          <w:tcPr>
            <w:tcW w:w="713" w:type="pct"/>
            <w:gridSpan w:val="2"/>
            <w:shd w:val="clear" w:color="auto" w:fill="FFFFFF"/>
            <w:vAlign w:val="center"/>
          </w:tcPr>
          <w:p w14:paraId="07D99F06">
            <w:pPr>
              <w:widowControl/>
              <w:jc w:val="center"/>
              <w:textAlignment w:val="center"/>
              <w:rPr>
                <w:color w:val="auto"/>
                <w:szCs w:val="21"/>
              </w:rPr>
            </w:pPr>
            <w:r>
              <w:rPr>
                <w:rFonts w:hint="eastAsia"/>
                <w:color w:val="auto"/>
                <w:kern w:val="0"/>
                <w:szCs w:val="21"/>
                <w:lang w:bidi="ar"/>
              </w:rPr>
              <w:t>3.3</w:t>
            </w:r>
          </w:p>
        </w:tc>
        <w:tc>
          <w:tcPr>
            <w:tcW w:w="713" w:type="pct"/>
            <w:gridSpan w:val="2"/>
            <w:shd w:val="clear" w:color="auto" w:fill="FFFFFF"/>
            <w:vAlign w:val="center"/>
          </w:tcPr>
          <w:p w14:paraId="7336A2EE">
            <w:pPr>
              <w:widowControl/>
              <w:jc w:val="center"/>
              <w:textAlignment w:val="center"/>
              <w:rPr>
                <w:color w:val="auto"/>
                <w:kern w:val="0"/>
                <w:szCs w:val="21"/>
                <w:lang w:bidi="ar"/>
              </w:rPr>
            </w:pPr>
            <w:r>
              <w:rPr>
                <w:rFonts w:hint="eastAsia"/>
                <w:color w:val="auto"/>
                <w:kern w:val="0"/>
                <w:szCs w:val="21"/>
                <w:lang w:bidi="ar"/>
              </w:rPr>
              <w:t>3.3</w:t>
            </w:r>
          </w:p>
        </w:tc>
        <w:tc>
          <w:tcPr>
            <w:tcW w:w="561" w:type="pct"/>
            <w:gridSpan w:val="2"/>
            <w:shd w:val="clear" w:color="auto" w:fill="FFFFFF"/>
            <w:vAlign w:val="center"/>
          </w:tcPr>
          <w:p w14:paraId="393F772C">
            <w:pPr>
              <w:widowControl/>
              <w:jc w:val="center"/>
              <w:textAlignment w:val="center"/>
              <w:rPr>
                <w:color w:val="auto"/>
                <w:kern w:val="0"/>
                <w:szCs w:val="21"/>
                <w:lang w:bidi="ar"/>
              </w:rPr>
            </w:pPr>
            <w:r>
              <w:rPr>
                <w:rFonts w:hint="eastAsia"/>
                <w:color w:val="auto"/>
                <w:kern w:val="0"/>
                <w:szCs w:val="21"/>
                <w:lang w:bidi="ar"/>
              </w:rPr>
              <w:t>0</w:t>
            </w:r>
          </w:p>
        </w:tc>
        <w:tc>
          <w:tcPr>
            <w:tcW w:w="564" w:type="pct"/>
            <w:gridSpan w:val="2"/>
            <w:shd w:val="clear" w:color="auto" w:fill="FFFFFF"/>
            <w:vAlign w:val="center"/>
          </w:tcPr>
          <w:p w14:paraId="2C58940C">
            <w:pPr>
              <w:widowControl/>
              <w:jc w:val="center"/>
              <w:textAlignment w:val="center"/>
              <w:rPr>
                <w:color w:val="auto"/>
                <w:szCs w:val="21"/>
              </w:rPr>
            </w:pPr>
            <w:r>
              <w:rPr>
                <w:color w:val="auto"/>
                <w:kern w:val="0"/>
                <w:szCs w:val="21"/>
                <w:lang w:bidi="ar"/>
              </w:rPr>
              <w:t>0</w:t>
            </w:r>
          </w:p>
        </w:tc>
        <w:tc>
          <w:tcPr>
            <w:tcW w:w="564" w:type="pct"/>
            <w:gridSpan w:val="2"/>
            <w:shd w:val="clear" w:color="auto" w:fill="FFFFFF"/>
            <w:vAlign w:val="center"/>
          </w:tcPr>
          <w:p w14:paraId="7D01DA99">
            <w:pPr>
              <w:widowControl/>
              <w:jc w:val="center"/>
              <w:textAlignment w:val="center"/>
              <w:rPr>
                <w:color w:val="auto"/>
                <w:szCs w:val="21"/>
              </w:rPr>
            </w:pPr>
            <w:r>
              <w:rPr>
                <w:color w:val="auto"/>
                <w:kern w:val="0"/>
                <w:szCs w:val="21"/>
                <w:lang w:bidi="ar"/>
              </w:rPr>
              <w:t>0</w:t>
            </w:r>
          </w:p>
        </w:tc>
        <w:tc>
          <w:tcPr>
            <w:tcW w:w="713" w:type="pct"/>
            <w:gridSpan w:val="2"/>
            <w:shd w:val="clear" w:color="auto" w:fill="FFFFFF"/>
            <w:vAlign w:val="center"/>
          </w:tcPr>
          <w:p w14:paraId="4B9733B4">
            <w:pPr>
              <w:widowControl/>
              <w:jc w:val="center"/>
              <w:textAlignment w:val="center"/>
              <w:rPr>
                <w:color w:val="auto"/>
                <w:szCs w:val="21"/>
              </w:rPr>
            </w:pPr>
            <w:r>
              <w:rPr>
                <w:rFonts w:hint="eastAsia"/>
                <w:color w:val="auto"/>
                <w:kern w:val="0"/>
                <w:szCs w:val="21"/>
                <w:lang w:bidi="ar"/>
              </w:rPr>
              <w:t>3.3</w:t>
            </w:r>
          </w:p>
        </w:tc>
        <w:tc>
          <w:tcPr>
            <w:tcW w:w="564" w:type="pct"/>
            <w:gridSpan w:val="2"/>
            <w:shd w:val="clear" w:color="auto" w:fill="FFFFFF"/>
            <w:vAlign w:val="center"/>
          </w:tcPr>
          <w:p w14:paraId="76E578A1">
            <w:pPr>
              <w:widowControl/>
              <w:jc w:val="center"/>
              <w:textAlignment w:val="center"/>
              <w:rPr>
                <w:color w:val="auto"/>
                <w:szCs w:val="21"/>
              </w:rPr>
            </w:pPr>
            <w:r>
              <w:rPr>
                <w:color w:val="auto"/>
                <w:kern w:val="0"/>
                <w:szCs w:val="21"/>
                <w:lang w:bidi="ar"/>
              </w:rPr>
              <w:t>0</w:t>
            </w:r>
          </w:p>
        </w:tc>
      </w:tr>
    </w:tbl>
    <w:p w14:paraId="3E97373A">
      <w:pPr>
        <w:pStyle w:val="45"/>
        <w:spacing w:beforeLines="0" w:afterLines="0" w:line="240" w:lineRule="auto"/>
        <w:jc w:val="left"/>
        <w:rPr>
          <w:rFonts w:ascii="Times New Roman"/>
          <w:color w:val="auto"/>
          <w:spacing w:val="-6"/>
          <w:kern w:val="21"/>
          <w:szCs w:val="21"/>
        </w:rPr>
      </w:pPr>
      <w:r>
        <w:rPr>
          <w:rFonts w:hAnsi="宋体"/>
          <w:color w:val="auto"/>
          <w:kern w:val="21"/>
        </w:rPr>
        <w:t>注：</w:t>
      </w:r>
      <w:r>
        <w:rPr>
          <w:rFonts w:hint="eastAsia" w:hAnsi="宋体"/>
          <w:color w:val="auto"/>
        </w:rPr>
        <w:t>⑥</w:t>
      </w:r>
      <w:r>
        <w:rPr>
          <w:rFonts w:ascii="Times New Roman"/>
          <w:color w:val="auto"/>
          <w:spacing w:val="-16"/>
          <w:kern w:val="21"/>
        </w:rPr>
        <w:t>=</w:t>
      </w:r>
      <w:r>
        <w:rPr>
          <w:rFonts w:hint="eastAsia" w:hAnsi="宋体"/>
          <w:color w:val="auto"/>
        </w:rPr>
        <w:t>①</w:t>
      </w:r>
      <w:r>
        <w:rPr>
          <w:rFonts w:ascii="Times New Roman"/>
          <w:color w:val="auto"/>
          <w:spacing w:val="-6"/>
          <w:kern w:val="21"/>
        </w:rPr>
        <w:t>+</w:t>
      </w:r>
      <w:r>
        <w:rPr>
          <w:rFonts w:hint="eastAsia" w:hAnsi="宋体"/>
          <w:color w:val="auto"/>
        </w:rPr>
        <w:t>③</w:t>
      </w:r>
      <w:r>
        <w:rPr>
          <w:rFonts w:ascii="Times New Roman"/>
          <w:color w:val="auto"/>
          <w:spacing w:val="-6"/>
          <w:kern w:val="21"/>
        </w:rPr>
        <w:t>+</w:t>
      </w:r>
      <w:r>
        <w:rPr>
          <w:rFonts w:hint="eastAsia" w:hAnsi="宋体"/>
          <w:color w:val="auto"/>
        </w:rPr>
        <w:t>④</w:t>
      </w:r>
      <w:r>
        <w:rPr>
          <w:rFonts w:ascii="Times New Roman"/>
          <w:color w:val="auto"/>
          <w:spacing w:val="-6"/>
          <w:kern w:val="21"/>
        </w:rPr>
        <w:t>-</w:t>
      </w:r>
      <w:r>
        <w:rPr>
          <w:rFonts w:hint="eastAsia" w:hAnsi="宋体"/>
          <w:color w:val="auto"/>
        </w:rPr>
        <w:t>⑤</w:t>
      </w:r>
      <w:r>
        <w:rPr>
          <w:rFonts w:hAnsi="宋体"/>
          <w:color w:val="auto"/>
          <w:spacing w:val="-16"/>
          <w:kern w:val="21"/>
        </w:rPr>
        <w:t>；</w:t>
      </w:r>
      <w:r>
        <w:rPr>
          <w:rFonts w:hint="eastAsia" w:hAnsi="宋体"/>
          <w:color w:val="auto"/>
        </w:rPr>
        <w:t>⑦</w:t>
      </w:r>
      <w:r>
        <w:rPr>
          <w:rFonts w:ascii="Times New Roman"/>
          <w:color w:val="auto"/>
          <w:spacing w:val="-6"/>
          <w:kern w:val="21"/>
        </w:rPr>
        <w:t>=</w:t>
      </w:r>
      <w:r>
        <w:rPr>
          <w:rFonts w:hint="eastAsia" w:hAnsi="宋体"/>
          <w:color w:val="auto"/>
        </w:rPr>
        <w:t>⑥</w:t>
      </w:r>
      <w:r>
        <w:rPr>
          <w:rFonts w:ascii="Times New Roman"/>
          <w:color w:val="auto"/>
          <w:spacing w:val="-16"/>
          <w:kern w:val="21"/>
        </w:rPr>
        <w:t>-</w:t>
      </w:r>
      <w:r>
        <w:rPr>
          <w:rFonts w:hint="eastAsia" w:hAnsi="宋体"/>
          <w:color w:val="auto"/>
        </w:rPr>
        <w:t>①</w:t>
      </w:r>
    </w:p>
    <w:sectPr>
      <w:type w:val="nextColumn"/>
      <w:pgSz w:w="16838" w:h="11906" w:orient="landscape"/>
      <w:pgMar w:top="1418" w:right="1418" w:bottom="1418" w:left="1418" w:header="851" w:footer="851"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方正小标宋_GBK">
    <w:altName w:val="Arial Unicode MS"/>
    <w:panose1 w:val="03000509000000000000"/>
    <w:charset w:val="86"/>
    <w:family w:val="script"/>
    <w:pitch w:val="default"/>
    <w:sig w:usb0="00000000" w:usb1="00000000" w:usb2="00000000" w:usb3="00000000" w:csb0="00040000" w:csb1="00000000"/>
  </w:font>
  <w:font w:name="Arial Unicode MS">
    <w:panose1 w:val="020B0604020202020204"/>
    <w:charset w:val="86"/>
    <w:family w:val="auto"/>
    <w:pitch w:val="default"/>
    <w:sig w:usb0="F7FFAEFF" w:usb1="F9DFFFFF" w:usb2="0000007F" w:usb3="00000000" w:csb0="203F01FF" w:csb1="DFFF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Segoe UI Symbol">
    <w:panose1 w:val="020B0502040204020203"/>
    <w:charset w:val="00"/>
    <w:family w:val="swiss"/>
    <w:pitch w:val="default"/>
    <w:sig w:usb0="800001E3" w:usb1="1200FFEF" w:usb2="00040000" w:usb3="04000000" w:csb0="00000001" w:csb1="40000000"/>
  </w:font>
  <w:font w:name="Wingdings 2">
    <w:panose1 w:val="05020102010507070707"/>
    <w:charset w:val="02"/>
    <w:family w:val="roman"/>
    <w:pitch w:val="default"/>
    <w:sig w:usb0="00000000" w:usb1="00000000" w:usb2="00000000" w:usb3="00000000" w:csb0="80000000" w:csb1="00000000"/>
  </w:font>
  <w:font w:name="Malgun Gothic">
    <w:panose1 w:val="020B0503020000020004"/>
    <w:charset w:val="81"/>
    <w:family w:val="swiss"/>
    <w:pitch w:val="default"/>
    <w:sig w:usb0="9000002F" w:usb1="29D77CFB" w:usb2="00000012" w:usb3="00000000" w:csb0="0008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E71884">
    <w:pPr>
      <w:pStyle w:val="13"/>
      <w:framePr w:wrap="around" w:vAnchor="text" w:hAnchor="margin" w:xAlign="outside" w:y="1"/>
      <w:rPr>
        <w:rStyle w:val="25"/>
        <w:rFonts w:ascii="宋体" w:hAnsi="宋体"/>
        <w:sz w:val="28"/>
        <w:szCs w:val="28"/>
      </w:rPr>
    </w:pPr>
    <w:r>
      <w:rPr>
        <w:rStyle w:val="25"/>
        <w:rFonts w:hint="eastAsia" w:ascii="宋体" w:hAnsi="宋体"/>
        <w:sz w:val="28"/>
        <w:szCs w:val="28"/>
      </w:rPr>
      <w:t>—</w:t>
    </w:r>
    <w:r>
      <w:rPr>
        <w:rStyle w:val="25"/>
        <w:rFonts w:hint="eastAsia" w:ascii="宋体" w:hAnsi="宋体"/>
        <w:sz w:val="20"/>
      </w:rPr>
      <w:t xml:space="preserve">  </w:t>
    </w:r>
    <w:r>
      <w:rPr>
        <w:rStyle w:val="25"/>
        <w:rFonts w:ascii="宋体" w:hAnsi="宋体"/>
        <w:sz w:val="26"/>
        <w:szCs w:val="26"/>
      </w:rPr>
      <w:fldChar w:fldCharType="begin"/>
    </w:r>
    <w:r>
      <w:rPr>
        <w:rStyle w:val="25"/>
        <w:rFonts w:ascii="宋体" w:hAnsi="宋体"/>
        <w:sz w:val="26"/>
        <w:szCs w:val="26"/>
      </w:rPr>
      <w:instrText xml:space="preserve">PAGE  </w:instrText>
    </w:r>
    <w:r>
      <w:rPr>
        <w:rStyle w:val="25"/>
        <w:rFonts w:ascii="宋体" w:hAnsi="宋体"/>
        <w:sz w:val="26"/>
        <w:szCs w:val="26"/>
      </w:rPr>
      <w:fldChar w:fldCharType="separate"/>
    </w:r>
    <w:r>
      <w:rPr>
        <w:rStyle w:val="25"/>
        <w:rFonts w:ascii="宋体" w:hAnsi="宋体"/>
        <w:sz w:val="26"/>
        <w:szCs w:val="26"/>
      </w:rPr>
      <w:t>69</w:t>
    </w:r>
    <w:r>
      <w:rPr>
        <w:rStyle w:val="25"/>
        <w:rFonts w:ascii="宋体" w:hAnsi="宋体"/>
        <w:sz w:val="26"/>
        <w:szCs w:val="26"/>
      </w:rPr>
      <w:fldChar w:fldCharType="end"/>
    </w:r>
    <w:r>
      <w:rPr>
        <w:rStyle w:val="25"/>
        <w:rFonts w:hint="eastAsia" w:ascii="宋体" w:hAnsi="宋体"/>
        <w:sz w:val="20"/>
      </w:rPr>
      <w:t xml:space="preserve">  </w:t>
    </w:r>
    <w:r>
      <w:rPr>
        <w:rStyle w:val="25"/>
        <w:rFonts w:hint="eastAsia" w:ascii="宋体" w:hAnsi="宋体"/>
        <w:sz w:val="28"/>
        <w:szCs w:val="28"/>
      </w:rPr>
      <w:t>—</w:t>
    </w:r>
  </w:p>
  <w:p w14:paraId="65A44BB4">
    <w:pPr>
      <w:pStyle w:val="13"/>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3A4391">
    <w:pPr>
      <w:pStyle w:val="13"/>
      <w:framePr w:wrap="around" w:vAnchor="text" w:hAnchor="margin" w:xAlign="outside" w:y="1"/>
      <w:rPr>
        <w:rStyle w:val="25"/>
        <w:rFonts w:ascii="宋体" w:hAnsi="宋体"/>
        <w:sz w:val="28"/>
        <w:szCs w:val="28"/>
      </w:rPr>
    </w:pPr>
    <w:r>
      <w:rPr>
        <w:rStyle w:val="25"/>
        <w:rFonts w:hint="eastAsia" w:ascii="宋体" w:hAnsi="宋体"/>
        <w:sz w:val="28"/>
        <w:szCs w:val="28"/>
      </w:rPr>
      <w:t>—</w:t>
    </w:r>
    <w:r>
      <w:rPr>
        <w:rStyle w:val="25"/>
        <w:rFonts w:hint="eastAsia" w:ascii="宋体" w:hAnsi="宋体"/>
        <w:sz w:val="20"/>
      </w:rPr>
      <w:t xml:space="preserve">  </w:t>
    </w:r>
    <w:r>
      <w:rPr>
        <w:rStyle w:val="25"/>
        <w:rFonts w:ascii="宋体" w:hAnsi="宋体"/>
        <w:sz w:val="26"/>
        <w:szCs w:val="26"/>
      </w:rPr>
      <w:fldChar w:fldCharType="begin"/>
    </w:r>
    <w:r>
      <w:rPr>
        <w:rStyle w:val="25"/>
        <w:rFonts w:ascii="宋体" w:hAnsi="宋体"/>
        <w:sz w:val="26"/>
        <w:szCs w:val="26"/>
      </w:rPr>
      <w:instrText xml:space="preserve">PAGE  </w:instrText>
    </w:r>
    <w:r>
      <w:rPr>
        <w:rStyle w:val="25"/>
        <w:rFonts w:ascii="宋体" w:hAnsi="宋体"/>
        <w:sz w:val="26"/>
        <w:szCs w:val="26"/>
      </w:rPr>
      <w:fldChar w:fldCharType="separate"/>
    </w:r>
    <w:r>
      <w:rPr>
        <w:rStyle w:val="25"/>
        <w:rFonts w:ascii="宋体" w:hAnsi="宋体"/>
        <w:sz w:val="26"/>
        <w:szCs w:val="26"/>
      </w:rPr>
      <w:t>74</w:t>
    </w:r>
    <w:r>
      <w:rPr>
        <w:rStyle w:val="25"/>
        <w:rFonts w:ascii="宋体" w:hAnsi="宋体"/>
        <w:sz w:val="26"/>
        <w:szCs w:val="26"/>
      </w:rPr>
      <w:fldChar w:fldCharType="end"/>
    </w:r>
    <w:r>
      <w:rPr>
        <w:rStyle w:val="25"/>
        <w:rFonts w:hint="eastAsia" w:ascii="宋体" w:hAnsi="宋体"/>
        <w:sz w:val="20"/>
      </w:rPr>
      <w:t xml:space="preserve">  </w:t>
    </w:r>
    <w:r>
      <w:rPr>
        <w:rStyle w:val="25"/>
        <w:rFonts w:hint="eastAsia" w:ascii="宋体" w:hAnsi="宋体"/>
        <w:sz w:val="28"/>
        <w:szCs w:val="28"/>
      </w:rPr>
      <w:t>—</w:t>
    </w:r>
  </w:p>
  <w:p w14:paraId="563EBA70">
    <w:pPr>
      <w:pStyle w:val="13"/>
      <w:ind w:right="360" w:firstLine="360"/>
      <w:jc w:val="cen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7458A9"/>
    <w:multiLevelType w:val="singleLevel"/>
    <w:tmpl w:val="9F7458A9"/>
    <w:lvl w:ilvl="0" w:tentative="0">
      <w:start w:val="2"/>
      <w:numFmt w:val="decimal"/>
      <w:suff w:val="nothing"/>
      <w:lvlText w:val="（%1）"/>
      <w:lvlJc w:val="left"/>
    </w:lvl>
  </w:abstractNum>
  <w:abstractNum w:abstractNumId="1">
    <w:nsid w:val="AC34F24D"/>
    <w:multiLevelType w:val="singleLevel"/>
    <w:tmpl w:val="AC34F24D"/>
    <w:lvl w:ilvl="0" w:tentative="0">
      <w:start w:val="1"/>
      <w:numFmt w:val="decimal"/>
      <w:suff w:val="nothing"/>
      <w:lvlText w:val="（%1）"/>
      <w:lvlJc w:val="left"/>
    </w:lvl>
  </w:abstractNum>
  <w:abstractNum w:abstractNumId="2">
    <w:nsid w:val="FD890069"/>
    <w:multiLevelType w:val="singleLevel"/>
    <w:tmpl w:val="FD890069"/>
    <w:lvl w:ilvl="0" w:tentative="0">
      <w:start w:val="1"/>
      <w:numFmt w:val="decimal"/>
      <w:suff w:val="nothing"/>
      <w:lvlText w:val="（%1）"/>
      <w:lvlJc w:val="left"/>
    </w:lvl>
  </w:abstractNum>
  <w:abstractNum w:abstractNumId="3">
    <w:nsid w:val="54E4269A"/>
    <w:multiLevelType w:val="singleLevel"/>
    <w:tmpl w:val="54E4269A"/>
    <w:lvl w:ilvl="0" w:tentative="0">
      <w:start w:val="4"/>
      <w:numFmt w:val="decimal"/>
      <w:suff w:val="nothing"/>
      <w:lvlText w:val="（%1）"/>
      <w:lvlJc w:val="left"/>
    </w:lvl>
  </w:abstractNum>
  <w:abstractNum w:abstractNumId="4">
    <w:nsid w:val="648BFA92"/>
    <w:multiLevelType w:val="singleLevel"/>
    <w:tmpl w:val="648BFA92"/>
    <w:lvl w:ilvl="0" w:tentative="0">
      <w:start w:val="1"/>
      <w:numFmt w:val="decimal"/>
      <w:suff w:val="nothing"/>
      <w:lvlText w:val="（%1）"/>
      <w:lvlJc w:val="left"/>
    </w:lvl>
  </w:abstractNum>
  <w:abstractNum w:abstractNumId="5">
    <w:nsid w:val="678E6D3F"/>
    <w:multiLevelType w:val="multilevel"/>
    <w:tmpl w:val="678E6D3F"/>
    <w:lvl w:ilvl="0" w:tentative="0">
      <w:start w:val="1"/>
      <w:numFmt w:val="decimalEnclosedCircle"/>
      <w:pStyle w:val="88"/>
      <w:lvlText w:val="%1"/>
      <w:lvlJc w:val="left"/>
      <w:pPr>
        <w:ind w:left="780" w:hanging="360"/>
      </w:pPr>
      <w:rPr>
        <w:rFonts w:hint="default"/>
      </w:rPr>
    </w:lvl>
    <w:lvl w:ilvl="1" w:tentative="0">
      <w:start w:val="1"/>
      <w:numFmt w:val="lowerLetter"/>
      <w:lvlText w:val="%2)"/>
      <w:lvlJc w:val="left"/>
      <w:pPr>
        <w:ind w:left="1300" w:hanging="440"/>
      </w:pPr>
    </w:lvl>
    <w:lvl w:ilvl="2" w:tentative="0">
      <w:start w:val="1"/>
      <w:numFmt w:val="lowerRoman"/>
      <w:lvlText w:val="%3."/>
      <w:lvlJc w:val="right"/>
      <w:pPr>
        <w:ind w:left="1740" w:hanging="440"/>
      </w:pPr>
    </w:lvl>
    <w:lvl w:ilvl="3" w:tentative="0">
      <w:start w:val="1"/>
      <w:numFmt w:val="decimal"/>
      <w:lvlText w:val="%4."/>
      <w:lvlJc w:val="left"/>
      <w:pPr>
        <w:ind w:left="2180" w:hanging="440"/>
      </w:pPr>
    </w:lvl>
    <w:lvl w:ilvl="4" w:tentative="0">
      <w:start w:val="1"/>
      <w:numFmt w:val="lowerLetter"/>
      <w:lvlText w:val="%5)"/>
      <w:lvlJc w:val="left"/>
      <w:pPr>
        <w:ind w:left="2620" w:hanging="440"/>
      </w:pPr>
    </w:lvl>
    <w:lvl w:ilvl="5" w:tentative="0">
      <w:start w:val="1"/>
      <w:numFmt w:val="lowerRoman"/>
      <w:lvlText w:val="%6."/>
      <w:lvlJc w:val="right"/>
      <w:pPr>
        <w:ind w:left="3060" w:hanging="440"/>
      </w:pPr>
    </w:lvl>
    <w:lvl w:ilvl="6" w:tentative="0">
      <w:start w:val="1"/>
      <w:numFmt w:val="decimal"/>
      <w:lvlText w:val="%7."/>
      <w:lvlJc w:val="left"/>
      <w:pPr>
        <w:ind w:left="3500" w:hanging="440"/>
      </w:pPr>
    </w:lvl>
    <w:lvl w:ilvl="7" w:tentative="0">
      <w:start w:val="1"/>
      <w:numFmt w:val="lowerLetter"/>
      <w:lvlText w:val="%8)"/>
      <w:lvlJc w:val="left"/>
      <w:pPr>
        <w:ind w:left="3940" w:hanging="440"/>
      </w:pPr>
    </w:lvl>
    <w:lvl w:ilvl="8" w:tentative="0">
      <w:start w:val="1"/>
      <w:numFmt w:val="lowerRoman"/>
      <w:lvlText w:val="%9."/>
      <w:lvlJc w:val="right"/>
      <w:pPr>
        <w:ind w:left="4380" w:hanging="440"/>
      </w:pPr>
    </w:lvl>
  </w:abstractNum>
  <w:num w:numId="1">
    <w:abstractNumId w:val="5"/>
  </w:num>
  <w:num w:numId="2">
    <w:abstractNumId w:val="0"/>
  </w:num>
  <w:num w:numId="3">
    <w:abstractNumId w:val="3"/>
  </w:num>
  <w:num w:numId="4">
    <w:abstractNumId w:val="2"/>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0"/>
  <w:bordersDoNotSurroundFooter w:val="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dit="trackedChanges" w:enforcement="0"/>
  <w:defaultTabStop w:val="42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GQzODNlZjVmNTZjZWMzODU5M2Y2NDMyYmI5MDRmYjUifQ=="/>
  </w:docVars>
  <w:rsids>
    <w:rsidRoot w:val="00A14947"/>
    <w:rsid w:val="000021F4"/>
    <w:rsid w:val="000060B3"/>
    <w:rsid w:val="000069E9"/>
    <w:rsid w:val="00010126"/>
    <w:rsid w:val="00010A72"/>
    <w:rsid w:val="000140AA"/>
    <w:rsid w:val="0001785B"/>
    <w:rsid w:val="00017F3E"/>
    <w:rsid w:val="00020202"/>
    <w:rsid w:val="000204C8"/>
    <w:rsid w:val="00020CB1"/>
    <w:rsid w:val="000233A6"/>
    <w:rsid w:val="0002478C"/>
    <w:rsid w:val="00024ABE"/>
    <w:rsid w:val="00026255"/>
    <w:rsid w:val="00026C71"/>
    <w:rsid w:val="00027F55"/>
    <w:rsid w:val="000314E3"/>
    <w:rsid w:val="000350C5"/>
    <w:rsid w:val="00036DE9"/>
    <w:rsid w:val="0004275E"/>
    <w:rsid w:val="0004364B"/>
    <w:rsid w:val="000442FD"/>
    <w:rsid w:val="00046DE6"/>
    <w:rsid w:val="000473B0"/>
    <w:rsid w:val="0005000F"/>
    <w:rsid w:val="000500E4"/>
    <w:rsid w:val="00052087"/>
    <w:rsid w:val="000542F4"/>
    <w:rsid w:val="00055DBB"/>
    <w:rsid w:val="00056029"/>
    <w:rsid w:val="000561EE"/>
    <w:rsid w:val="000600C2"/>
    <w:rsid w:val="00060DE2"/>
    <w:rsid w:val="0006150B"/>
    <w:rsid w:val="00061B1F"/>
    <w:rsid w:val="00061CE8"/>
    <w:rsid w:val="00062CF0"/>
    <w:rsid w:val="0006392A"/>
    <w:rsid w:val="000641C2"/>
    <w:rsid w:val="000705EC"/>
    <w:rsid w:val="00071E49"/>
    <w:rsid w:val="00071E64"/>
    <w:rsid w:val="00071F73"/>
    <w:rsid w:val="00072D03"/>
    <w:rsid w:val="000733C4"/>
    <w:rsid w:val="00073E57"/>
    <w:rsid w:val="00074783"/>
    <w:rsid w:val="00074C06"/>
    <w:rsid w:val="000760F1"/>
    <w:rsid w:val="00076EC7"/>
    <w:rsid w:val="0007768B"/>
    <w:rsid w:val="0008070B"/>
    <w:rsid w:val="00080B83"/>
    <w:rsid w:val="000810AC"/>
    <w:rsid w:val="00081A02"/>
    <w:rsid w:val="00081F1E"/>
    <w:rsid w:val="00082231"/>
    <w:rsid w:val="00082722"/>
    <w:rsid w:val="00085DC5"/>
    <w:rsid w:val="00087CE5"/>
    <w:rsid w:val="00091951"/>
    <w:rsid w:val="00091F25"/>
    <w:rsid w:val="0009210F"/>
    <w:rsid w:val="00092D38"/>
    <w:rsid w:val="0009377B"/>
    <w:rsid w:val="00093EDE"/>
    <w:rsid w:val="000955C7"/>
    <w:rsid w:val="000A037B"/>
    <w:rsid w:val="000A046A"/>
    <w:rsid w:val="000A0AB1"/>
    <w:rsid w:val="000A0D3A"/>
    <w:rsid w:val="000A1760"/>
    <w:rsid w:val="000A1BA9"/>
    <w:rsid w:val="000A20C9"/>
    <w:rsid w:val="000A39A3"/>
    <w:rsid w:val="000A6322"/>
    <w:rsid w:val="000A7567"/>
    <w:rsid w:val="000B058F"/>
    <w:rsid w:val="000B24A9"/>
    <w:rsid w:val="000B2F74"/>
    <w:rsid w:val="000B353F"/>
    <w:rsid w:val="000B35A7"/>
    <w:rsid w:val="000B38B7"/>
    <w:rsid w:val="000B4061"/>
    <w:rsid w:val="000B4467"/>
    <w:rsid w:val="000B4B14"/>
    <w:rsid w:val="000B4DB9"/>
    <w:rsid w:val="000B61F2"/>
    <w:rsid w:val="000B6321"/>
    <w:rsid w:val="000C04A1"/>
    <w:rsid w:val="000C09AC"/>
    <w:rsid w:val="000C2481"/>
    <w:rsid w:val="000C40CC"/>
    <w:rsid w:val="000C42B2"/>
    <w:rsid w:val="000C4D5E"/>
    <w:rsid w:val="000C5387"/>
    <w:rsid w:val="000C5EE0"/>
    <w:rsid w:val="000C767F"/>
    <w:rsid w:val="000D1005"/>
    <w:rsid w:val="000D2BB4"/>
    <w:rsid w:val="000D315B"/>
    <w:rsid w:val="000D32CF"/>
    <w:rsid w:val="000D4CA3"/>
    <w:rsid w:val="000D5A44"/>
    <w:rsid w:val="000D6611"/>
    <w:rsid w:val="000E086E"/>
    <w:rsid w:val="000E1F51"/>
    <w:rsid w:val="000E263F"/>
    <w:rsid w:val="000E3A16"/>
    <w:rsid w:val="000E3ED2"/>
    <w:rsid w:val="000E43CC"/>
    <w:rsid w:val="000E5F46"/>
    <w:rsid w:val="000E7BEF"/>
    <w:rsid w:val="000E7D33"/>
    <w:rsid w:val="000F4112"/>
    <w:rsid w:val="000F63FC"/>
    <w:rsid w:val="000F71FD"/>
    <w:rsid w:val="000F7C0F"/>
    <w:rsid w:val="001004BA"/>
    <w:rsid w:val="00100D19"/>
    <w:rsid w:val="00101669"/>
    <w:rsid w:val="00101D66"/>
    <w:rsid w:val="00103005"/>
    <w:rsid w:val="00103D95"/>
    <w:rsid w:val="00105BA8"/>
    <w:rsid w:val="00107447"/>
    <w:rsid w:val="00110784"/>
    <w:rsid w:val="00112D88"/>
    <w:rsid w:val="001130DB"/>
    <w:rsid w:val="00115774"/>
    <w:rsid w:val="00116383"/>
    <w:rsid w:val="00122FC7"/>
    <w:rsid w:val="00124608"/>
    <w:rsid w:val="00124C00"/>
    <w:rsid w:val="0012568F"/>
    <w:rsid w:val="001258ED"/>
    <w:rsid w:val="00131F42"/>
    <w:rsid w:val="00132839"/>
    <w:rsid w:val="0013346D"/>
    <w:rsid w:val="001352DC"/>
    <w:rsid w:val="001357F1"/>
    <w:rsid w:val="00140B17"/>
    <w:rsid w:val="00140B4E"/>
    <w:rsid w:val="00140FA8"/>
    <w:rsid w:val="001413F6"/>
    <w:rsid w:val="0014236C"/>
    <w:rsid w:val="00142449"/>
    <w:rsid w:val="00142FEB"/>
    <w:rsid w:val="00143A2D"/>
    <w:rsid w:val="00143B90"/>
    <w:rsid w:val="00145A41"/>
    <w:rsid w:val="00146D6D"/>
    <w:rsid w:val="00147331"/>
    <w:rsid w:val="00150473"/>
    <w:rsid w:val="00150C0B"/>
    <w:rsid w:val="00150F66"/>
    <w:rsid w:val="00151675"/>
    <w:rsid w:val="00151D55"/>
    <w:rsid w:val="00152105"/>
    <w:rsid w:val="001541E4"/>
    <w:rsid w:val="00154581"/>
    <w:rsid w:val="00154718"/>
    <w:rsid w:val="00154ECA"/>
    <w:rsid w:val="00156A65"/>
    <w:rsid w:val="00156AEF"/>
    <w:rsid w:val="001570F5"/>
    <w:rsid w:val="00157435"/>
    <w:rsid w:val="00161B66"/>
    <w:rsid w:val="001630DB"/>
    <w:rsid w:val="00163362"/>
    <w:rsid w:val="00163A32"/>
    <w:rsid w:val="00164EF0"/>
    <w:rsid w:val="00164F6B"/>
    <w:rsid w:val="00166B10"/>
    <w:rsid w:val="00166C21"/>
    <w:rsid w:val="00167D7F"/>
    <w:rsid w:val="001701B3"/>
    <w:rsid w:val="001721D2"/>
    <w:rsid w:val="00172E89"/>
    <w:rsid w:val="00173866"/>
    <w:rsid w:val="0017504D"/>
    <w:rsid w:val="0017671A"/>
    <w:rsid w:val="001767FC"/>
    <w:rsid w:val="00177422"/>
    <w:rsid w:val="001777C6"/>
    <w:rsid w:val="001779DF"/>
    <w:rsid w:val="00177EA4"/>
    <w:rsid w:val="00183DE4"/>
    <w:rsid w:val="00184590"/>
    <w:rsid w:val="00184BB6"/>
    <w:rsid w:val="001870D1"/>
    <w:rsid w:val="0018711B"/>
    <w:rsid w:val="0018781E"/>
    <w:rsid w:val="0019262D"/>
    <w:rsid w:val="0019455A"/>
    <w:rsid w:val="001957F5"/>
    <w:rsid w:val="00195DB3"/>
    <w:rsid w:val="0019786C"/>
    <w:rsid w:val="001A1B35"/>
    <w:rsid w:val="001A3FD0"/>
    <w:rsid w:val="001A4837"/>
    <w:rsid w:val="001A48A2"/>
    <w:rsid w:val="001A48CB"/>
    <w:rsid w:val="001A6F61"/>
    <w:rsid w:val="001B1B65"/>
    <w:rsid w:val="001B2985"/>
    <w:rsid w:val="001B29D3"/>
    <w:rsid w:val="001B31EB"/>
    <w:rsid w:val="001B72B8"/>
    <w:rsid w:val="001C1058"/>
    <w:rsid w:val="001C269F"/>
    <w:rsid w:val="001C69B3"/>
    <w:rsid w:val="001C6C5B"/>
    <w:rsid w:val="001C6FC3"/>
    <w:rsid w:val="001C6FDD"/>
    <w:rsid w:val="001C7D07"/>
    <w:rsid w:val="001D005E"/>
    <w:rsid w:val="001D0231"/>
    <w:rsid w:val="001D24EA"/>
    <w:rsid w:val="001D43C8"/>
    <w:rsid w:val="001D5595"/>
    <w:rsid w:val="001D7428"/>
    <w:rsid w:val="001D7874"/>
    <w:rsid w:val="001D7F22"/>
    <w:rsid w:val="001E0839"/>
    <w:rsid w:val="001E2EB2"/>
    <w:rsid w:val="001E435B"/>
    <w:rsid w:val="001F0F17"/>
    <w:rsid w:val="001F1016"/>
    <w:rsid w:val="001F2222"/>
    <w:rsid w:val="001F3347"/>
    <w:rsid w:val="001F3D9A"/>
    <w:rsid w:val="001F4F51"/>
    <w:rsid w:val="001F5D26"/>
    <w:rsid w:val="001F69E4"/>
    <w:rsid w:val="001F6D56"/>
    <w:rsid w:val="001F799C"/>
    <w:rsid w:val="00200553"/>
    <w:rsid w:val="0020074B"/>
    <w:rsid w:val="0020259F"/>
    <w:rsid w:val="00203331"/>
    <w:rsid w:val="00203795"/>
    <w:rsid w:val="002069A8"/>
    <w:rsid w:val="002070F2"/>
    <w:rsid w:val="0020728B"/>
    <w:rsid w:val="002075FA"/>
    <w:rsid w:val="00207C03"/>
    <w:rsid w:val="00210662"/>
    <w:rsid w:val="002119A1"/>
    <w:rsid w:val="00212127"/>
    <w:rsid w:val="002125B4"/>
    <w:rsid w:val="0021277A"/>
    <w:rsid w:val="00213023"/>
    <w:rsid w:val="00213D79"/>
    <w:rsid w:val="002143AB"/>
    <w:rsid w:val="002155B8"/>
    <w:rsid w:val="00217877"/>
    <w:rsid w:val="00220D44"/>
    <w:rsid w:val="002214D4"/>
    <w:rsid w:val="00221607"/>
    <w:rsid w:val="00222673"/>
    <w:rsid w:val="00224839"/>
    <w:rsid w:val="002249B2"/>
    <w:rsid w:val="00226026"/>
    <w:rsid w:val="00226574"/>
    <w:rsid w:val="002278EC"/>
    <w:rsid w:val="00230035"/>
    <w:rsid w:val="00231558"/>
    <w:rsid w:val="0023280E"/>
    <w:rsid w:val="00234154"/>
    <w:rsid w:val="002349C1"/>
    <w:rsid w:val="00236F2B"/>
    <w:rsid w:val="002377D1"/>
    <w:rsid w:val="00237DD4"/>
    <w:rsid w:val="00240904"/>
    <w:rsid w:val="00240F01"/>
    <w:rsid w:val="0024482A"/>
    <w:rsid w:val="002453AB"/>
    <w:rsid w:val="0025008D"/>
    <w:rsid w:val="002506BC"/>
    <w:rsid w:val="00254345"/>
    <w:rsid w:val="0025734E"/>
    <w:rsid w:val="002612B5"/>
    <w:rsid w:val="00261351"/>
    <w:rsid w:val="00261676"/>
    <w:rsid w:val="0026179E"/>
    <w:rsid w:val="002633CE"/>
    <w:rsid w:val="00263798"/>
    <w:rsid w:val="00263A69"/>
    <w:rsid w:val="00264557"/>
    <w:rsid w:val="00264F16"/>
    <w:rsid w:val="00265622"/>
    <w:rsid w:val="00266290"/>
    <w:rsid w:val="00266BE9"/>
    <w:rsid w:val="0026751D"/>
    <w:rsid w:val="00270A46"/>
    <w:rsid w:val="002737B1"/>
    <w:rsid w:val="00273CE4"/>
    <w:rsid w:val="0027698B"/>
    <w:rsid w:val="002805AB"/>
    <w:rsid w:val="00280E05"/>
    <w:rsid w:val="00280F11"/>
    <w:rsid w:val="00284187"/>
    <w:rsid w:val="00284204"/>
    <w:rsid w:val="00286467"/>
    <w:rsid w:val="00286F85"/>
    <w:rsid w:val="00290294"/>
    <w:rsid w:val="00290CA1"/>
    <w:rsid w:val="00291773"/>
    <w:rsid w:val="00291C12"/>
    <w:rsid w:val="002929F0"/>
    <w:rsid w:val="00293C05"/>
    <w:rsid w:val="0029659C"/>
    <w:rsid w:val="00297DF5"/>
    <w:rsid w:val="002A0388"/>
    <w:rsid w:val="002A0E78"/>
    <w:rsid w:val="002A1587"/>
    <w:rsid w:val="002A168C"/>
    <w:rsid w:val="002A377E"/>
    <w:rsid w:val="002A3DC7"/>
    <w:rsid w:val="002A488A"/>
    <w:rsid w:val="002A594A"/>
    <w:rsid w:val="002A62F7"/>
    <w:rsid w:val="002A6B99"/>
    <w:rsid w:val="002A7ADC"/>
    <w:rsid w:val="002B0226"/>
    <w:rsid w:val="002B0A35"/>
    <w:rsid w:val="002B1B75"/>
    <w:rsid w:val="002B49E2"/>
    <w:rsid w:val="002B4D60"/>
    <w:rsid w:val="002B505A"/>
    <w:rsid w:val="002B792D"/>
    <w:rsid w:val="002B7B00"/>
    <w:rsid w:val="002B7C44"/>
    <w:rsid w:val="002C1638"/>
    <w:rsid w:val="002C1E06"/>
    <w:rsid w:val="002C2B17"/>
    <w:rsid w:val="002C2C9E"/>
    <w:rsid w:val="002C3075"/>
    <w:rsid w:val="002C38D4"/>
    <w:rsid w:val="002C4D3B"/>
    <w:rsid w:val="002C4FE2"/>
    <w:rsid w:val="002C6224"/>
    <w:rsid w:val="002D1F24"/>
    <w:rsid w:val="002D269A"/>
    <w:rsid w:val="002D3927"/>
    <w:rsid w:val="002D3DD0"/>
    <w:rsid w:val="002D477A"/>
    <w:rsid w:val="002D55F8"/>
    <w:rsid w:val="002D581E"/>
    <w:rsid w:val="002D5D13"/>
    <w:rsid w:val="002D5F58"/>
    <w:rsid w:val="002D7815"/>
    <w:rsid w:val="002E1ABE"/>
    <w:rsid w:val="002E1E5A"/>
    <w:rsid w:val="002E1F3A"/>
    <w:rsid w:val="002E298A"/>
    <w:rsid w:val="002E53A2"/>
    <w:rsid w:val="002E5EA4"/>
    <w:rsid w:val="002E6D6D"/>
    <w:rsid w:val="002F0CD9"/>
    <w:rsid w:val="002F2A6C"/>
    <w:rsid w:val="002F2FBB"/>
    <w:rsid w:val="002F391E"/>
    <w:rsid w:val="002F481D"/>
    <w:rsid w:val="002F494E"/>
    <w:rsid w:val="002F77E2"/>
    <w:rsid w:val="00301978"/>
    <w:rsid w:val="00302C45"/>
    <w:rsid w:val="0030332C"/>
    <w:rsid w:val="0030419B"/>
    <w:rsid w:val="00304220"/>
    <w:rsid w:val="003051C2"/>
    <w:rsid w:val="00305702"/>
    <w:rsid w:val="00305ABB"/>
    <w:rsid w:val="00306511"/>
    <w:rsid w:val="00306C82"/>
    <w:rsid w:val="003100CE"/>
    <w:rsid w:val="00310C1B"/>
    <w:rsid w:val="00310FE3"/>
    <w:rsid w:val="003116B4"/>
    <w:rsid w:val="00312296"/>
    <w:rsid w:val="00312DC6"/>
    <w:rsid w:val="00312F05"/>
    <w:rsid w:val="00314F0E"/>
    <w:rsid w:val="0031676B"/>
    <w:rsid w:val="00321C43"/>
    <w:rsid w:val="00321D8E"/>
    <w:rsid w:val="00322E61"/>
    <w:rsid w:val="00322EC2"/>
    <w:rsid w:val="0032325B"/>
    <w:rsid w:val="003254BD"/>
    <w:rsid w:val="00325928"/>
    <w:rsid w:val="00326406"/>
    <w:rsid w:val="003278A6"/>
    <w:rsid w:val="00332863"/>
    <w:rsid w:val="003344F3"/>
    <w:rsid w:val="00335A98"/>
    <w:rsid w:val="00335E76"/>
    <w:rsid w:val="0033684D"/>
    <w:rsid w:val="003371B3"/>
    <w:rsid w:val="00337B42"/>
    <w:rsid w:val="0034149D"/>
    <w:rsid w:val="00341B42"/>
    <w:rsid w:val="00341ECC"/>
    <w:rsid w:val="003429EA"/>
    <w:rsid w:val="0034348F"/>
    <w:rsid w:val="00346326"/>
    <w:rsid w:val="00346D32"/>
    <w:rsid w:val="00346F45"/>
    <w:rsid w:val="0035099E"/>
    <w:rsid w:val="00350A77"/>
    <w:rsid w:val="00350D16"/>
    <w:rsid w:val="003534F7"/>
    <w:rsid w:val="00353F1D"/>
    <w:rsid w:val="003546F6"/>
    <w:rsid w:val="0035478F"/>
    <w:rsid w:val="003556B3"/>
    <w:rsid w:val="00356653"/>
    <w:rsid w:val="0035743F"/>
    <w:rsid w:val="0035787F"/>
    <w:rsid w:val="00357BE2"/>
    <w:rsid w:val="0036170C"/>
    <w:rsid w:val="003635AA"/>
    <w:rsid w:val="00365244"/>
    <w:rsid w:val="00365789"/>
    <w:rsid w:val="00366673"/>
    <w:rsid w:val="00366E0F"/>
    <w:rsid w:val="0036722C"/>
    <w:rsid w:val="003715F7"/>
    <w:rsid w:val="00372519"/>
    <w:rsid w:val="003725AA"/>
    <w:rsid w:val="003728E1"/>
    <w:rsid w:val="00374D04"/>
    <w:rsid w:val="0037634C"/>
    <w:rsid w:val="00377373"/>
    <w:rsid w:val="00380F86"/>
    <w:rsid w:val="00381766"/>
    <w:rsid w:val="00381A72"/>
    <w:rsid w:val="00381BE0"/>
    <w:rsid w:val="00383887"/>
    <w:rsid w:val="00384676"/>
    <w:rsid w:val="003872CD"/>
    <w:rsid w:val="003903CE"/>
    <w:rsid w:val="00390857"/>
    <w:rsid w:val="003921F0"/>
    <w:rsid w:val="00393933"/>
    <w:rsid w:val="00394350"/>
    <w:rsid w:val="00396215"/>
    <w:rsid w:val="003A016C"/>
    <w:rsid w:val="003A0387"/>
    <w:rsid w:val="003A09A2"/>
    <w:rsid w:val="003A3508"/>
    <w:rsid w:val="003A3DAF"/>
    <w:rsid w:val="003A487E"/>
    <w:rsid w:val="003A4BF3"/>
    <w:rsid w:val="003A783C"/>
    <w:rsid w:val="003B3EB8"/>
    <w:rsid w:val="003B420D"/>
    <w:rsid w:val="003B4489"/>
    <w:rsid w:val="003B4ED9"/>
    <w:rsid w:val="003B5393"/>
    <w:rsid w:val="003B76F8"/>
    <w:rsid w:val="003B7B07"/>
    <w:rsid w:val="003C15B9"/>
    <w:rsid w:val="003C24E9"/>
    <w:rsid w:val="003C25B2"/>
    <w:rsid w:val="003C51D7"/>
    <w:rsid w:val="003C64FE"/>
    <w:rsid w:val="003C6C16"/>
    <w:rsid w:val="003C787B"/>
    <w:rsid w:val="003D0078"/>
    <w:rsid w:val="003D077F"/>
    <w:rsid w:val="003D1025"/>
    <w:rsid w:val="003D16A0"/>
    <w:rsid w:val="003D343F"/>
    <w:rsid w:val="003D381B"/>
    <w:rsid w:val="003D3EDF"/>
    <w:rsid w:val="003D5541"/>
    <w:rsid w:val="003D7452"/>
    <w:rsid w:val="003D794D"/>
    <w:rsid w:val="003D7D0F"/>
    <w:rsid w:val="003E0432"/>
    <w:rsid w:val="003E2DBF"/>
    <w:rsid w:val="003E3058"/>
    <w:rsid w:val="003E57B6"/>
    <w:rsid w:val="003E6522"/>
    <w:rsid w:val="003E76A9"/>
    <w:rsid w:val="003F0809"/>
    <w:rsid w:val="003F2BFD"/>
    <w:rsid w:val="003F32AD"/>
    <w:rsid w:val="003F50D7"/>
    <w:rsid w:val="003F6A8C"/>
    <w:rsid w:val="003F6F7F"/>
    <w:rsid w:val="003F755C"/>
    <w:rsid w:val="00400DBD"/>
    <w:rsid w:val="004034CA"/>
    <w:rsid w:val="004050DE"/>
    <w:rsid w:val="0040567F"/>
    <w:rsid w:val="004059CB"/>
    <w:rsid w:val="00406037"/>
    <w:rsid w:val="0040653E"/>
    <w:rsid w:val="00406F01"/>
    <w:rsid w:val="00407FB2"/>
    <w:rsid w:val="00407FE5"/>
    <w:rsid w:val="00411C6B"/>
    <w:rsid w:val="00412079"/>
    <w:rsid w:val="004157D6"/>
    <w:rsid w:val="00416B92"/>
    <w:rsid w:val="00416D50"/>
    <w:rsid w:val="00416FD5"/>
    <w:rsid w:val="00417772"/>
    <w:rsid w:val="00417F1F"/>
    <w:rsid w:val="0042008F"/>
    <w:rsid w:val="004204BC"/>
    <w:rsid w:val="004204FA"/>
    <w:rsid w:val="00420E6A"/>
    <w:rsid w:val="00422752"/>
    <w:rsid w:val="004236F8"/>
    <w:rsid w:val="00423ABA"/>
    <w:rsid w:val="00425A9E"/>
    <w:rsid w:val="00426D1C"/>
    <w:rsid w:val="00426D6B"/>
    <w:rsid w:val="00427B29"/>
    <w:rsid w:val="00430D75"/>
    <w:rsid w:val="004312C1"/>
    <w:rsid w:val="00431E6C"/>
    <w:rsid w:val="00432FE5"/>
    <w:rsid w:val="004335B5"/>
    <w:rsid w:val="00433712"/>
    <w:rsid w:val="00433CE7"/>
    <w:rsid w:val="00433F70"/>
    <w:rsid w:val="00434805"/>
    <w:rsid w:val="00434BD8"/>
    <w:rsid w:val="004353A8"/>
    <w:rsid w:val="00435822"/>
    <w:rsid w:val="004360F2"/>
    <w:rsid w:val="00436F8B"/>
    <w:rsid w:val="0044346B"/>
    <w:rsid w:val="00443CC9"/>
    <w:rsid w:val="00444256"/>
    <w:rsid w:val="00444A6B"/>
    <w:rsid w:val="00444B44"/>
    <w:rsid w:val="004453AB"/>
    <w:rsid w:val="00445767"/>
    <w:rsid w:val="00446829"/>
    <w:rsid w:val="004468F1"/>
    <w:rsid w:val="00446F85"/>
    <w:rsid w:val="00452738"/>
    <w:rsid w:val="004531E0"/>
    <w:rsid w:val="004534B4"/>
    <w:rsid w:val="00453F2E"/>
    <w:rsid w:val="004554AB"/>
    <w:rsid w:val="004557E9"/>
    <w:rsid w:val="00456091"/>
    <w:rsid w:val="004606FA"/>
    <w:rsid w:val="00460F43"/>
    <w:rsid w:val="00461034"/>
    <w:rsid w:val="004613D6"/>
    <w:rsid w:val="00461AA9"/>
    <w:rsid w:val="0046365D"/>
    <w:rsid w:val="00464097"/>
    <w:rsid w:val="00464224"/>
    <w:rsid w:val="00464C9B"/>
    <w:rsid w:val="00466321"/>
    <w:rsid w:val="00466912"/>
    <w:rsid w:val="00466A9C"/>
    <w:rsid w:val="0047049F"/>
    <w:rsid w:val="004705A3"/>
    <w:rsid w:val="00471514"/>
    <w:rsid w:val="00471BBB"/>
    <w:rsid w:val="00472409"/>
    <w:rsid w:val="004726B2"/>
    <w:rsid w:val="00473124"/>
    <w:rsid w:val="00473E53"/>
    <w:rsid w:val="00474C1A"/>
    <w:rsid w:val="00475145"/>
    <w:rsid w:val="004760B0"/>
    <w:rsid w:val="0047696F"/>
    <w:rsid w:val="00477192"/>
    <w:rsid w:val="00480644"/>
    <w:rsid w:val="00480927"/>
    <w:rsid w:val="00480FEB"/>
    <w:rsid w:val="004829F0"/>
    <w:rsid w:val="00484B9B"/>
    <w:rsid w:val="004855F6"/>
    <w:rsid w:val="0048661E"/>
    <w:rsid w:val="00487957"/>
    <w:rsid w:val="004912AF"/>
    <w:rsid w:val="00494670"/>
    <w:rsid w:val="00497716"/>
    <w:rsid w:val="00497B22"/>
    <w:rsid w:val="004A0D85"/>
    <w:rsid w:val="004A2CB7"/>
    <w:rsid w:val="004A3057"/>
    <w:rsid w:val="004A3823"/>
    <w:rsid w:val="004A4548"/>
    <w:rsid w:val="004A7982"/>
    <w:rsid w:val="004B2677"/>
    <w:rsid w:val="004B31A9"/>
    <w:rsid w:val="004B7EE8"/>
    <w:rsid w:val="004C0FCD"/>
    <w:rsid w:val="004C128F"/>
    <w:rsid w:val="004C12B1"/>
    <w:rsid w:val="004C29CC"/>
    <w:rsid w:val="004C2A55"/>
    <w:rsid w:val="004C2E0E"/>
    <w:rsid w:val="004C34E2"/>
    <w:rsid w:val="004C3517"/>
    <w:rsid w:val="004C379C"/>
    <w:rsid w:val="004C4BC0"/>
    <w:rsid w:val="004C4CBA"/>
    <w:rsid w:val="004C765E"/>
    <w:rsid w:val="004D4881"/>
    <w:rsid w:val="004D4A65"/>
    <w:rsid w:val="004D63A5"/>
    <w:rsid w:val="004D71FE"/>
    <w:rsid w:val="004E1275"/>
    <w:rsid w:val="004E2091"/>
    <w:rsid w:val="004E3058"/>
    <w:rsid w:val="004E3314"/>
    <w:rsid w:val="004E4AB7"/>
    <w:rsid w:val="004E5317"/>
    <w:rsid w:val="004E5D48"/>
    <w:rsid w:val="004E6946"/>
    <w:rsid w:val="004F0523"/>
    <w:rsid w:val="004F1AD8"/>
    <w:rsid w:val="004F1C5B"/>
    <w:rsid w:val="004F3644"/>
    <w:rsid w:val="00500513"/>
    <w:rsid w:val="005039CB"/>
    <w:rsid w:val="005042D0"/>
    <w:rsid w:val="00504A23"/>
    <w:rsid w:val="0050558F"/>
    <w:rsid w:val="005059C7"/>
    <w:rsid w:val="00505ED3"/>
    <w:rsid w:val="00506286"/>
    <w:rsid w:val="005076EA"/>
    <w:rsid w:val="00507E08"/>
    <w:rsid w:val="00507FCD"/>
    <w:rsid w:val="00510813"/>
    <w:rsid w:val="00511990"/>
    <w:rsid w:val="00511DE0"/>
    <w:rsid w:val="00511DFD"/>
    <w:rsid w:val="005129BE"/>
    <w:rsid w:val="00512A40"/>
    <w:rsid w:val="00513301"/>
    <w:rsid w:val="00514455"/>
    <w:rsid w:val="00514870"/>
    <w:rsid w:val="00514B9B"/>
    <w:rsid w:val="005171E4"/>
    <w:rsid w:val="00517604"/>
    <w:rsid w:val="00517F02"/>
    <w:rsid w:val="00520374"/>
    <w:rsid w:val="0052263C"/>
    <w:rsid w:val="00522B43"/>
    <w:rsid w:val="00522D41"/>
    <w:rsid w:val="00523EED"/>
    <w:rsid w:val="00524303"/>
    <w:rsid w:val="00524417"/>
    <w:rsid w:val="00525129"/>
    <w:rsid w:val="00525606"/>
    <w:rsid w:val="005258A2"/>
    <w:rsid w:val="00525F8E"/>
    <w:rsid w:val="00526B5A"/>
    <w:rsid w:val="005275D7"/>
    <w:rsid w:val="0052794B"/>
    <w:rsid w:val="00531A1F"/>
    <w:rsid w:val="0053287A"/>
    <w:rsid w:val="0053429D"/>
    <w:rsid w:val="00534FB0"/>
    <w:rsid w:val="00536C94"/>
    <w:rsid w:val="005379EB"/>
    <w:rsid w:val="005401AE"/>
    <w:rsid w:val="00540CCE"/>
    <w:rsid w:val="00542E07"/>
    <w:rsid w:val="00542E71"/>
    <w:rsid w:val="00543FB8"/>
    <w:rsid w:val="00544E97"/>
    <w:rsid w:val="00545424"/>
    <w:rsid w:val="005460A6"/>
    <w:rsid w:val="005473BA"/>
    <w:rsid w:val="00550C93"/>
    <w:rsid w:val="00551B67"/>
    <w:rsid w:val="00553E84"/>
    <w:rsid w:val="0055428C"/>
    <w:rsid w:val="0055437B"/>
    <w:rsid w:val="005545D4"/>
    <w:rsid w:val="00554A7B"/>
    <w:rsid w:val="0055572C"/>
    <w:rsid w:val="0056106A"/>
    <w:rsid w:val="005639CC"/>
    <w:rsid w:val="005645D7"/>
    <w:rsid w:val="00565C6F"/>
    <w:rsid w:val="00567E86"/>
    <w:rsid w:val="005712DA"/>
    <w:rsid w:val="00571821"/>
    <w:rsid w:val="00571B28"/>
    <w:rsid w:val="005720AE"/>
    <w:rsid w:val="0057220A"/>
    <w:rsid w:val="0057419F"/>
    <w:rsid w:val="0058088B"/>
    <w:rsid w:val="005820D0"/>
    <w:rsid w:val="005825D8"/>
    <w:rsid w:val="00584373"/>
    <w:rsid w:val="00586720"/>
    <w:rsid w:val="0058760E"/>
    <w:rsid w:val="00587970"/>
    <w:rsid w:val="00587E94"/>
    <w:rsid w:val="00593059"/>
    <w:rsid w:val="00594D77"/>
    <w:rsid w:val="005969E4"/>
    <w:rsid w:val="00597CA3"/>
    <w:rsid w:val="005A06B7"/>
    <w:rsid w:val="005A0D2E"/>
    <w:rsid w:val="005A0E55"/>
    <w:rsid w:val="005A10B1"/>
    <w:rsid w:val="005A13D3"/>
    <w:rsid w:val="005A1759"/>
    <w:rsid w:val="005A2B60"/>
    <w:rsid w:val="005A32D0"/>
    <w:rsid w:val="005A4A65"/>
    <w:rsid w:val="005A502F"/>
    <w:rsid w:val="005A514E"/>
    <w:rsid w:val="005A648D"/>
    <w:rsid w:val="005A68A7"/>
    <w:rsid w:val="005A707B"/>
    <w:rsid w:val="005A74DA"/>
    <w:rsid w:val="005B572E"/>
    <w:rsid w:val="005B5B4F"/>
    <w:rsid w:val="005B65C3"/>
    <w:rsid w:val="005C0F80"/>
    <w:rsid w:val="005C21DA"/>
    <w:rsid w:val="005C26E3"/>
    <w:rsid w:val="005C2965"/>
    <w:rsid w:val="005C498B"/>
    <w:rsid w:val="005C7027"/>
    <w:rsid w:val="005C7FB2"/>
    <w:rsid w:val="005D36AB"/>
    <w:rsid w:val="005D5D7C"/>
    <w:rsid w:val="005D6945"/>
    <w:rsid w:val="005D71CE"/>
    <w:rsid w:val="005D755E"/>
    <w:rsid w:val="005D7DEE"/>
    <w:rsid w:val="005D7E37"/>
    <w:rsid w:val="005E0A2A"/>
    <w:rsid w:val="005E0C43"/>
    <w:rsid w:val="005E25CF"/>
    <w:rsid w:val="005E25E5"/>
    <w:rsid w:val="005E3923"/>
    <w:rsid w:val="005E3B53"/>
    <w:rsid w:val="005E7EEB"/>
    <w:rsid w:val="005F044E"/>
    <w:rsid w:val="005F08B7"/>
    <w:rsid w:val="005F0D0A"/>
    <w:rsid w:val="005F132A"/>
    <w:rsid w:val="005F2AEB"/>
    <w:rsid w:val="005F2B1C"/>
    <w:rsid w:val="005F36AC"/>
    <w:rsid w:val="005F3A31"/>
    <w:rsid w:val="005F4122"/>
    <w:rsid w:val="00600B4F"/>
    <w:rsid w:val="0060107F"/>
    <w:rsid w:val="00604066"/>
    <w:rsid w:val="00611704"/>
    <w:rsid w:val="00612D02"/>
    <w:rsid w:val="006141B6"/>
    <w:rsid w:val="00614792"/>
    <w:rsid w:val="006162B9"/>
    <w:rsid w:val="00617CC3"/>
    <w:rsid w:val="00617F03"/>
    <w:rsid w:val="0062146B"/>
    <w:rsid w:val="00621E10"/>
    <w:rsid w:val="006251B4"/>
    <w:rsid w:val="00626F7F"/>
    <w:rsid w:val="00630BCF"/>
    <w:rsid w:val="0063381A"/>
    <w:rsid w:val="00634C86"/>
    <w:rsid w:val="00634D5C"/>
    <w:rsid w:val="00636900"/>
    <w:rsid w:val="00637126"/>
    <w:rsid w:val="006377A6"/>
    <w:rsid w:val="00637A3D"/>
    <w:rsid w:val="00640AFC"/>
    <w:rsid w:val="006411EF"/>
    <w:rsid w:val="00641450"/>
    <w:rsid w:val="00643FA0"/>
    <w:rsid w:val="00644C38"/>
    <w:rsid w:val="00646C91"/>
    <w:rsid w:val="006520D9"/>
    <w:rsid w:val="006537FB"/>
    <w:rsid w:val="0065504C"/>
    <w:rsid w:val="0066033E"/>
    <w:rsid w:val="00660FFB"/>
    <w:rsid w:val="00661261"/>
    <w:rsid w:val="00661BDA"/>
    <w:rsid w:val="00664731"/>
    <w:rsid w:val="006669F0"/>
    <w:rsid w:val="0066721F"/>
    <w:rsid w:val="0067017A"/>
    <w:rsid w:val="00670ABC"/>
    <w:rsid w:val="00671240"/>
    <w:rsid w:val="0067172F"/>
    <w:rsid w:val="00671C79"/>
    <w:rsid w:val="00671E33"/>
    <w:rsid w:val="00672B07"/>
    <w:rsid w:val="00673016"/>
    <w:rsid w:val="006748B8"/>
    <w:rsid w:val="00676A9D"/>
    <w:rsid w:val="006775C3"/>
    <w:rsid w:val="00677AF1"/>
    <w:rsid w:val="00677B5B"/>
    <w:rsid w:val="00680356"/>
    <w:rsid w:val="00682A10"/>
    <w:rsid w:val="00683FEF"/>
    <w:rsid w:val="006851BF"/>
    <w:rsid w:val="00685EEB"/>
    <w:rsid w:val="00687A98"/>
    <w:rsid w:val="00687E12"/>
    <w:rsid w:val="006923F2"/>
    <w:rsid w:val="0069290A"/>
    <w:rsid w:val="00692A93"/>
    <w:rsid w:val="00693F86"/>
    <w:rsid w:val="00694832"/>
    <w:rsid w:val="00694B07"/>
    <w:rsid w:val="006962F5"/>
    <w:rsid w:val="0069708D"/>
    <w:rsid w:val="00697322"/>
    <w:rsid w:val="0069775A"/>
    <w:rsid w:val="00697813"/>
    <w:rsid w:val="006A210B"/>
    <w:rsid w:val="006A2952"/>
    <w:rsid w:val="006A3EE8"/>
    <w:rsid w:val="006A4360"/>
    <w:rsid w:val="006A618C"/>
    <w:rsid w:val="006A72BF"/>
    <w:rsid w:val="006A7D5B"/>
    <w:rsid w:val="006B01DE"/>
    <w:rsid w:val="006B03F2"/>
    <w:rsid w:val="006B13CA"/>
    <w:rsid w:val="006B22E3"/>
    <w:rsid w:val="006B2B3B"/>
    <w:rsid w:val="006B3438"/>
    <w:rsid w:val="006B37DC"/>
    <w:rsid w:val="006B3C82"/>
    <w:rsid w:val="006B4F68"/>
    <w:rsid w:val="006B6037"/>
    <w:rsid w:val="006B6CC9"/>
    <w:rsid w:val="006C0005"/>
    <w:rsid w:val="006C0592"/>
    <w:rsid w:val="006C0A3F"/>
    <w:rsid w:val="006C0E4E"/>
    <w:rsid w:val="006C0E5F"/>
    <w:rsid w:val="006C1032"/>
    <w:rsid w:val="006C272E"/>
    <w:rsid w:val="006C36F9"/>
    <w:rsid w:val="006C5479"/>
    <w:rsid w:val="006C6BDC"/>
    <w:rsid w:val="006C6EBB"/>
    <w:rsid w:val="006D13B5"/>
    <w:rsid w:val="006D37F5"/>
    <w:rsid w:val="006D43E4"/>
    <w:rsid w:val="006D4F2B"/>
    <w:rsid w:val="006D4F32"/>
    <w:rsid w:val="006D503E"/>
    <w:rsid w:val="006D6143"/>
    <w:rsid w:val="006D7CCD"/>
    <w:rsid w:val="006E12FF"/>
    <w:rsid w:val="006E2A1A"/>
    <w:rsid w:val="006E2A6A"/>
    <w:rsid w:val="006E4E2A"/>
    <w:rsid w:val="006E5288"/>
    <w:rsid w:val="006E5622"/>
    <w:rsid w:val="006E59F4"/>
    <w:rsid w:val="006E607E"/>
    <w:rsid w:val="006F038A"/>
    <w:rsid w:val="006F0442"/>
    <w:rsid w:val="006F06F6"/>
    <w:rsid w:val="006F0E3E"/>
    <w:rsid w:val="006F1017"/>
    <w:rsid w:val="006F3D42"/>
    <w:rsid w:val="006F6DBB"/>
    <w:rsid w:val="00700F9A"/>
    <w:rsid w:val="00701740"/>
    <w:rsid w:val="007018CC"/>
    <w:rsid w:val="007030B9"/>
    <w:rsid w:val="00704995"/>
    <w:rsid w:val="00705D93"/>
    <w:rsid w:val="0070662C"/>
    <w:rsid w:val="00706C5D"/>
    <w:rsid w:val="00710057"/>
    <w:rsid w:val="007109B5"/>
    <w:rsid w:val="007132A4"/>
    <w:rsid w:val="0071407B"/>
    <w:rsid w:val="00715B58"/>
    <w:rsid w:val="0071697F"/>
    <w:rsid w:val="00717A24"/>
    <w:rsid w:val="0072086D"/>
    <w:rsid w:val="00720AA7"/>
    <w:rsid w:val="00721EAA"/>
    <w:rsid w:val="0072210B"/>
    <w:rsid w:val="00724DAD"/>
    <w:rsid w:val="00730639"/>
    <w:rsid w:val="0073165C"/>
    <w:rsid w:val="00732648"/>
    <w:rsid w:val="00732922"/>
    <w:rsid w:val="007336AD"/>
    <w:rsid w:val="0073632D"/>
    <w:rsid w:val="007368E9"/>
    <w:rsid w:val="0074491A"/>
    <w:rsid w:val="00744AB3"/>
    <w:rsid w:val="00744F4C"/>
    <w:rsid w:val="007454BD"/>
    <w:rsid w:val="007456F4"/>
    <w:rsid w:val="00745E35"/>
    <w:rsid w:val="007466CF"/>
    <w:rsid w:val="007505C0"/>
    <w:rsid w:val="00751216"/>
    <w:rsid w:val="0075162E"/>
    <w:rsid w:val="007516BC"/>
    <w:rsid w:val="00752086"/>
    <w:rsid w:val="0075263D"/>
    <w:rsid w:val="00754034"/>
    <w:rsid w:val="0075577C"/>
    <w:rsid w:val="00756556"/>
    <w:rsid w:val="00757E80"/>
    <w:rsid w:val="007606F1"/>
    <w:rsid w:val="00761667"/>
    <w:rsid w:val="007618C4"/>
    <w:rsid w:val="00762B8D"/>
    <w:rsid w:val="00763243"/>
    <w:rsid w:val="007651BC"/>
    <w:rsid w:val="00765409"/>
    <w:rsid w:val="007662F0"/>
    <w:rsid w:val="007666C7"/>
    <w:rsid w:val="00766A33"/>
    <w:rsid w:val="00766B89"/>
    <w:rsid w:val="00767980"/>
    <w:rsid w:val="007679E1"/>
    <w:rsid w:val="00770B19"/>
    <w:rsid w:val="00770F74"/>
    <w:rsid w:val="00771024"/>
    <w:rsid w:val="00771FEB"/>
    <w:rsid w:val="00772597"/>
    <w:rsid w:val="007743C3"/>
    <w:rsid w:val="0077463F"/>
    <w:rsid w:val="00775238"/>
    <w:rsid w:val="007777FC"/>
    <w:rsid w:val="00780098"/>
    <w:rsid w:val="00781169"/>
    <w:rsid w:val="007836EA"/>
    <w:rsid w:val="00783E36"/>
    <w:rsid w:val="00784743"/>
    <w:rsid w:val="00784A38"/>
    <w:rsid w:val="00784B32"/>
    <w:rsid w:val="00784CDA"/>
    <w:rsid w:val="007853FE"/>
    <w:rsid w:val="007864B3"/>
    <w:rsid w:val="00787103"/>
    <w:rsid w:val="007904D8"/>
    <w:rsid w:val="00790586"/>
    <w:rsid w:val="007906C4"/>
    <w:rsid w:val="00790D13"/>
    <w:rsid w:val="00791269"/>
    <w:rsid w:val="00791AB6"/>
    <w:rsid w:val="0079240A"/>
    <w:rsid w:val="0079241B"/>
    <w:rsid w:val="00792639"/>
    <w:rsid w:val="007940EA"/>
    <w:rsid w:val="007967E8"/>
    <w:rsid w:val="00796978"/>
    <w:rsid w:val="00796CBF"/>
    <w:rsid w:val="007A054D"/>
    <w:rsid w:val="007A10F1"/>
    <w:rsid w:val="007A1737"/>
    <w:rsid w:val="007A2170"/>
    <w:rsid w:val="007A22BF"/>
    <w:rsid w:val="007A2CC6"/>
    <w:rsid w:val="007A3236"/>
    <w:rsid w:val="007A3323"/>
    <w:rsid w:val="007A5354"/>
    <w:rsid w:val="007A5CB1"/>
    <w:rsid w:val="007A6B0B"/>
    <w:rsid w:val="007B2022"/>
    <w:rsid w:val="007B2A6B"/>
    <w:rsid w:val="007B2C2F"/>
    <w:rsid w:val="007B2EAF"/>
    <w:rsid w:val="007B3466"/>
    <w:rsid w:val="007B51C5"/>
    <w:rsid w:val="007B5A22"/>
    <w:rsid w:val="007B5F6F"/>
    <w:rsid w:val="007B72B8"/>
    <w:rsid w:val="007B7968"/>
    <w:rsid w:val="007B7A58"/>
    <w:rsid w:val="007C18A0"/>
    <w:rsid w:val="007C198A"/>
    <w:rsid w:val="007C21B5"/>
    <w:rsid w:val="007C296E"/>
    <w:rsid w:val="007C3DE3"/>
    <w:rsid w:val="007C4AC6"/>
    <w:rsid w:val="007C5486"/>
    <w:rsid w:val="007C6651"/>
    <w:rsid w:val="007C78C4"/>
    <w:rsid w:val="007D2228"/>
    <w:rsid w:val="007D54B3"/>
    <w:rsid w:val="007D54DF"/>
    <w:rsid w:val="007D6637"/>
    <w:rsid w:val="007D7480"/>
    <w:rsid w:val="007E2EB5"/>
    <w:rsid w:val="007E45C4"/>
    <w:rsid w:val="007E4BD2"/>
    <w:rsid w:val="007E67A7"/>
    <w:rsid w:val="007E6BA7"/>
    <w:rsid w:val="007E7731"/>
    <w:rsid w:val="007E77B2"/>
    <w:rsid w:val="007E7BFF"/>
    <w:rsid w:val="007F03A9"/>
    <w:rsid w:val="007F16ED"/>
    <w:rsid w:val="007F1AFD"/>
    <w:rsid w:val="007F1B14"/>
    <w:rsid w:val="007F6BC8"/>
    <w:rsid w:val="007F6EA0"/>
    <w:rsid w:val="00801393"/>
    <w:rsid w:val="00801C9D"/>
    <w:rsid w:val="00802F88"/>
    <w:rsid w:val="008031B1"/>
    <w:rsid w:val="008034F6"/>
    <w:rsid w:val="00804478"/>
    <w:rsid w:val="00805CCF"/>
    <w:rsid w:val="00806943"/>
    <w:rsid w:val="00806E1C"/>
    <w:rsid w:val="00807D37"/>
    <w:rsid w:val="00810C20"/>
    <w:rsid w:val="00811B0B"/>
    <w:rsid w:val="0081293E"/>
    <w:rsid w:val="00814F58"/>
    <w:rsid w:val="00815465"/>
    <w:rsid w:val="0081629F"/>
    <w:rsid w:val="00816CAD"/>
    <w:rsid w:val="00817E9A"/>
    <w:rsid w:val="00821F0E"/>
    <w:rsid w:val="00823649"/>
    <w:rsid w:val="008237B7"/>
    <w:rsid w:val="00824908"/>
    <w:rsid w:val="00825DA8"/>
    <w:rsid w:val="008306BD"/>
    <w:rsid w:val="00831A5F"/>
    <w:rsid w:val="00831A80"/>
    <w:rsid w:val="00831DCD"/>
    <w:rsid w:val="008329DA"/>
    <w:rsid w:val="00833743"/>
    <w:rsid w:val="008340A4"/>
    <w:rsid w:val="008345C2"/>
    <w:rsid w:val="00835C45"/>
    <w:rsid w:val="00837036"/>
    <w:rsid w:val="00840054"/>
    <w:rsid w:val="008406B1"/>
    <w:rsid w:val="00841690"/>
    <w:rsid w:val="00843092"/>
    <w:rsid w:val="00843799"/>
    <w:rsid w:val="0084382A"/>
    <w:rsid w:val="0084545D"/>
    <w:rsid w:val="00845B09"/>
    <w:rsid w:val="008466F2"/>
    <w:rsid w:val="00850240"/>
    <w:rsid w:val="00851D51"/>
    <w:rsid w:val="00853438"/>
    <w:rsid w:val="0085389E"/>
    <w:rsid w:val="008559B7"/>
    <w:rsid w:val="00855FB9"/>
    <w:rsid w:val="00860E0C"/>
    <w:rsid w:val="008611BA"/>
    <w:rsid w:val="008619BB"/>
    <w:rsid w:val="0086306A"/>
    <w:rsid w:val="008630A3"/>
    <w:rsid w:val="00863CB8"/>
    <w:rsid w:val="008647D7"/>
    <w:rsid w:val="00866FB1"/>
    <w:rsid w:val="008671D5"/>
    <w:rsid w:val="0087135F"/>
    <w:rsid w:val="008713F2"/>
    <w:rsid w:val="0087166B"/>
    <w:rsid w:val="00871BDF"/>
    <w:rsid w:val="00872777"/>
    <w:rsid w:val="00872D94"/>
    <w:rsid w:val="00875492"/>
    <w:rsid w:val="00875E30"/>
    <w:rsid w:val="00876E52"/>
    <w:rsid w:val="00877540"/>
    <w:rsid w:val="00880364"/>
    <w:rsid w:val="008843BA"/>
    <w:rsid w:val="00885B38"/>
    <w:rsid w:val="00886246"/>
    <w:rsid w:val="00886A71"/>
    <w:rsid w:val="00887557"/>
    <w:rsid w:val="00887C8F"/>
    <w:rsid w:val="00891592"/>
    <w:rsid w:val="008916CB"/>
    <w:rsid w:val="00891E9E"/>
    <w:rsid w:val="00892078"/>
    <w:rsid w:val="00892DBD"/>
    <w:rsid w:val="00893FD3"/>
    <w:rsid w:val="00894AB0"/>
    <w:rsid w:val="00897219"/>
    <w:rsid w:val="008A07AE"/>
    <w:rsid w:val="008A2F68"/>
    <w:rsid w:val="008A3643"/>
    <w:rsid w:val="008A4078"/>
    <w:rsid w:val="008A46C7"/>
    <w:rsid w:val="008A681A"/>
    <w:rsid w:val="008A7BFC"/>
    <w:rsid w:val="008B1F6A"/>
    <w:rsid w:val="008B30F1"/>
    <w:rsid w:val="008B4FA6"/>
    <w:rsid w:val="008B5282"/>
    <w:rsid w:val="008B63FF"/>
    <w:rsid w:val="008B7269"/>
    <w:rsid w:val="008B73F6"/>
    <w:rsid w:val="008B7C17"/>
    <w:rsid w:val="008B7D83"/>
    <w:rsid w:val="008C0713"/>
    <w:rsid w:val="008C1AA7"/>
    <w:rsid w:val="008C29A8"/>
    <w:rsid w:val="008C2D01"/>
    <w:rsid w:val="008C3D1A"/>
    <w:rsid w:val="008C4088"/>
    <w:rsid w:val="008C40E6"/>
    <w:rsid w:val="008C60EC"/>
    <w:rsid w:val="008C7704"/>
    <w:rsid w:val="008C7959"/>
    <w:rsid w:val="008D0F7A"/>
    <w:rsid w:val="008D19D8"/>
    <w:rsid w:val="008D2130"/>
    <w:rsid w:val="008D2680"/>
    <w:rsid w:val="008D3812"/>
    <w:rsid w:val="008D487D"/>
    <w:rsid w:val="008D628D"/>
    <w:rsid w:val="008D68E4"/>
    <w:rsid w:val="008E020A"/>
    <w:rsid w:val="008E0506"/>
    <w:rsid w:val="008E0945"/>
    <w:rsid w:val="008E0CFF"/>
    <w:rsid w:val="008E320E"/>
    <w:rsid w:val="008E4032"/>
    <w:rsid w:val="008E53C2"/>
    <w:rsid w:val="008E5D6B"/>
    <w:rsid w:val="008E6214"/>
    <w:rsid w:val="008E76F0"/>
    <w:rsid w:val="008F0E8D"/>
    <w:rsid w:val="008F15FE"/>
    <w:rsid w:val="008F1617"/>
    <w:rsid w:val="008F1AD7"/>
    <w:rsid w:val="008F2D29"/>
    <w:rsid w:val="008F3257"/>
    <w:rsid w:val="008F3642"/>
    <w:rsid w:val="008F3FDF"/>
    <w:rsid w:val="008F4DBD"/>
    <w:rsid w:val="008F4F7D"/>
    <w:rsid w:val="008F5187"/>
    <w:rsid w:val="008F59B1"/>
    <w:rsid w:val="008F60D8"/>
    <w:rsid w:val="008F77CE"/>
    <w:rsid w:val="00901C99"/>
    <w:rsid w:val="009023CA"/>
    <w:rsid w:val="00902727"/>
    <w:rsid w:val="0090312B"/>
    <w:rsid w:val="0090339C"/>
    <w:rsid w:val="00903D56"/>
    <w:rsid w:val="00904901"/>
    <w:rsid w:val="00905998"/>
    <w:rsid w:val="0090688E"/>
    <w:rsid w:val="009073AD"/>
    <w:rsid w:val="009076FB"/>
    <w:rsid w:val="00910E8D"/>
    <w:rsid w:val="009112A8"/>
    <w:rsid w:val="00911E22"/>
    <w:rsid w:val="00912152"/>
    <w:rsid w:val="00914C2C"/>
    <w:rsid w:val="0091736D"/>
    <w:rsid w:val="00920CC8"/>
    <w:rsid w:val="00923C98"/>
    <w:rsid w:val="00926B2B"/>
    <w:rsid w:val="00927BCA"/>
    <w:rsid w:val="0093037A"/>
    <w:rsid w:val="009313A0"/>
    <w:rsid w:val="0093191F"/>
    <w:rsid w:val="00932722"/>
    <w:rsid w:val="00933D42"/>
    <w:rsid w:val="00933E24"/>
    <w:rsid w:val="00934ADE"/>
    <w:rsid w:val="00934D44"/>
    <w:rsid w:val="00935630"/>
    <w:rsid w:val="009401B8"/>
    <w:rsid w:val="0094154D"/>
    <w:rsid w:val="00943626"/>
    <w:rsid w:val="00943EC8"/>
    <w:rsid w:val="009443C0"/>
    <w:rsid w:val="009453A3"/>
    <w:rsid w:val="00946EA3"/>
    <w:rsid w:val="0094757B"/>
    <w:rsid w:val="00950156"/>
    <w:rsid w:val="0095155F"/>
    <w:rsid w:val="009517AF"/>
    <w:rsid w:val="00954429"/>
    <w:rsid w:val="009563CE"/>
    <w:rsid w:val="00961A60"/>
    <w:rsid w:val="0096234A"/>
    <w:rsid w:val="00962C91"/>
    <w:rsid w:val="00962EA5"/>
    <w:rsid w:val="00964CF0"/>
    <w:rsid w:val="00965D49"/>
    <w:rsid w:val="00967E16"/>
    <w:rsid w:val="00973835"/>
    <w:rsid w:val="00974F1D"/>
    <w:rsid w:val="00975E9B"/>
    <w:rsid w:val="00976328"/>
    <w:rsid w:val="0097680D"/>
    <w:rsid w:val="009775A9"/>
    <w:rsid w:val="009808F6"/>
    <w:rsid w:val="00982438"/>
    <w:rsid w:val="0098404C"/>
    <w:rsid w:val="0098442A"/>
    <w:rsid w:val="0098492A"/>
    <w:rsid w:val="00985283"/>
    <w:rsid w:val="00986A4B"/>
    <w:rsid w:val="00995992"/>
    <w:rsid w:val="009968AE"/>
    <w:rsid w:val="00996D5E"/>
    <w:rsid w:val="009A0303"/>
    <w:rsid w:val="009A03E5"/>
    <w:rsid w:val="009A0F3B"/>
    <w:rsid w:val="009A1BB4"/>
    <w:rsid w:val="009A2628"/>
    <w:rsid w:val="009A2EF7"/>
    <w:rsid w:val="009A3200"/>
    <w:rsid w:val="009A464A"/>
    <w:rsid w:val="009A46DE"/>
    <w:rsid w:val="009A53C9"/>
    <w:rsid w:val="009A5954"/>
    <w:rsid w:val="009B0259"/>
    <w:rsid w:val="009B0897"/>
    <w:rsid w:val="009B58DC"/>
    <w:rsid w:val="009B6C3A"/>
    <w:rsid w:val="009B7BD9"/>
    <w:rsid w:val="009C0040"/>
    <w:rsid w:val="009C1013"/>
    <w:rsid w:val="009C2974"/>
    <w:rsid w:val="009C354C"/>
    <w:rsid w:val="009C438D"/>
    <w:rsid w:val="009C4815"/>
    <w:rsid w:val="009C5905"/>
    <w:rsid w:val="009C5EB2"/>
    <w:rsid w:val="009C6F7A"/>
    <w:rsid w:val="009C7DD5"/>
    <w:rsid w:val="009C7ECB"/>
    <w:rsid w:val="009C7FEB"/>
    <w:rsid w:val="009D197B"/>
    <w:rsid w:val="009D1C5E"/>
    <w:rsid w:val="009D1EDE"/>
    <w:rsid w:val="009D348A"/>
    <w:rsid w:val="009D3BE2"/>
    <w:rsid w:val="009D426F"/>
    <w:rsid w:val="009D6A83"/>
    <w:rsid w:val="009E0638"/>
    <w:rsid w:val="009E0B4B"/>
    <w:rsid w:val="009E124B"/>
    <w:rsid w:val="009E227D"/>
    <w:rsid w:val="009E2940"/>
    <w:rsid w:val="009E2EAB"/>
    <w:rsid w:val="009E5019"/>
    <w:rsid w:val="009E59BF"/>
    <w:rsid w:val="009E6291"/>
    <w:rsid w:val="009E64C5"/>
    <w:rsid w:val="009E6667"/>
    <w:rsid w:val="009E7E61"/>
    <w:rsid w:val="009F1862"/>
    <w:rsid w:val="009F1DAC"/>
    <w:rsid w:val="009F1FD1"/>
    <w:rsid w:val="009F43E1"/>
    <w:rsid w:val="009F5889"/>
    <w:rsid w:val="009F7140"/>
    <w:rsid w:val="009F7878"/>
    <w:rsid w:val="009F7E07"/>
    <w:rsid w:val="00A00324"/>
    <w:rsid w:val="00A013CA"/>
    <w:rsid w:val="00A03B23"/>
    <w:rsid w:val="00A04F1B"/>
    <w:rsid w:val="00A0501B"/>
    <w:rsid w:val="00A054D4"/>
    <w:rsid w:val="00A062CF"/>
    <w:rsid w:val="00A06C39"/>
    <w:rsid w:val="00A07DB8"/>
    <w:rsid w:val="00A1155D"/>
    <w:rsid w:val="00A11786"/>
    <w:rsid w:val="00A13361"/>
    <w:rsid w:val="00A14947"/>
    <w:rsid w:val="00A1685F"/>
    <w:rsid w:val="00A17013"/>
    <w:rsid w:val="00A174D7"/>
    <w:rsid w:val="00A20075"/>
    <w:rsid w:val="00A21010"/>
    <w:rsid w:val="00A23577"/>
    <w:rsid w:val="00A248EE"/>
    <w:rsid w:val="00A24B1B"/>
    <w:rsid w:val="00A30226"/>
    <w:rsid w:val="00A30CD6"/>
    <w:rsid w:val="00A3244D"/>
    <w:rsid w:val="00A32A83"/>
    <w:rsid w:val="00A34127"/>
    <w:rsid w:val="00A35238"/>
    <w:rsid w:val="00A35BA7"/>
    <w:rsid w:val="00A3609B"/>
    <w:rsid w:val="00A368DB"/>
    <w:rsid w:val="00A36C65"/>
    <w:rsid w:val="00A41722"/>
    <w:rsid w:val="00A420C2"/>
    <w:rsid w:val="00A423AA"/>
    <w:rsid w:val="00A458DA"/>
    <w:rsid w:val="00A47E10"/>
    <w:rsid w:val="00A47F9A"/>
    <w:rsid w:val="00A51D16"/>
    <w:rsid w:val="00A53EC6"/>
    <w:rsid w:val="00A54AB7"/>
    <w:rsid w:val="00A55C0F"/>
    <w:rsid w:val="00A55C5C"/>
    <w:rsid w:val="00A55FF5"/>
    <w:rsid w:val="00A61D26"/>
    <w:rsid w:val="00A61FD2"/>
    <w:rsid w:val="00A627A0"/>
    <w:rsid w:val="00A62C58"/>
    <w:rsid w:val="00A63321"/>
    <w:rsid w:val="00A650FA"/>
    <w:rsid w:val="00A66A38"/>
    <w:rsid w:val="00A677F5"/>
    <w:rsid w:val="00A7283B"/>
    <w:rsid w:val="00A73893"/>
    <w:rsid w:val="00A7618E"/>
    <w:rsid w:val="00A7668F"/>
    <w:rsid w:val="00A76B4F"/>
    <w:rsid w:val="00A77215"/>
    <w:rsid w:val="00A80A08"/>
    <w:rsid w:val="00A80BEF"/>
    <w:rsid w:val="00A82831"/>
    <w:rsid w:val="00A83177"/>
    <w:rsid w:val="00A85C41"/>
    <w:rsid w:val="00A866D8"/>
    <w:rsid w:val="00A8713F"/>
    <w:rsid w:val="00A90BA1"/>
    <w:rsid w:val="00A93BEB"/>
    <w:rsid w:val="00A95964"/>
    <w:rsid w:val="00A95BCF"/>
    <w:rsid w:val="00A97A9A"/>
    <w:rsid w:val="00AA0671"/>
    <w:rsid w:val="00AA2531"/>
    <w:rsid w:val="00AA34E0"/>
    <w:rsid w:val="00AA4271"/>
    <w:rsid w:val="00AA511C"/>
    <w:rsid w:val="00AA5490"/>
    <w:rsid w:val="00AA736B"/>
    <w:rsid w:val="00AA7DF1"/>
    <w:rsid w:val="00AA7FDC"/>
    <w:rsid w:val="00AB0518"/>
    <w:rsid w:val="00AB0B3E"/>
    <w:rsid w:val="00AB1E09"/>
    <w:rsid w:val="00AB306B"/>
    <w:rsid w:val="00AB3B18"/>
    <w:rsid w:val="00AB4C1F"/>
    <w:rsid w:val="00AB4DBF"/>
    <w:rsid w:val="00AB5330"/>
    <w:rsid w:val="00AB74D6"/>
    <w:rsid w:val="00AB7747"/>
    <w:rsid w:val="00AC14CE"/>
    <w:rsid w:val="00AC24A5"/>
    <w:rsid w:val="00AC2A56"/>
    <w:rsid w:val="00AC2EC2"/>
    <w:rsid w:val="00AC429D"/>
    <w:rsid w:val="00AC719A"/>
    <w:rsid w:val="00AC76FC"/>
    <w:rsid w:val="00AD034A"/>
    <w:rsid w:val="00AD055E"/>
    <w:rsid w:val="00AD1A11"/>
    <w:rsid w:val="00AD259B"/>
    <w:rsid w:val="00AD304C"/>
    <w:rsid w:val="00AD3B15"/>
    <w:rsid w:val="00AD3E7D"/>
    <w:rsid w:val="00AD406B"/>
    <w:rsid w:val="00AD47A7"/>
    <w:rsid w:val="00AD51D5"/>
    <w:rsid w:val="00AD5AF9"/>
    <w:rsid w:val="00AD76E0"/>
    <w:rsid w:val="00AE38B9"/>
    <w:rsid w:val="00AE3A88"/>
    <w:rsid w:val="00AE4086"/>
    <w:rsid w:val="00AE5426"/>
    <w:rsid w:val="00AE5CE6"/>
    <w:rsid w:val="00AE7C21"/>
    <w:rsid w:val="00AF0CBF"/>
    <w:rsid w:val="00AF1B54"/>
    <w:rsid w:val="00AF257F"/>
    <w:rsid w:val="00AF2898"/>
    <w:rsid w:val="00AF33CF"/>
    <w:rsid w:val="00AF4738"/>
    <w:rsid w:val="00AF4892"/>
    <w:rsid w:val="00AF4D50"/>
    <w:rsid w:val="00AF5CAA"/>
    <w:rsid w:val="00AF6179"/>
    <w:rsid w:val="00AF639E"/>
    <w:rsid w:val="00AF6617"/>
    <w:rsid w:val="00AF722B"/>
    <w:rsid w:val="00AF7311"/>
    <w:rsid w:val="00AF7A4C"/>
    <w:rsid w:val="00AF7EAA"/>
    <w:rsid w:val="00B0043C"/>
    <w:rsid w:val="00B0100D"/>
    <w:rsid w:val="00B03235"/>
    <w:rsid w:val="00B06F8D"/>
    <w:rsid w:val="00B106E0"/>
    <w:rsid w:val="00B11A77"/>
    <w:rsid w:val="00B1295A"/>
    <w:rsid w:val="00B13085"/>
    <w:rsid w:val="00B13B43"/>
    <w:rsid w:val="00B1572A"/>
    <w:rsid w:val="00B15DCC"/>
    <w:rsid w:val="00B20A45"/>
    <w:rsid w:val="00B2267A"/>
    <w:rsid w:val="00B22B3A"/>
    <w:rsid w:val="00B22C5C"/>
    <w:rsid w:val="00B232C0"/>
    <w:rsid w:val="00B23355"/>
    <w:rsid w:val="00B24F30"/>
    <w:rsid w:val="00B270CD"/>
    <w:rsid w:val="00B304BD"/>
    <w:rsid w:val="00B31ABF"/>
    <w:rsid w:val="00B33BE3"/>
    <w:rsid w:val="00B34E60"/>
    <w:rsid w:val="00B373B4"/>
    <w:rsid w:val="00B4146B"/>
    <w:rsid w:val="00B43139"/>
    <w:rsid w:val="00B4361C"/>
    <w:rsid w:val="00B44AAD"/>
    <w:rsid w:val="00B46CE4"/>
    <w:rsid w:val="00B50E45"/>
    <w:rsid w:val="00B51399"/>
    <w:rsid w:val="00B52D11"/>
    <w:rsid w:val="00B53291"/>
    <w:rsid w:val="00B53B5D"/>
    <w:rsid w:val="00B54782"/>
    <w:rsid w:val="00B56014"/>
    <w:rsid w:val="00B56BEB"/>
    <w:rsid w:val="00B6055E"/>
    <w:rsid w:val="00B61E28"/>
    <w:rsid w:val="00B62D69"/>
    <w:rsid w:val="00B6317D"/>
    <w:rsid w:val="00B63618"/>
    <w:rsid w:val="00B6624B"/>
    <w:rsid w:val="00B6714B"/>
    <w:rsid w:val="00B6776C"/>
    <w:rsid w:val="00B710DC"/>
    <w:rsid w:val="00B713CC"/>
    <w:rsid w:val="00B71D1C"/>
    <w:rsid w:val="00B72073"/>
    <w:rsid w:val="00B74E0F"/>
    <w:rsid w:val="00B76A89"/>
    <w:rsid w:val="00B7723F"/>
    <w:rsid w:val="00B80534"/>
    <w:rsid w:val="00B80AF6"/>
    <w:rsid w:val="00B80CF5"/>
    <w:rsid w:val="00B81071"/>
    <w:rsid w:val="00B8433C"/>
    <w:rsid w:val="00B86353"/>
    <w:rsid w:val="00B87491"/>
    <w:rsid w:val="00B87AC3"/>
    <w:rsid w:val="00B87F78"/>
    <w:rsid w:val="00B9073C"/>
    <w:rsid w:val="00B90D82"/>
    <w:rsid w:val="00B9137D"/>
    <w:rsid w:val="00B91ACE"/>
    <w:rsid w:val="00B91ED4"/>
    <w:rsid w:val="00B9218A"/>
    <w:rsid w:val="00B92390"/>
    <w:rsid w:val="00B92576"/>
    <w:rsid w:val="00B92CE2"/>
    <w:rsid w:val="00B946C9"/>
    <w:rsid w:val="00B96CE3"/>
    <w:rsid w:val="00B97D87"/>
    <w:rsid w:val="00BA01CC"/>
    <w:rsid w:val="00BA29E9"/>
    <w:rsid w:val="00BA361B"/>
    <w:rsid w:val="00BA3BE8"/>
    <w:rsid w:val="00BA3F4A"/>
    <w:rsid w:val="00BA4EF7"/>
    <w:rsid w:val="00BA4F00"/>
    <w:rsid w:val="00BA55C8"/>
    <w:rsid w:val="00BA5DCE"/>
    <w:rsid w:val="00BA5E1E"/>
    <w:rsid w:val="00BA61D4"/>
    <w:rsid w:val="00BA7142"/>
    <w:rsid w:val="00BA77D6"/>
    <w:rsid w:val="00BB18F1"/>
    <w:rsid w:val="00BB237C"/>
    <w:rsid w:val="00BB2C8A"/>
    <w:rsid w:val="00BB34DA"/>
    <w:rsid w:val="00BB41A3"/>
    <w:rsid w:val="00BB7778"/>
    <w:rsid w:val="00BB79D7"/>
    <w:rsid w:val="00BC003A"/>
    <w:rsid w:val="00BC0194"/>
    <w:rsid w:val="00BC0531"/>
    <w:rsid w:val="00BC1ED5"/>
    <w:rsid w:val="00BC2CCC"/>
    <w:rsid w:val="00BC32DC"/>
    <w:rsid w:val="00BC35B6"/>
    <w:rsid w:val="00BC3848"/>
    <w:rsid w:val="00BC4D0E"/>
    <w:rsid w:val="00BC5BEF"/>
    <w:rsid w:val="00BC6CC9"/>
    <w:rsid w:val="00BC7150"/>
    <w:rsid w:val="00BD1B51"/>
    <w:rsid w:val="00BD4596"/>
    <w:rsid w:val="00BD49C9"/>
    <w:rsid w:val="00BD537D"/>
    <w:rsid w:val="00BD6739"/>
    <w:rsid w:val="00BD6BAC"/>
    <w:rsid w:val="00BE1405"/>
    <w:rsid w:val="00BE2CC0"/>
    <w:rsid w:val="00BE312D"/>
    <w:rsid w:val="00BF0405"/>
    <w:rsid w:val="00BF1C20"/>
    <w:rsid w:val="00BF4B64"/>
    <w:rsid w:val="00BF7DD3"/>
    <w:rsid w:val="00C01C84"/>
    <w:rsid w:val="00C02960"/>
    <w:rsid w:val="00C040A2"/>
    <w:rsid w:val="00C07953"/>
    <w:rsid w:val="00C10578"/>
    <w:rsid w:val="00C12A89"/>
    <w:rsid w:val="00C12E83"/>
    <w:rsid w:val="00C135BC"/>
    <w:rsid w:val="00C13EEC"/>
    <w:rsid w:val="00C15C95"/>
    <w:rsid w:val="00C16B07"/>
    <w:rsid w:val="00C16D60"/>
    <w:rsid w:val="00C20194"/>
    <w:rsid w:val="00C21EC8"/>
    <w:rsid w:val="00C23786"/>
    <w:rsid w:val="00C2397E"/>
    <w:rsid w:val="00C2596A"/>
    <w:rsid w:val="00C261A4"/>
    <w:rsid w:val="00C27537"/>
    <w:rsid w:val="00C31B16"/>
    <w:rsid w:val="00C31D04"/>
    <w:rsid w:val="00C328FE"/>
    <w:rsid w:val="00C33507"/>
    <w:rsid w:val="00C3527F"/>
    <w:rsid w:val="00C3576E"/>
    <w:rsid w:val="00C359A0"/>
    <w:rsid w:val="00C3606E"/>
    <w:rsid w:val="00C4409D"/>
    <w:rsid w:val="00C440D1"/>
    <w:rsid w:val="00C44E72"/>
    <w:rsid w:val="00C45A06"/>
    <w:rsid w:val="00C46D94"/>
    <w:rsid w:val="00C47E5B"/>
    <w:rsid w:val="00C524F9"/>
    <w:rsid w:val="00C53023"/>
    <w:rsid w:val="00C5320E"/>
    <w:rsid w:val="00C543CE"/>
    <w:rsid w:val="00C54801"/>
    <w:rsid w:val="00C560B8"/>
    <w:rsid w:val="00C61D78"/>
    <w:rsid w:val="00C61E4B"/>
    <w:rsid w:val="00C64BFF"/>
    <w:rsid w:val="00C661C4"/>
    <w:rsid w:val="00C67520"/>
    <w:rsid w:val="00C704E9"/>
    <w:rsid w:val="00C72F9D"/>
    <w:rsid w:val="00C740B3"/>
    <w:rsid w:val="00C74CC5"/>
    <w:rsid w:val="00C74ED0"/>
    <w:rsid w:val="00C756D6"/>
    <w:rsid w:val="00C763C9"/>
    <w:rsid w:val="00C7700C"/>
    <w:rsid w:val="00C775E4"/>
    <w:rsid w:val="00C8003B"/>
    <w:rsid w:val="00C80057"/>
    <w:rsid w:val="00C809C1"/>
    <w:rsid w:val="00C82232"/>
    <w:rsid w:val="00C82407"/>
    <w:rsid w:val="00C82913"/>
    <w:rsid w:val="00C82D25"/>
    <w:rsid w:val="00C84951"/>
    <w:rsid w:val="00C8578E"/>
    <w:rsid w:val="00C8626D"/>
    <w:rsid w:val="00C93370"/>
    <w:rsid w:val="00C9509B"/>
    <w:rsid w:val="00C95E62"/>
    <w:rsid w:val="00C95F49"/>
    <w:rsid w:val="00C972B1"/>
    <w:rsid w:val="00C9756B"/>
    <w:rsid w:val="00CA0DC7"/>
    <w:rsid w:val="00CA2229"/>
    <w:rsid w:val="00CA22A9"/>
    <w:rsid w:val="00CA2CCE"/>
    <w:rsid w:val="00CA3304"/>
    <w:rsid w:val="00CA43FD"/>
    <w:rsid w:val="00CA5FDA"/>
    <w:rsid w:val="00CA644E"/>
    <w:rsid w:val="00CA686F"/>
    <w:rsid w:val="00CA75BA"/>
    <w:rsid w:val="00CA7EF8"/>
    <w:rsid w:val="00CB0ED4"/>
    <w:rsid w:val="00CB2EE1"/>
    <w:rsid w:val="00CB52A1"/>
    <w:rsid w:val="00CB52F8"/>
    <w:rsid w:val="00CB5F5B"/>
    <w:rsid w:val="00CB7988"/>
    <w:rsid w:val="00CC0CE5"/>
    <w:rsid w:val="00CC0FCD"/>
    <w:rsid w:val="00CC16FE"/>
    <w:rsid w:val="00CC17E6"/>
    <w:rsid w:val="00CC304F"/>
    <w:rsid w:val="00CC489B"/>
    <w:rsid w:val="00CC4AA9"/>
    <w:rsid w:val="00CC55A0"/>
    <w:rsid w:val="00CC7380"/>
    <w:rsid w:val="00CC7805"/>
    <w:rsid w:val="00CD0654"/>
    <w:rsid w:val="00CD2BCD"/>
    <w:rsid w:val="00CD3A4C"/>
    <w:rsid w:val="00CD4A7E"/>
    <w:rsid w:val="00CD60BB"/>
    <w:rsid w:val="00CE10E9"/>
    <w:rsid w:val="00CE2910"/>
    <w:rsid w:val="00CE2B2C"/>
    <w:rsid w:val="00CE2F77"/>
    <w:rsid w:val="00CE32DE"/>
    <w:rsid w:val="00CE48A6"/>
    <w:rsid w:val="00CE4F8F"/>
    <w:rsid w:val="00CE5393"/>
    <w:rsid w:val="00CE5B44"/>
    <w:rsid w:val="00CE70C7"/>
    <w:rsid w:val="00CF01E9"/>
    <w:rsid w:val="00CF1220"/>
    <w:rsid w:val="00CF1842"/>
    <w:rsid w:val="00CF1906"/>
    <w:rsid w:val="00CF2573"/>
    <w:rsid w:val="00CF30E1"/>
    <w:rsid w:val="00CF36BE"/>
    <w:rsid w:val="00CF376F"/>
    <w:rsid w:val="00CF495C"/>
    <w:rsid w:val="00CF53B2"/>
    <w:rsid w:val="00CF6000"/>
    <w:rsid w:val="00D003F3"/>
    <w:rsid w:val="00D0364F"/>
    <w:rsid w:val="00D03695"/>
    <w:rsid w:val="00D04AE9"/>
    <w:rsid w:val="00D04D6D"/>
    <w:rsid w:val="00D04D87"/>
    <w:rsid w:val="00D06834"/>
    <w:rsid w:val="00D075A2"/>
    <w:rsid w:val="00D140D2"/>
    <w:rsid w:val="00D1422F"/>
    <w:rsid w:val="00D14BF1"/>
    <w:rsid w:val="00D151EB"/>
    <w:rsid w:val="00D15645"/>
    <w:rsid w:val="00D21A89"/>
    <w:rsid w:val="00D26E76"/>
    <w:rsid w:val="00D30209"/>
    <w:rsid w:val="00D308ED"/>
    <w:rsid w:val="00D33B29"/>
    <w:rsid w:val="00D3674C"/>
    <w:rsid w:val="00D36D86"/>
    <w:rsid w:val="00D379C2"/>
    <w:rsid w:val="00D40161"/>
    <w:rsid w:val="00D418D1"/>
    <w:rsid w:val="00D423CA"/>
    <w:rsid w:val="00D428AA"/>
    <w:rsid w:val="00D442BD"/>
    <w:rsid w:val="00D45BFE"/>
    <w:rsid w:val="00D46F4E"/>
    <w:rsid w:val="00D470D8"/>
    <w:rsid w:val="00D50A34"/>
    <w:rsid w:val="00D515DF"/>
    <w:rsid w:val="00D5181B"/>
    <w:rsid w:val="00D53490"/>
    <w:rsid w:val="00D53EFA"/>
    <w:rsid w:val="00D54FAA"/>
    <w:rsid w:val="00D55112"/>
    <w:rsid w:val="00D554A4"/>
    <w:rsid w:val="00D55C69"/>
    <w:rsid w:val="00D57E60"/>
    <w:rsid w:val="00D60C10"/>
    <w:rsid w:val="00D61ADF"/>
    <w:rsid w:val="00D62693"/>
    <w:rsid w:val="00D63265"/>
    <w:rsid w:val="00D6386C"/>
    <w:rsid w:val="00D64D3F"/>
    <w:rsid w:val="00D65921"/>
    <w:rsid w:val="00D65CB2"/>
    <w:rsid w:val="00D7052B"/>
    <w:rsid w:val="00D70F36"/>
    <w:rsid w:val="00D75EA4"/>
    <w:rsid w:val="00D76CFA"/>
    <w:rsid w:val="00D77593"/>
    <w:rsid w:val="00D8044F"/>
    <w:rsid w:val="00D85973"/>
    <w:rsid w:val="00D875FA"/>
    <w:rsid w:val="00D90978"/>
    <w:rsid w:val="00D90DF7"/>
    <w:rsid w:val="00D90EA9"/>
    <w:rsid w:val="00D92580"/>
    <w:rsid w:val="00D92950"/>
    <w:rsid w:val="00D93599"/>
    <w:rsid w:val="00D9375D"/>
    <w:rsid w:val="00D93DBF"/>
    <w:rsid w:val="00D94A7C"/>
    <w:rsid w:val="00D953B0"/>
    <w:rsid w:val="00D95896"/>
    <w:rsid w:val="00D968F1"/>
    <w:rsid w:val="00DA03A3"/>
    <w:rsid w:val="00DA1373"/>
    <w:rsid w:val="00DA328B"/>
    <w:rsid w:val="00DA3348"/>
    <w:rsid w:val="00DA3575"/>
    <w:rsid w:val="00DA4BA8"/>
    <w:rsid w:val="00DB0897"/>
    <w:rsid w:val="00DB0F9A"/>
    <w:rsid w:val="00DB1708"/>
    <w:rsid w:val="00DB25A1"/>
    <w:rsid w:val="00DB2983"/>
    <w:rsid w:val="00DB3614"/>
    <w:rsid w:val="00DB6863"/>
    <w:rsid w:val="00DB6A3C"/>
    <w:rsid w:val="00DB6DE4"/>
    <w:rsid w:val="00DC1257"/>
    <w:rsid w:val="00DC20FE"/>
    <w:rsid w:val="00DC2D6F"/>
    <w:rsid w:val="00DC3248"/>
    <w:rsid w:val="00DC3DC0"/>
    <w:rsid w:val="00DC5B2B"/>
    <w:rsid w:val="00DC5B75"/>
    <w:rsid w:val="00DC5F15"/>
    <w:rsid w:val="00DC6288"/>
    <w:rsid w:val="00DC64E0"/>
    <w:rsid w:val="00DC65EA"/>
    <w:rsid w:val="00DC6F75"/>
    <w:rsid w:val="00DC7AB5"/>
    <w:rsid w:val="00DC7CE8"/>
    <w:rsid w:val="00DD0411"/>
    <w:rsid w:val="00DD0531"/>
    <w:rsid w:val="00DD0DFB"/>
    <w:rsid w:val="00DD2162"/>
    <w:rsid w:val="00DD318D"/>
    <w:rsid w:val="00DD5885"/>
    <w:rsid w:val="00DD6E51"/>
    <w:rsid w:val="00DD6FA7"/>
    <w:rsid w:val="00DD7093"/>
    <w:rsid w:val="00DD721A"/>
    <w:rsid w:val="00DD7EDE"/>
    <w:rsid w:val="00DE077F"/>
    <w:rsid w:val="00DE258D"/>
    <w:rsid w:val="00DE2EA7"/>
    <w:rsid w:val="00DE3D13"/>
    <w:rsid w:val="00DE3FDD"/>
    <w:rsid w:val="00DE4AE3"/>
    <w:rsid w:val="00DE4C36"/>
    <w:rsid w:val="00DF064A"/>
    <w:rsid w:val="00DF07D7"/>
    <w:rsid w:val="00DF15B1"/>
    <w:rsid w:val="00DF2286"/>
    <w:rsid w:val="00DF2AC2"/>
    <w:rsid w:val="00DF2E12"/>
    <w:rsid w:val="00DF31BB"/>
    <w:rsid w:val="00DF514A"/>
    <w:rsid w:val="00DF6690"/>
    <w:rsid w:val="00DF6804"/>
    <w:rsid w:val="00DF6976"/>
    <w:rsid w:val="00DF7850"/>
    <w:rsid w:val="00DF7CAA"/>
    <w:rsid w:val="00E018B3"/>
    <w:rsid w:val="00E01900"/>
    <w:rsid w:val="00E03001"/>
    <w:rsid w:val="00E0358D"/>
    <w:rsid w:val="00E04220"/>
    <w:rsid w:val="00E04323"/>
    <w:rsid w:val="00E070A2"/>
    <w:rsid w:val="00E07BDC"/>
    <w:rsid w:val="00E10951"/>
    <w:rsid w:val="00E113A8"/>
    <w:rsid w:val="00E11760"/>
    <w:rsid w:val="00E128AE"/>
    <w:rsid w:val="00E12A2E"/>
    <w:rsid w:val="00E14532"/>
    <w:rsid w:val="00E16FCC"/>
    <w:rsid w:val="00E17E53"/>
    <w:rsid w:val="00E17EE3"/>
    <w:rsid w:val="00E206F7"/>
    <w:rsid w:val="00E22BA7"/>
    <w:rsid w:val="00E23E48"/>
    <w:rsid w:val="00E23FAE"/>
    <w:rsid w:val="00E261B5"/>
    <w:rsid w:val="00E2656A"/>
    <w:rsid w:val="00E270E9"/>
    <w:rsid w:val="00E335C1"/>
    <w:rsid w:val="00E34213"/>
    <w:rsid w:val="00E36411"/>
    <w:rsid w:val="00E37304"/>
    <w:rsid w:val="00E3795E"/>
    <w:rsid w:val="00E40C23"/>
    <w:rsid w:val="00E412D0"/>
    <w:rsid w:val="00E4143D"/>
    <w:rsid w:val="00E4349D"/>
    <w:rsid w:val="00E440F9"/>
    <w:rsid w:val="00E4515D"/>
    <w:rsid w:val="00E45950"/>
    <w:rsid w:val="00E45CE4"/>
    <w:rsid w:val="00E45FD0"/>
    <w:rsid w:val="00E47438"/>
    <w:rsid w:val="00E47779"/>
    <w:rsid w:val="00E51A8B"/>
    <w:rsid w:val="00E51A9F"/>
    <w:rsid w:val="00E52037"/>
    <w:rsid w:val="00E54869"/>
    <w:rsid w:val="00E54E15"/>
    <w:rsid w:val="00E56322"/>
    <w:rsid w:val="00E56B2A"/>
    <w:rsid w:val="00E56BF2"/>
    <w:rsid w:val="00E56C13"/>
    <w:rsid w:val="00E60982"/>
    <w:rsid w:val="00E6167B"/>
    <w:rsid w:val="00E62C62"/>
    <w:rsid w:val="00E632B6"/>
    <w:rsid w:val="00E63A06"/>
    <w:rsid w:val="00E64357"/>
    <w:rsid w:val="00E6542F"/>
    <w:rsid w:val="00E654C1"/>
    <w:rsid w:val="00E65785"/>
    <w:rsid w:val="00E65D97"/>
    <w:rsid w:val="00E66E67"/>
    <w:rsid w:val="00E67216"/>
    <w:rsid w:val="00E711D9"/>
    <w:rsid w:val="00E72632"/>
    <w:rsid w:val="00E72897"/>
    <w:rsid w:val="00E72A5A"/>
    <w:rsid w:val="00E72DC2"/>
    <w:rsid w:val="00E73354"/>
    <w:rsid w:val="00E749E0"/>
    <w:rsid w:val="00E74BFE"/>
    <w:rsid w:val="00E75501"/>
    <w:rsid w:val="00E757A8"/>
    <w:rsid w:val="00E75AA8"/>
    <w:rsid w:val="00E772F8"/>
    <w:rsid w:val="00E77595"/>
    <w:rsid w:val="00E77A0E"/>
    <w:rsid w:val="00E8079F"/>
    <w:rsid w:val="00E80982"/>
    <w:rsid w:val="00E81019"/>
    <w:rsid w:val="00E82840"/>
    <w:rsid w:val="00E82BB8"/>
    <w:rsid w:val="00E837A4"/>
    <w:rsid w:val="00E8573F"/>
    <w:rsid w:val="00E85D9E"/>
    <w:rsid w:val="00E8704C"/>
    <w:rsid w:val="00E906CA"/>
    <w:rsid w:val="00E90BB2"/>
    <w:rsid w:val="00E91748"/>
    <w:rsid w:val="00E92289"/>
    <w:rsid w:val="00E9242D"/>
    <w:rsid w:val="00E926B5"/>
    <w:rsid w:val="00E929D7"/>
    <w:rsid w:val="00E93099"/>
    <w:rsid w:val="00E948CC"/>
    <w:rsid w:val="00E9519A"/>
    <w:rsid w:val="00EA14EA"/>
    <w:rsid w:val="00EA16D8"/>
    <w:rsid w:val="00EA2485"/>
    <w:rsid w:val="00EA51C2"/>
    <w:rsid w:val="00EA53B3"/>
    <w:rsid w:val="00EA5D65"/>
    <w:rsid w:val="00EB2F9B"/>
    <w:rsid w:val="00EB329B"/>
    <w:rsid w:val="00EB3DC1"/>
    <w:rsid w:val="00EB5255"/>
    <w:rsid w:val="00EB5C47"/>
    <w:rsid w:val="00EB620C"/>
    <w:rsid w:val="00EB6AE0"/>
    <w:rsid w:val="00EC14B0"/>
    <w:rsid w:val="00EC16FA"/>
    <w:rsid w:val="00EC1B6E"/>
    <w:rsid w:val="00EC5C4A"/>
    <w:rsid w:val="00EC62E2"/>
    <w:rsid w:val="00ED0639"/>
    <w:rsid w:val="00ED0EDF"/>
    <w:rsid w:val="00ED2344"/>
    <w:rsid w:val="00ED2990"/>
    <w:rsid w:val="00ED45DC"/>
    <w:rsid w:val="00ED7CB7"/>
    <w:rsid w:val="00EE087B"/>
    <w:rsid w:val="00EE18EB"/>
    <w:rsid w:val="00EE491F"/>
    <w:rsid w:val="00EE4BEF"/>
    <w:rsid w:val="00EE4CD5"/>
    <w:rsid w:val="00EE5E22"/>
    <w:rsid w:val="00EE6B8E"/>
    <w:rsid w:val="00EE728A"/>
    <w:rsid w:val="00EE752A"/>
    <w:rsid w:val="00EE797A"/>
    <w:rsid w:val="00EF0B48"/>
    <w:rsid w:val="00EF1271"/>
    <w:rsid w:val="00EF1608"/>
    <w:rsid w:val="00EF2E2E"/>
    <w:rsid w:val="00EF2F87"/>
    <w:rsid w:val="00EF305D"/>
    <w:rsid w:val="00EF38F4"/>
    <w:rsid w:val="00EF3AA2"/>
    <w:rsid w:val="00EF3BF3"/>
    <w:rsid w:val="00EF4479"/>
    <w:rsid w:val="00EF4755"/>
    <w:rsid w:val="00EF5F94"/>
    <w:rsid w:val="00EF6324"/>
    <w:rsid w:val="00EF6A20"/>
    <w:rsid w:val="00EF7135"/>
    <w:rsid w:val="00EF725C"/>
    <w:rsid w:val="00F00CDA"/>
    <w:rsid w:val="00F01EA1"/>
    <w:rsid w:val="00F0257A"/>
    <w:rsid w:val="00F027DB"/>
    <w:rsid w:val="00F02D56"/>
    <w:rsid w:val="00F03CAE"/>
    <w:rsid w:val="00F0483C"/>
    <w:rsid w:val="00F11185"/>
    <w:rsid w:val="00F11F71"/>
    <w:rsid w:val="00F12E5C"/>
    <w:rsid w:val="00F13C3C"/>
    <w:rsid w:val="00F1438B"/>
    <w:rsid w:val="00F14A7A"/>
    <w:rsid w:val="00F16028"/>
    <w:rsid w:val="00F1660C"/>
    <w:rsid w:val="00F17DE6"/>
    <w:rsid w:val="00F20712"/>
    <w:rsid w:val="00F22985"/>
    <w:rsid w:val="00F26459"/>
    <w:rsid w:val="00F31448"/>
    <w:rsid w:val="00F31867"/>
    <w:rsid w:val="00F318AF"/>
    <w:rsid w:val="00F32A97"/>
    <w:rsid w:val="00F3383E"/>
    <w:rsid w:val="00F3411D"/>
    <w:rsid w:val="00F34A6A"/>
    <w:rsid w:val="00F35909"/>
    <w:rsid w:val="00F35EA8"/>
    <w:rsid w:val="00F35EF5"/>
    <w:rsid w:val="00F36D22"/>
    <w:rsid w:val="00F4067E"/>
    <w:rsid w:val="00F4198A"/>
    <w:rsid w:val="00F44BB0"/>
    <w:rsid w:val="00F465A7"/>
    <w:rsid w:val="00F47B6A"/>
    <w:rsid w:val="00F50B7C"/>
    <w:rsid w:val="00F50F4C"/>
    <w:rsid w:val="00F518F5"/>
    <w:rsid w:val="00F528D9"/>
    <w:rsid w:val="00F529CD"/>
    <w:rsid w:val="00F53BC8"/>
    <w:rsid w:val="00F540BE"/>
    <w:rsid w:val="00F54DCE"/>
    <w:rsid w:val="00F54F8F"/>
    <w:rsid w:val="00F550E6"/>
    <w:rsid w:val="00F554C0"/>
    <w:rsid w:val="00F5777C"/>
    <w:rsid w:val="00F57F95"/>
    <w:rsid w:val="00F60273"/>
    <w:rsid w:val="00F605DF"/>
    <w:rsid w:val="00F60854"/>
    <w:rsid w:val="00F62705"/>
    <w:rsid w:val="00F62EA9"/>
    <w:rsid w:val="00F6451A"/>
    <w:rsid w:val="00F647EC"/>
    <w:rsid w:val="00F64CF6"/>
    <w:rsid w:val="00F659AA"/>
    <w:rsid w:val="00F66B4F"/>
    <w:rsid w:val="00F70D1E"/>
    <w:rsid w:val="00F721DB"/>
    <w:rsid w:val="00F7384A"/>
    <w:rsid w:val="00F74345"/>
    <w:rsid w:val="00F754FB"/>
    <w:rsid w:val="00F76B14"/>
    <w:rsid w:val="00F80A0A"/>
    <w:rsid w:val="00F8162F"/>
    <w:rsid w:val="00F81D73"/>
    <w:rsid w:val="00F82B19"/>
    <w:rsid w:val="00F8306F"/>
    <w:rsid w:val="00F84022"/>
    <w:rsid w:val="00F85046"/>
    <w:rsid w:val="00F87F34"/>
    <w:rsid w:val="00F9212D"/>
    <w:rsid w:val="00F94B7B"/>
    <w:rsid w:val="00F962DE"/>
    <w:rsid w:val="00F96317"/>
    <w:rsid w:val="00F965DA"/>
    <w:rsid w:val="00F96821"/>
    <w:rsid w:val="00F97B91"/>
    <w:rsid w:val="00FA1146"/>
    <w:rsid w:val="00FA13E5"/>
    <w:rsid w:val="00FA1986"/>
    <w:rsid w:val="00FA379B"/>
    <w:rsid w:val="00FA406A"/>
    <w:rsid w:val="00FA46FC"/>
    <w:rsid w:val="00FA5895"/>
    <w:rsid w:val="00FA7038"/>
    <w:rsid w:val="00FA7C52"/>
    <w:rsid w:val="00FA7E3D"/>
    <w:rsid w:val="00FB0AB8"/>
    <w:rsid w:val="00FB0F90"/>
    <w:rsid w:val="00FB2FBE"/>
    <w:rsid w:val="00FB30CA"/>
    <w:rsid w:val="00FB399D"/>
    <w:rsid w:val="00FB503A"/>
    <w:rsid w:val="00FB516C"/>
    <w:rsid w:val="00FB55CA"/>
    <w:rsid w:val="00FC134F"/>
    <w:rsid w:val="00FC1A64"/>
    <w:rsid w:val="00FC6B37"/>
    <w:rsid w:val="00FC6CB3"/>
    <w:rsid w:val="00FC7535"/>
    <w:rsid w:val="00FD0236"/>
    <w:rsid w:val="00FD18F4"/>
    <w:rsid w:val="00FD2F09"/>
    <w:rsid w:val="00FD4F4D"/>
    <w:rsid w:val="00FD54DB"/>
    <w:rsid w:val="00FD619F"/>
    <w:rsid w:val="00FD6361"/>
    <w:rsid w:val="00FD78F0"/>
    <w:rsid w:val="00FE1626"/>
    <w:rsid w:val="00FE1BE6"/>
    <w:rsid w:val="00FE2863"/>
    <w:rsid w:val="00FE4A4F"/>
    <w:rsid w:val="00FE4FFD"/>
    <w:rsid w:val="00FE6BED"/>
    <w:rsid w:val="00FE7F87"/>
    <w:rsid w:val="00FF14C3"/>
    <w:rsid w:val="00FF2365"/>
    <w:rsid w:val="00FF396D"/>
    <w:rsid w:val="00FF44EA"/>
    <w:rsid w:val="00FF6F09"/>
    <w:rsid w:val="00FF6FCD"/>
    <w:rsid w:val="01290F7E"/>
    <w:rsid w:val="015D1E09"/>
    <w:rsid w:val="018271B9"/>
    <w:rsid w:val="02697903"/>
    <w:rsid w:val="02B64ADF"/>
    <w:rsid w:val="02F96569"/>
    <w:rsid w:val="034C42EE"/>
    <w:rsid w:val="03EA7B21"/>
    <w:rsid w:val="058645FB"/>
    <w:rsid w:val="05DE447E"/>
    <w:rsid w:val="05F83EAE"/>
    <w:rsid w:val="06260139"/>
    <w:rsid w:val="063E7D85"/>
    <w:rsid w:val="0653738F"/>
    <w:rsid w:val="07293586"/>
    <w:rsid w:val="07295285"/>
    <w:rsid w:val="07636392"/>
    <w:rsid w:val="07770C56"/>
    <w:rsid w:val="07C763C4"/>
    <w:rsid w:val="08822633"/>
    <w:rsid w:val="08EE1E16"/>
    <w:rsid w:val="092217DD"/>
    <w:rsid w:val="093A7294"/>
    <w:rsid w:val="099F56AF"/>
    <w:rsid w:val="0A263993"/>
    <w:rsid w:val="0A2D3AC2"/>
    <w:rsid w:val="0A372B5B"/>
    <w:rsid w:val="0A6C3B7B"/>
    <w:rsid w:val="0AA755DF"/>
    <w:rsid w:val="0B120D44"/>
    <w:rsid w:val="0B181E21"/>
    <w:rsid w:val="0B353EBE"/>
    <w:rsid w:val="0B493233"/>
    <w:rsid w:val="0B8D66E4"/>
    <w:rsid w:val="0BD27BF6"/>
    <w:rsid w:val="0BD90C8D"/>
    <w:rsid w:val="0C2D79BA"/>
    <w:rsid w:val="0C3B3C7D"/>
    <w:rsid w:val="0C572706"/>
    <w:rsid w:val="0C87711F"/>
    <w:rsid w:val="0C8906A7"/>
    <w:rsid w:val="0CAB2EAE"/>
    <w:rsid w:val="0D621C7D"/>
    <w:rsid w:val="0E73034D"/>
    <w:rsid w:val="0F13775A"/>
    <w:rsid w:val="0F5F45FE"/>
    <w:rsid w:val="0F80551D"/>
    <w:rsid w:val="0F9A112B"/>
    <w:rsid w:val="0FE54B87"/>
    <w:rsid w:val="10042CED"/>
    <w:rsid w:val="106D2F64"/>
    <w:rsid w:val="10722E94"/>
    <w:rsid w:val="10922E51"/>
    <w:rsid w:val="10B63710"/>
    <w:rsid w:val="10F10820"/>
    <w:rsid w:val="111C2F7A"/>
    <w:rsid w:val="11233669"/>
    <w:rsid w:val="11665CA1"/>
    <w:rsid w:val="11A86A4A"/>
    <w:rsid w:val="11F805DC"/>
    <w:rsid w:val="13951726"/>
    <w:rsid w:val="13C10018"/>
    <w:rsid w:val="14396509"/>
    <w:rsid w:val="14B453C6"/>
    <w:rsid w:val="14DD2C3C"/>
    <w:rsid w:val="158A5B42"/>
    <w:rsid w:val="15FB06EE"/>
    <w:rsid w:val="16087E1D"/>
    <w:rsid w:val="16420085"/>
    <w:rsid w:val="17701D14"/>
    <w:rsid w:val="17735226"/>
    <w:rsid w:val="189F624C"/>
    <w:rsid w:val="191C4C03"/>
    <w:rsid w:val="1A1C66C0"/>
    <w:rsid w:val="1A42393B"/>
    <w:rsid w:val="1A5C776C"/>
    <w:rsid w:val="1AAD45DE"/>
    <w:rsid w:val="1B046F80"/>
    <w:rsid w:val="1B3267B5"/>
    <w:rsid w:val="1B40161D"/>
    <w:rsid w:val="1B441859"/>
    <w:rsid w:val="1B6606B1"/>
    <w:rsid w:val="1BB65598"/>
    <w:rsid w:val="1BD56202"/>
    <w:rsid w:val="1C5E7925"/>
    <w:rsid w:val="1CC476F1"/>
    <w:rsid w:val="1CFD070F"/>
    <w:rsid w:val="1D54228E"/>
    <w:rsid w:val="1D57445C"/>
    <w:rsid w:val="1D5F6196"/>
    <w:rsid w:val="1D6132A5"/>
    <w:rsid w:val="1D833F19"/>
    <w:rsid w:val="1D8E56D5"/>
    <w:rsid w:val="1DC968BB"/>
    <w:rsid w:val="1E7A43DA"/>
    <w:rsid w:val="1F0632C7"/>
    <w:rsid w:val="1F7D1AF9"/>
    <w:rsid w:val="1FE7539E"/>
    <w:rsid w:val="1FFF48E4"/>
    <w:rsid w:val="20671BE0"/>
    <w:rsid w:val="20963CB8"/>
    <w:rsid w:val="20A81A1B"/>
    <w:rsid w:val="20B07FB6"/>
    <w:rsid w:val="20B646FB"/>
    <w:rsid w:val="20DA0C08"/>
    <w:rsid w:val="212A7349"/>
    <w:rsid w:val="2133086C"/>
    <w:rsid w:val="213B74B1"/>
    <w:rsid w:val="215A2310"/>
    <w:rsid w:val="21DE318A"/>
    <w:rsid w:val="21EF5B80"/>
    <w:rsid w:val="221B63A0"/>
    <w:rsid w:val="22576990"/>
    <w:rsid w:val="22E76282"/>
    <w:rsid w:val="22F47480"/>
    <w:rsid w:val="234B148F"/>
    <w:rsid w:val="23DE1C48"/>
    <w:rsid w:val="240210CD"/>
    <w:rsid w:val="2441279D"/>
    <w:rsid w:val="2443398C"/>
    <w:rsid w:val="24BF09F7"/>
    <w:rsid w:val="24E84B0A"/>
    <w:rsid w:val="252D53FE"/>
    <w:rsid w:val="25335E80"/>
    <w:rsid w:val="25EC2D81"/>
    <w:rsid w:val="277057A2"/>
    <w:rsid w:val="277372BE"/>
    <w:rsid w:val="27912C60"/>
    <w:rsid w:val="28CF1C92"/>
    <w:rsid w:val="29206EB8"/>
    <w:rsid w:val="29595666"/>
    <w:rsid w:val="29874881"/>
    <w:rsid w:val="29D41A6D"/>
    <w:rsid w:val="29E325E0"/>
    <w:rsid w:val="2A452503"/>
    <w:rsid w:val="2A8A20AC"/>
    <w:rsid w:val="2B5926E0"/>
    <w:rsid w:val="2B967E93"/>
    <w:rsid w:val="2BA936A8"/>
    <w:rsid w:val="2C315A5A"/>
    <w:rsid w:val="2C4B1C25"/>
    <w:rsid w:val="2D426ED6"/>
    <w:rsid w:val="2D9E56F5"/>
    <w:rsid w:val="2E667F96"/>
    <w:rsid w:val="2E8226AB"/>
    <w:rsid w:val="2E8B21B7"/>
    <w:rsid w:val="2EAA6E3E"/>
    <w:rsid w:val="2F0122DF"/>
    <w:rsid w:val="2F7B66D0"/>
    <w:rsid w:val="2FBA5EDC"/>
    <w:rsid w:val="2FD065E6"/>
    <w:rsid w:val="2FD96870"/>
    <w:rsid w:val="30580BC9"/>
    <w:rsid w:val="307F425F"/>
    <w:rsid w:val="3088223C"/>
    <w:rsid w:val="30942AA7"/>
    <w:rsid w:val="311E2ED7"/>
    <w:rsid w:val="315619EE"/>
    <w:rsid w:val="315C449C"/>
    <w:rsid w:val="31B82709"/>
    <w:rsid w:val="31CC0258"/>
    <w:rsid w:val="31D05482"/>
    <w:rsid w:val="3234700A"/>
    <w:rsid w:val="32400B34"/>
    <w:rsid w:val="329E6876"/>
    <w:rsid w:val="333015F2"/>
    <w:rsid w:val="334B6320"/>
    <w:rsid w:val="33D934D4"/>
    <w:rsid w:val="33FE2F6A"/>
    <w:rsid w:val="340E07E5"/>
    <w:rsid w:val="34235BF7"/>
    <w:rsid w:val="34AD70E6"/>
    <w:rsid w:val="34C86B5C"/>
    <w:rsid w:val="34DF7047"/>
    <w:rsid w:val="358C5FA8"/>
    <w:rsid w:val="35937B20"/>
    <w:rsid w:val="35AE6723"/>
    <w:rsid w:val="35C15DF1"/>
    <w:rsid w:val="35F11D8F"/>
    <w:rsid w:val="36074A7F"/>
    <w:rsid w:val="36923549"/>
    <w:rsid w:val="36B75FBF"/>
    <w:rsid w:val="36BC4E20"/>
    <w:rsid w:val="36BD0C45"/>
    <w:rsid w:val="3725799D"/>
    <w:rsid w:val="37594CEF"/>
    <w:rsid w:val="37E00298"/>
    <w:rsid w:val="38B302F9"/>
    <w:rsid w:val="38D44362"/>
    <w:rsid w:val="38F12CD3"/>
    <w:rsid w:val="38F94775"/>
    <w:rsid w:val="390C17B2"/>
    <w:rsid w:val="392971ED"/>
    <w:rsid w:val="39325651"/>
    <w:rsid w:val="39364A3F"/>
    <w:rsid w:val="3A2725E9"/>
    <w:rsid w:val="3A872856"/>
    <w:rsid w:val="3B2A3F66"/>
    <w:rsid w:val="3B3763D1"/>
    <w:rsid w:val="3C2F6E1E"/>
    <w:rsid w:val="3C4F64BA"/>
    <w:rsid w:val="3C7F5069"/>
    <w:rsid w:val="3CDA245A"/>
    <w:rsid w:val="3D061EFE"/>
    <w:rsid w:val="3D1E06B7"/>
    <w:rsid w:val="3E9C0D5E"/>
    <w:rsid w:val="3EA451FF"/>
    <w:rsid w:val="3EDA0523"/>
    <w:rsid w:val="407A6407"/>
    <w:rsid w:val="411D4090"/>
    <w:rsid w:val="41D91034"/>
    <w:rsid w:val="4200449D"/>
    <w:rsid w:val="42164B44"/>
    <w:rsid w:val="423A3BCC"/>
    <w:rsid w:val="424E57D2"/>
    <w:rsid w:val="42B26C49"/>
    <w:rsid w:val="430E5D85"/>
    <w:rsid w:val="433A6FE6"/>
    <w:rsid w:val="4344394A"/>
    <w:rsid w:val="43480868"/>
    <w:rsid w:val="4350713C"/>
    <w:rsid w:val="436653E0"/>
    <w:rsid w:val="43821950"/>
    <w:rsid w:val="4385097B"/>
    <w:rsid w:val="43C4431A"/>
    <w:rsid w:val="43FD725B"/>
    <w:rsid w:val="44775260"/>
    <w:rsid w:val="44B951CC"/>
    <w:rsid w:val="44CD14E0"/>
    <w:rsid w:val="44F20B0B"/>
    <w:rsid w:val="452E5F4C"/>
    <w:rsid w:val="45592BB7"/>
    <w:rsid w:val="45612018"/>
    <w:rsid w:val="458946E9"/>
    <w:rsid w:val="45A47C0E"/>
    <w:rsid w:val="46577FD6"/>
    <w:rsid w:val="466D29C5"/>
    <w:rsid w:val="46720BD5"/>
    <w:rsid w:val="46D955A7"/>
    <w:rsid w:val="47133957"/>
    <w:rsid w:val="478E55C0"/>
    <w:rsid w:val="47A07E0C"/>
    <w:rsid w:val="47E705D7"/>
    <w:rsid w:val="4870272E"/>
    <w:rsid w:val="49D844C0"/>
    <w:rsid w:val="49DC7715"/>
    <w:rsid w:val="4A023139"/>
    <w:rsid w:val="4A7B576F"/>
    <w:rsid w:val="4A835FE1"/>
    <w:rsid w:val="4AF561A9"/>
    <w:rsid w:val="4B7A70E2"/>
    <w:rsid w:val="4BA97CC9"/>
    <w:rsid w:val="4BB76A28"/>
    <w:rsid w:val="4C443C2D"/>
    <w:rsid w:val="4C4A0649"/>
    <w:rsid w:val="4C7E5ECA"/>
    <w:rsid w:val="4C876AA5"/>
    <w:rsid w:val="4D0E00FB"/>
    <w:rsid w:val="4D176606"/>
    <w:rsid w:val="4D3456ED"/>
    <w:rsid w:val="4DDC25D7"/>
    <w:rsid w:val="4DEC4FB0"/>
    <w:rsid w:val="4E075D8A"/>
    <w:rsid w:val="4E207DEE"/>
    <w:rsid w:val="4E994025"/>
    <w:rsid w:val="4EC00FAD"/>
    <w:rsid w:val="4F9843DC"/>
    <w:rsid w:val="4FC62A8C"/>
    <w:rsid w:val="4FE20F0D"/>
    <w:rsid w:val="4FE51552"/>
    <w:rsid w:val="500252DD"/>
    <w:rsid w:val="50186EBE"/>
    <w:rsid w:val="50504C4B"/>
    <w:rsid w:val="506F3501"/>
    <w:rsid w:val="5088106B"/>
    <w:rsid w:val="509C6E7C"/>
    <w:rsid w:val="50C05468"/>
    <w:rsid w:val="5155182C"/>
    <w:rsid w:val="5162104E"/>
    <w:rsid w:val="51EB4CFB"/>
    <w:rsid w:val="52E146F9"/>
    <w:rsid w:val="53A039CC"/>
    <w:rsid w:val="53A1505A"/>
    <w:rsid w:val="53C211E3"/>
    <w:rsid w:val="54063E08"/>
    <w:rsid w:val="54147A3F"/>
    <w:rsid w:val="543437E8"/>
    <w:rsid w:val="54D607ED"/>
    <w:rsid w:val="54DC5845"/>
    <w:rsid w:val="54F73313"/>
    <w:rsid w:val="54F80955"/>
    <w:rsid w:val="555170A7"/>
    <w:rsid w:val="55861F5F"/>
    <w:rsid w:val="5587536D"/>
    <w:rsid w:val="559B174B"/>
    <w:rsid w:val="55CE0CF4"/>
    <w:rsid w:val="5606767B"/>
    <w:rsid w:val="56081F10"/>
    <w:rsid w:val="562A3A13"/>
    <w:rsid w:val="56437862"/>
    <w:rsid w:val="564D6BB9"/>
    <w:rsid w:val="564E7DEA"/>
    <w:rsid w:val="56B22A9C"/>
    <w:rsid w:val="57821AE4"/>
    <w:rsid w:val="57B72A76"/>
    <w:rsid w:val="57C3426C"/>
    <w:rsid w:val="57CE1F93"/>
    <w:rsid w:val="588743D1"/>
    <w:rsid w:val="5887701A"/>
    <w:rsid w:val="588E6F35"/>
    <w:rsid w:val="59C0439F"/>
    <w:rsid w:val="5A42157E"/>
    <w:rsid w:val="5A6B5255"/>
    <w:rsid w:val="5A7B27E5"/>
    <w:rsid w:val="5AA45748"/>
    <w:rsid w:val="5ABE2233"/>
    <w:rsid w:val="5AC17140"/>
    <w:rsid w:val="5B6B7E13"/>
    <w:rsid w:val="5B8A7886"/>
    <w:rsid w:val="5BA95605"/>
    <w:rsid w:val="5BDF5D95"/>
    <w:rsid w:val="5BF22FC6"/>
    <w:rsid w:val="5BFE7528"/>
    <w:rsid w:val="5CF500A6"/>
    <w:rsid w:val="5E2467F1"/>
    <w:rsid w:val="5EFB385B"/>
    <w:rsid w:val="5F1A2B43"/>
    <w:rsid w:val="5F3307C7"/>
    <w:rsid w:val="5F821204"/>
    <w:rsid w:val="5FB837BB"/>
    <w:rsid w:val="60CC405A"/>
    <w:rsid w:val="61066396"/>
    <w:rsid w:val="61E215D8"/>
    <w:rsid w:val="621B3775"/>
    <w:rsid w:val="62364782"/>
    <w:rsid w:val="62880AF6"/>
    <w:rsid w:val="6298001B"/>
    <w:rsid w:val="63463927"/>
    <w:rsid w:val="6394356A"/>
    <w:rsid w:val="63C61B2C"/>
    <w:rsid w:val="63D40BE9"/>
    <w:rsid w:val="64102431"/>
    <w:rsid w:val="64265470"/>
    <w:rsid w:val="648F6F65"/>
    <w:rsid w:val="64A4626B"/>
    <w:rsid w:val="64A5243A"/>
    <w:rsid w:val="64F531DE"/>
    <w:rsid w:val="65373578"/>
    <w:rsid w:val="663B7C6B"/>
    <w:rsid w:val="66433B07"/>
    <w:rsid w:val="671F124A"/>
    <w:rsid w:val="677A33C6"/>
    <w:rsid w:val="68115791"/>
    <w:rsid w:val="681F6961"/>
    <w:rsid w:val="68455962"/>
    <w:rsid w:val="68610A2F"/>
    <w:rsid w:val="68805514"/>
    <w:rsid w:val="68DB36E4"/>
    <w:rsid w:val="691512D9"/>
    <w:rsid w:val="691E44ED"/>
    <w:rsid w:val="69316E2F"/>
    <w:rsid w:val="694E2071"/>
    <w:rsid w:val="69766163"/>
    <w:rsid w:val="697A3B33"/>
    <w:rsid w:val="69826F10"/>
    <w:rsid w:val="69D44760"/>
    <w:rsid w:val="6A520EC7"/>
    <w:rsid w:val="6AF87E20"/>
    <w:rsid w:val="6B322639"/>
    <w:rsid w:val="6B3671E3"/>
    <w:rsid w:val="6C636C38"/>
    <w:rsid w:val="6CA96729"/>
    <w:rsid w:val="6CCE6683"/>
    <w:rsid w:val="6DB34098"/>
    <w:rsid w:val="6DB545B6"/>
    <w:rsid w:val="6DDB24B4"/>
    <w:rsid w:val="6DE02FB4"/>
    <w:rsid w:val="6E514CED"/>
    <w:rsid w:val="6EB563D5"/>
    <w:rsid w:val="6ED92677"/>
    <w:rsid w:val="6F225983"/>
    <w:rsid w:val="6FB21146"/>
    <w:rsid w:val="6FFC5590"/>
    <w:rsid w:val="706D1DD0"/>
    <w:rsid w:val="70812E3F"/>
    <w:rsid w:val="70856B87"/>
    <w:rsid w:val="709A0425"/>
    <w:rsid w:val="70D527EE"/>
    <w:rsid w:val="715B5300"/>
    <w:rsid w:val="71955149"/>
    <w:rsid w:val="71D27F8A"/>
    <w:rsid w:val="72553024"/>
    <w:rsid w:val="72933F1C"/>
    <w:rsid w:val="72A7139F"/>
    <w:rsid w:val="73122968"/>
    <w:rsid w:val="731F5D5E"/>
    <w:rsid w:val="73C51AD5"/>
    <w:rsid w:val="73F570DF"/>
    <w:rsid w:val="74072344"/>
    <w:rsid w:val="741E793C"/>
    <w:rsid w:val="74510CD1"/>
    <w:rsid w:val="745E3944"/>
    <w:rsid w:val="761C006E"/>
    <w:rsid w:val="762E2E73"/>
    <w:rsid w:val="7635099D"/>
    <w:rsid w:val="771649D8"/>
    <w:rsid w:val="77476107"/>
    <w:rsid w:val="774F12FC"/>
    <w:rsid w:val="77762421"/>
    <w:rsid w:val="77B56B1F"/>
    <w:rsid w:val="77E1450C"/>
    <w:rsid w:val="780F09F4"/>
    <w:rsid w:val="781B1274"/>
    <w:rsid w:val="78646965"/>
    <w:rsid w:val="78691C99"/>
    <w:rsid w:val="78A90480"/>
    <w:rsid w:val="78F82F7E"/>
    <w:rsid w:val="791F0115"/>
    <w:rsid w:val="793E3EE5"/>
    <w:rsid w:val="7A364017"/>
    <w:rsid w:val="7A7E24CE"/>
    <w:rsid w:val="7A8265E1"/>
    <w:rsid w:val="7A9B107F"/>
    <w:rsid w:val="7AF35B1A"/>
    <w:rsid w:val="7B5C0B89"/>
    <w:rsid w:val="7B686D42"/>
    <w:rsid w:val="7B841746"/>
    <w:rsid w:val="7C6C5AC7"/>
    <w:rsid w:val="7CC6544B"/>
    <w:rsid w:val="7D0239FF"/>
    <w:rsid w:val="7D0607AE"/>
    <w:rsid w:val="7D5E40CD"/>
    <w:rsid w:val="7DCB1B66"/>
    <w:rsid w:val="7DCD56F2"/>
    <w:rsid w:val="7DEB76FB"/>
    <w:rsid w:val="7DFB22B6"/>
    <w:rsid w:val="7E883782"/>
    <w:rsid w:val="7F001CE7"/>
    <w:rsid w:val="7FE47E50"/>
    <w:rsid w:val="7FFBC21D"/>
    <w:rsid w:val="D7F5E0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nhideWhenUsed="0" w:uiPriority="0" w:semiHidden="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ocked="1"/>
    <w:lsdException w:unhideWhenUsed="0" w:uiPriority="0" w:semiHidden="0" w:name="index 2" w:locked="1"/>
    <w:lsdException w:unhideWhenUsed="0" w:uiPriority="0" w:semiHidden="0" w:name="index 3" w:locked="1"/>
    <w:lsdException w:unhideWhenUsed="0" w:uiPriority="0" w:semiHidden="0" w:name="index 4" w:locked="1"/>
    <w:lsdException w:unhideWhenUsed="0" w:uiPriority="0" w:semiHidden="0" w:name="index 5" w:locked="1"/>
    <w:lsdException w:unhideWhenUsed="0" w:uiPriority="0" w:semiHidden="0" w:name="index 6" w:locked="1"/>
    <w:lsdException w:unhideWhenUsed="0" w:uiPriority="0" w:semiHidden="0" w:name="index 7" w:locked="1"/>
    <w:lsdException w:unhideWhenUsed="0" w:uiPriority="0" w:semiHidden="0" w:name="index 8" w:locked="1"/>
    <w:lsdException w:unhideWhenUsed="0" w:uiPriority="0" w:semiHidden="0" w:name="index 9" w:locked="1"/>
    <w:lsdException w:qFormat="1" w:unhideWhenUsed="0" w:uiPriority="39"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ocked="1"/>
    <w:lsdException w:unhideWhenUsed="0" w:uiPriority="0" w:semiHidden="0" w:name="footnote text" w:locked="1"/>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ocked="1"/>
    <w:lsdException w:qFormat="1" w:uiPriority="0" w:name="caption" w:locked="1"/>
    <w:lsdException w:qFormat="1" w:uiPriority="99" w:semiHidden="0" w:name="table of figures" w:locked="1"/>
    <w:lsdException w:unhideWhenUsed="0" w:uiPriority="0" w:semiHidden="0" w:name="envelope address" w:locked="1"/>
    <w:lsdException w:unhideWhenUsed="0" w:uiPriority="0" w:semiHidden="0" w:name="envelope return" w:locked="1"/>
    <w:lsdException w:unhideWhenUsed="0" w:uiPriority="0" w:semiHidden="0" w:name="footnote reference" w:locked="1"/>
    <w:lsdException w:qFormat="1" w:unhideWhenUsed="0" w:uiPriority="0" w:semiHidden="0" w:name="annotation reference"/>
    <w:lsdException w:unhideWhenUsed="0" w:uiPriority="0" w:semiHidden="0" w:name="line number" w:locked="1"/>
    <w:lsdException w:qFormat="1" w:unhideWhenUsed="0" w:uiPriority="0" w:semiHidden="0" w:name="page number" w:locked="1"/>
    <w:lsdException w:unhideWhenUsed="0" w:uiPriority="0" w:semiHidden="0" w:name="endnote reference" w:locked="1"/>
    <w:lsdException w:unhideWhenUsed="0" w:uiPriority="0" w:semiHidden="0" w:name="endnote text" w:locked="1"/>
    <w:lsdException w:unhideWhenUsed="0" w:uiPriority="0" w:semiHidden="0" w:name="table of authorities" w:locked="1"/>
    <w:lsdException w:unhideWhenUsed="0" w:uiPriority="0" w:semiHidden="0" w:name="macro" w:locked="1"/>
    <w:lsdException w:unhideWhenUsed="0" w:uiPriority="0" w:semiHidden="0" w:name="toa heading" w:locked="1"/>
    <w:lsdException w:qFormat="1" w:unhideWhenUsed="0" w:uiPriority="0" w:semiHidden="0" w:name="List" w:locked="1"/>
    <w:lsdException w:unhideWhenUsed="0" w:uiPriority="0" w:semiHidden="0" w:name="List Bullet" w:locked="1"/>
    <w:lsdException w:unhideWhenUsed="0" w:uiPriority="0" w:semiHidden="0" w:name="List Number" w:locked="1"/>
    <w:lsdException w:qFormat="1" w:unhideWhenUsed="0" w:uiPriority="0" w:semiHidden="0" w:name="List 2" w:locked="1"/>
    <w:lsdException w:unhideWhenUsed="0" w:uiPriority="0" w:semiHidden="0" w:name="List 3" w:locked="1"/>
    <w:lsdException w:unhideWhenUsed="0" w:uiPriority="0" w:semiHidden="0" w:name="List 4" w:locked="1"/>
    <w:lsdException w:unhideWhenUsed="0" w:uiPriority="0" w:semiHidden="0" w:name="List 5" w:locked="1"/>
    <w:lsdException w:unhideWhenUsed="0" w:uiPriority="0" w:semiHidden="0" w:name="List Bullet 2" w:locked="1"/>
    <w:lsdException w:unhideWhenUsed="0" w:uiPriority="0" w:semiHidden="0" w:name="List Bullet 3" w:locked="1"/>
    <w:lsdException w:unhideWhenUsed="0" w:uiPriority="0" w:semiHidden="0" w:name="List Bullet 4" w:locked="1"/>
    <w:lsdException w:unhideWhenUsed="0" w:uiPriority="0" w:semiHidden="0" w:name="List Bullet 5" w:locked="1"/>
    <w:lsdException w:unhideWhenUsed="0" w:uiPriority="0" w:semiHidden="0" w:name="List Number 2" w:locked="1"/>
    <w:lsdException w:unhideWhenUsed="0" w:uiPriority="0" w:semiHidden="0" w:name="List Number 3" w:locked="1"/>
    <w:lsdException w:unhideWhenUsed="0" w:uiPriority="0" w:semiHidden="0" w:name="List Number 4" w:locked="1"/>
    <w:lsdException w:unhideWhenUsed="0" w:uiPriority="0" w:semiHidden="0" w:name="List Number 5" w:locked="1"/>
    <w:lsdException w:qFormat="1" w:unhideWhenUsed="0" w:uiPriority="0" w:semiHidden="0" w:name="Title" w:locked="1"/>
    <w:lsdException w:unhideWhenUsed="0" w:uiPriority="0" w:semiHidden="0" w:name="Closing" w:locked="1"/>
    <w:lsdException w:unhideWhenUsed="0" w:uiPriority="0" w:semiHidden="0" w:name="Signature" w:locked="1"/>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ocked="1"/>
    <w:lsdException w:unhideWhenUsed="0" w:uiPriority="0" w:semiHidden="0" w:name="List Continue 2" w:locked="1"/>
    <w:lsdException w:unhideWhenUsed="0" w:uiPriority="0" w:semiHidden="0" w:name="List Continue 3" w:locked="1"/>
    <w:lsdException w:unhideWhenUsed="0" w:uiPriority="0" w:semiHidden="0" w:name="List Continue 4" w:locked="1"/>
    <w:lsdException w:unhideWhenUsed="0" w:uiPriority="0" w:semiHidden="0" w:name="List Continue 5" w:locked="1"/>
    <w:lsdException w:unhideWhenUsed="0" w:uiPriority="0" w:semiHidden="0" w:name="Message Header" w:locked="1"/>
    <w:lsdException w:qFormat="1" w:unhideWhenUsed="0" w:uiPriority="0" w:semiHidden="0" w:name="Subtitle" w:locked="1"/>
    <w:lsdException w:unhideWhenUsed="0" w:uiPriority="0" w:semiHidden="0" w:name="Salutation" w:locked="1"/>
    <w:lsdException w:qFormat="1" w:unhideWhenUsed="0" w:uiPriority="0" w:semiHidden="0" w:name="Date"/>
    <w:lsdException w:unhideWhenUsed="0" w:uiPriority="0" w:semiHidden="0" w:name="Body Text First Indent" w:locked="1"/>
    <w:lsdException w:unhideWhenUsed="0" w:uiPriority="0" w:semiHidden="0" w:name="Body Text First Indent 2" w:locked="1"/>
    <w:lsdException w:unhideWhenUsed="0" w:uiPriority="0" w:semiHidden="0" w:name="Note Heading" w:locked="1"/>
    <w:lsdException w:unhideWhenUsed="0" w:uiPriority="0" w:semiHidden="0" w:name="Body Text 2" w:locked="1"/>
    <w:lsdException w:unhideWhenUsed="0" w:uiPriority="0" w:semiHidden="0" w:name="Body Text 3" w:locked="1"/>
    <w:lsdException w:unhideWhenUsed="0" w:uiPriority="0" w:semiHidden="0" w:name="Body Text Indent 2" w:locked="1"/>
    <w:lsdException w:unhideWhenUsed="0" w:uiPriority="0" w:semiHidden="0" w:name="Body Text Indent 3" w:locked="1"/>
    <w:lsdException w:qFormat="1" w:unhideWhenUsed="0" w:uiPriority="0" w:semiHidden="0" w:name="Block Text" w:locked="1"/>
    <w:lsdException w:qFormat="1" w:unhideWhenUsed="0" w:uiPriority="99" w:semiHidden="0" w:name="Hyperlink" w:locked="1"/>
    <w:lsdException w:qFormat="1" w:uiPriority="99" w:semiHidden="0" w:name="FollowedHyperlink" w:locked="1"/>
    <w:lsdException w:qFormat="1" w:unhideWhenUsed="0" w:uiPriority="22" w:semiHidden="0" w:name="Strong" w:locked="1"/>
    <w:lsdException w:qFormat="1" w:unhideWhenUsed="0" w:uiPriority="0" w:semiHidden="0" w:name="Emphasis" w:locked="1"/>
    <w:lsdException w:unhideWhenUsed="0" w:uiPriority="0" w:semiHidden="0" w:name="Document Map" w:locked="1"/>
    <w:lsdException w:unhideWhenUsed="0" w:uiPriority="0" w:semiHidden="0" w:name="Plain Text" w:locked="1"/>
    <w:lsdException w:qFormat="1" w:unhideWhenUsed="0" w:uiPriority="0" w:semiHidden="0" w:name="E-mail Signature" w:locked="1"/>
    <w:lsdException w:qFormat="1" w:unhideWhenUsed="0" w:uiPriority="0" w:semiHidden="0" w:name="Normal (Web)"/>
    <w:lsdException w:unhideWhenUsed="0" w:uiPriority="0" w:semiHidden="0" w:name="HTML Acronym" w:locked="1"/>
    <w:lsdException w:unhideWhenUsed="0" w:uiPriority="0" w:semiHidden="0" w:name="HTML Address" w:locked="1"/>
    <w:lsdException w:unhideWhenUsed="0" w:uiPriority="0" w:semiHidden="0" w:name="HTML Cite" w:locked="1"/>
    <w:lsdException w:unhideWhenUsed="0" w:uiPriority="0" w:semiHidden="0" w:name="HTML Code" w:locked="1"/>
    <w:lsdException w:unhideWhenUsed="0" w:uiPriority="0" w:semiHidden="0" w:name="HTML Definition" w:locked="1"/>
    <w:lsdException w:uiPriority="0" w:name="HTML Keyboard" w:locked="1"/>
    <w:lsdException w:unhideWhenUsed="0" w:uiPriority="0" w:semiHidden="0" w:name="HTML Preformatted" w:locked="1"/>
    <w:lsdException w:unhideWhenUsed="0" w:uiPriority="0" w:semiHidden="0" w:name="HTML Sample" w:locked="1"/>
    <w:lsdException w:unhideWhenUsed="0" w:uiPriority="0" w:semiHidden="0" w:name="HTML Typewriter" w:locked="1"/>
    <w:lsdException w:unhideWhenUsed="0" w:uiPriority="0" w:semiHidden="0" w:name="HTML Variable" w:locked="1"/>
    <w:lsdException w:qFormat="1" w:uiPriority="99" w:name="Normal Table"/>
    <w:lsdException w:qFormat="1" w:unhideWhenUsed="0" w:uiPriority="0" w:name="annotation subject"/>
    <w:lsdException w:uiPriority="0" w:name="Table Simple 1" w:locked="1"/>
    <w:lsdException w:uiPriority="0" w:name="Table Simple 2" w:locked="1"/>
    <w:lsdException w:uiPriority="0" w:name="Table Simple 3" w:locked="1"/>
    <w:lsdException w:uiPriority="0" w:name="Table Classic 1" w:locked="1"/>
    <w:lsdException w:uiPriority="0" w:name="Table Classic 2" w:locked="1"/>
    <w:lsdException w:uiPriority="0" w:name="Table Classic 3" w:locked="1"/>
    <w:lsdException w:uiPriority="0" w:name="Table Classic 4" w:locked="1"/>
    <w:lsdException w:uiPriority="0" w:name="Table Colorful 1" w:locked="1"/>
    <w:lsdException w:uiPriority="0" w:name="Table Colorful 2" w:locked="1"/>
    <w:lsdException w:uiPriority="0" w:name="Table Colorful 3" w:locked="1"/>
    <w:lsdException w:uiPriority="0" w:name="Table Columns 1" w:locked="1"/>
    <w:lsdException w:uiPriority="0" w:name="Table Columns 2" w:locked="1"/>
    <w:lsdException w:uiPriority="0" w:name="Table Columns 3" w:locked="1"/>
    <w:lsdException w:uiPriority="0" w:name="Table Columns 4" w:locked="1"/>
    <w:lsdException w:uiPriority="0" w:name="Table Columns 5" w:locked="1"/>
    <w:lsdException w:uiPriority="0" w:name="Table Grid 1" w:locked="1"/>
    <w:lsdException w:uiPriority="0" w:name="Table Grid 2" w:locked="1"/>
    <w:lsdException w:uiPriority="0" w:name="Table Grid 3" w:locked="1"/>
    <w:lsdException w:uiPriority="0" w:name="Table Grid 4" w:locked="1"/>
    <w:lsdException w:uiPriority="0" w:name="Table Grid 5" w:locked="1"/>
    <w:lsdException w:uiPriority="0" w:name="Table Grid 6" w:locked="1"/>
    <w:lsdException w:uiPriority="0" w:name="Table Grid 7" w:locked="1"/>
    <w:lsdException w:uiPriority="0" w:name="Table Grid 8" w:locked="1"/>
    <w:lsdException w:uiPriority="0" w:name="Table List 1" w:locked="1"/>
    <w:lsdException w:uiPriority="0" w:name="Table List 2" w:locked="1"/>
    <w:lsdException w:uiPriority="0" w:name="Table List 3" w:locked="1"/>
    <w:lsdException w:uiPriority="0" w:name="Table List 4" w:locked="1"/>
    <w:lsdException w:uiPriority="0" w:name="Table List 5" w:locked="1"/>
    <w:lsdException w:uiPriority="0" w:name="Table List 6" w:locked="1"/>
    <w:lsdException w:uiPriority="0" w:name="Table List 7" w:locked="1"/>
    <w:lsdException w:uiPriority="0" w:name="Table List 8" w:locked="1"/>
    <w:lsdException w:uiPriority="0" w:name="Table 3D effects 1" w:locked="1"/>
    <w:lsdException w:uiPriority="0" w:name="Table 3D effects 2" w:locked="1"/>
    <w:lsdException w:uiPriority="0" w:name="Table 3D effects 3" w:locked="1"/>
    <w:lsdException w:uiPriority="0" w:name="Table Contemporary" w:locked="1"/>
    <w:lsdException w:uiPriority="0" w:name="Table Elegant" w:locked="1"/>
    <w:lsdException w:uiPriority="0" w:name="Table Professional" w:locked="1"/>
    <w:lsdException w:uiPriority="0" w:name="Table Subtle 1" w:locked="1"/>
    <w:lsdException w:uiPriority="0" w:name="Table Subtle 2" w:locked="1"/>
    <w:lsdException w:uiPriority="0" w:name="Table Web 1" w:locked="1"/>
    <w:lsdException w:uiPriority="0" w:name="Table Web 2" w:locked="1"/>
    <w:lsdException w:uiPriority="0" w:name="Table Web 3" w:locked="1"/>
    <w:lsdException w:qFormat="1" w:unhideWhenUsed="0" w:uiPriority="0" w:name="Balloon Text"/>
    <w:lsdException w:qFormat="1" w:unhideWhenUsed="0" w:uiPriority="0" w:semiHidden="0" w:name="Table Grid"/>
    <w:lsdException w:uiPriority="0"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locked/>
    <w:uiPriority w:val="99"/>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3">
    <w:name w:val="heading 2"/>
    <w:basedOn w:val="1"/>
    <w:next w:val="1"/>
    <w:link w:val="36"/>
    <w:qFormat/>
    <w:locked/>
    <w:uiPriority w:val="0"/>
    <w:pPr>
      <w:keepNext/>
      <w:keepLines/>
      <w:spacing w:before="260" w:after="260" w:line="416" w:lineRule="auto"/>
      <w:outlineLvl w:val="1"/>
    </w:pPr>
    <w:rPr>
      <w:rFonts w:ascii="等线 Light" w:hAnsi="等线 Light" w:eastAsia="等线 Light"/>
      <w:b/>
      <w:bCs/>
      <w:sz w:val="32"/>
      <w:szCs w:val="32"/>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4">
    <w:name w:val="E-mail Signature"/>
    <w:basedOn w:val="1"/>
    <w:link w:val="63"/>
    <w:qFormat/>
    <w:locked/>
    <w:uiPriority w:val="0"/>
    <w:pPr>
      <w:spacing w:line="500" w:lineRule="exact"/>
    </w:pPr>
    <w:rPr>
      <w:rFonts w:ascii="仿宋_GB2312" w:eastAsia="仿宋_GB2312"/>
      <w:sz w:val="28"/>
      <w:szCs w:val="20"/>
    </w:rPr>
  </w:style>
  <w:style w:type="paragraph" w:styleId="5">
    <w:name w:val="Normal Indent"/>
    <w:basedOn w:val="1"/>
    <w:qFormat/>
    <w:locked/>
    <w:uiPriority w:val="0"/>
    <w:pPr>
      <w:ind w:firstLine="420" w:firstLineChars="200"/>
    </w:pPr>
  </w:style>
  <w:style w:type="paragraph" w:styleId="6">
    <w:name w:val="annotation text"/>
    <w:basedOn w:val="1"/>
    <w:link w:val="46"/>
    <w:qFormat/>
    <w:uiPriority w:val="0"/>
    <w:pPr>
      <w:jc w:val="left"/>
    </w:pPr>
    <w:rPr>
      <w:kern w:val="0"/>
      <w:sz w:val="24"/>
      <w:szCs w:val="20"/>
    </w:rPr>
  </w:style>
  <w:style w:type="paragraph" w:styleId="7">
    <w:name w:val="Body Text"/>
    <w:basedOn w:val="1"/>
    <w:link w:val="55"/>
    <w:qFormat/>
    <w:uiPriority w:val="0"/>
    <w:pPr>
      <w:widowControl/>
      <w:snapToGrid w:val="0"/>
      <w:spacing w:before="60" w:after="160" w:line="259" w:lineRule="auto"/>
      <w:ind w:right="113"/>
    </w:pPr>
    <w:rPr>
      <w:kern w:val="0"/>
      <w:sz w:val="18"/>
      <w:szCs w:val="20"/>
    </w:rPr>
  </w:style>
  <w:style w:type="paragraph" w:styleId="8">
    <w:name w:val="Body Text Indent"/>
    <w:basedOn w:val="1"/>
    <w:link w:val="33"/>
    <w:qFormat/>
    <w:uiPriority w:val="0"/>
    <w:pPr>
      <w:spacing w:after="120"/>
      <w:ind w:left="420" w:leftChars="200"/>
    </w:pPr>
    <w:rPr>
      <w:kern w:val="0"/>
      <w:sz w:val="24"/>
      <w:szCs w:val="20"/>
    </w:rPr>
  </w:style>
  <w:style w:type="paragraph" w:styleId="9">
    <w:name w:val="List 2"/>
    <w:basedOn w:val="1"/>
    <w:qFormat/>
    <w:locked/>
    <w:uiPriority w:val="0"/>
    <w:pPr>
      <w:ind w:left="100" w:leftChars="200" w:hanging="200" w:hangingChars="200"/>
      <w:contextualSpacing/>
    </w:pPr>
  </w:style>
  <w:style w:type="paragraph" w:styleId="10">
    <w:name w:val="Block Text"/>
    <w:basedOn w:val="1"/>
    <w:qFormat/>
    <w:locked/>
    <w:uiPriority w:val="0"/>
    <w:pPr>
      <w:spacing w:after="120"/>
      <w:ind w:left="1440" w:leftChars="700" w:right="1440" w:rightChars="700"/>
    </w:pPr>
  </w:style>
  <w:style w:type="paragraph" w:styleId="11">
    <w:name w:val="Date"/>
    <w:basedOn w:val="1"/>
    <w:next w:val="1"/>
    <w:link w:val="61"/>
    <w:qFormat/>
    <w:uiPriority w:val="0"/>
    <w:pPr>
      <w:ind w:left="100" w:leftChars="2500"/>
    </w:pPr>
    <w:rPr>
      <w:kern w:val="0"/>
      <w:sz w:val="24"/>
      <w:szCs w:val="20"/>
    </w:rPr>
  </w:style>
  <w:style w:type="paragraph" w:styleId="12">
    <w:name w:val="Balloon Text"/>
    <w:basedOn w:val="1"/>
    <w:link w:val="35"/>
    <w:autoRedefine/>
    <w:semiHidden/>
    <w:qFormat/>
    <w:uiPriority w:val="0"/>
    <w:rPr>
      <w:kern w:val="0"/>
      <w:sz w:val="18"/>
      <w:szCs w:val="20"/>
    </w:rPr>
  </w:style>
  <w:style w:type="paragraph" w:styleId="13">
    <w:name w:val="footer"/>
    <w:basedOn w:val="1"/>
    <w:link w:val="54"/>
    <w:qFormat/>
    <w:uiPriority w:val="99"/>
    <w:pPr>
      <w:tabs>
        <w:tab w:val="center" w:pos="4153"/>
        <w:tab w:val="right" w:pos="8306"/>
      </w:tabs>
      <w:snapToGrid w:val="0"/>
      <w:jc w:val="left"/>
    </w:pPr>
    <w:rPr>
      <w:kern w:val="0"/>
      <w:sz w:val="18"/>
      <w:szCs w:val="20"/>
    </w:rPr>
  </w:style>
  <w:style w:type="paragraph" w:styleId="14">
    <w:name w:val="header"/>
    <w:basedOn w:val="1"/>
    <w:link w:val="41"/>
    <w:qFormat/>
    <w:uiPriority w:val="0"/>
    <w:pPr>
      <w:pBdr>
        <w:bottom w:val="single" w:color="auto" w:sz="6" w:space="1"/>
      </w:pBdr>
      <w:tabs>
        <w:tab w:val="center" w:pos="4153"/>
        <w:tab w:val="right" w:pos="8306"/>
      </w:tabs>
      <w:snapToGrid w:val="0"/>
      <w:jc w:val="center"/>
    </w:pPr>
    <w:rPr>
      <w:kern w:val="0"/>
      <w:sz w:val="18"/>
      <w:szCs w:val="20"/>
    </w:rPr>
  </w:style>
  <w:style w:type="paragraph" w:styleId="15">
    <w:name w:val="toc 1"/>
    <w:basedOn w:val="1"/>
    <w:next w:val="1"/>
    <w:qFormat/>
    <w:locked/>
    <w:uiPriority w:val="39"/>
    <w:pPr>
      <w:tabs>
        <w:tab w:val="right" w:leader="dot" w:pos="8834"/>
      </w:tabs>
      <w:spacing w:line="500" w:lineRule="exact"/>
    </w:pPr>
  </w:style>
  <w:style w:type="paragraph" w:styleId="16">
    <w:name w:val="List"/>
    <w:basedOn w:val="1"/>
    <w:qFormat/>
    <w:locked/>
    <w:uiPriority w:val="0"/>
    <w:pPr>
      <w:ind w:left="200" w:hanging="200" w:hangingChars="200"/>
      <w:contextualSpacing/>
    </w:pPr>
  </w:style>
  <w:style w:type="paragraph" w:styleId="17">
    <w:name w:val="table of figures"/>
    <w:basedOn w:val="1"/>
    <w:next w:val="1"/>
    <w:unhideWhenUsed/>
    <w:qFormat/>
    <w:locked/>
    <w:uiPriority w:val="99"/>
    <w:pPr>
      <w:ind w:left="200" w:leftChars="200" w:hanging="200" w:hangingChars="200"/>
    </w:pPr>
    <w:rPr>
      <w:szCs w:val="20"/>
    </w:rPr>
  </w:style>
  <w:style w:type="paragraph" w:styleId="18">
    <w:name w:val="Normal (Web)"/>
    <w:basedOn w:val="1"/>
    <w:link w:val="58"/>
    <w:qFormat/>
    <w:uiPriority w:val="0"/>
    <w:pPr>
      <w:widowControl/>
      <w:jc w:val="center"/>
      <w:outlineLvl w:val="0"/>
    </w:pPr>
    <w:rPr>
      <w:rFonts w:ascii="宋体" w:hAnsi="宋体"/>
      <w:kern w:val="0"/>
      <w:sz w:val="24"/>
      <w:szCs w:val="20"/>
    </w:rPr>
  </w:style>
  <w:style w:type="paragraph" w:styleId="19">
    <w:name w:val="Title"/>
    <w:basedOn w:val="1"/>
    <w:next w:val="1"/>
    <w:link w:val="106"/>
    <w:qFormat/>
    <w:locked/>
    <w:uiPriority w:val="0"/>
    <w:pPr>
      <w:spacing w:before="240" w:after="60"/>
      <w:jc w:val="center"/>
      <w:outlineLvl w:val="0"/>
    </w:pPr>
    <w:rPr>
      <w:rFonts w:asciiTheme="majorHAnsi" w:hAnsiTheme="majorHAnsi" w:eastAsiaTheme="majorEastAsia" w:cstheme="majorBidi"/>
      <w:b/>
      <w:bCs/>
      <w:sz w:val="32"/>
      <w:szCs w:val="32"/>
    </w:rPr>
  </w:style>
  <w:style w:type="paragraph" w:styleId="20">
    <w:name w:val="annotation subject"/>
    <w:basedOn w:val="6"/>
    <w:next w:val="6"/>
    <w:link w:val="32"/>
    <w:autoRedefine/>
    <w:semiHidden/>
    <w:qFormat/>
    <w:uiPriority w:val="0"/>
    <w:rPr>
      <w:b/>
    </w:rPr>
  </w:style>
  <w:style w:type="table" w:styleId="22">
    <w:name w:val="Table Grid"/>
    <w:basedOn w:val="21"/>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Strong"/>
    <w:autoRedefine/>
    <w:qFormat/>
    <w:locked/>
    <w:uiPriority w:val="22"/>
    <w:rPr>
      <w:b/>
      <w:bCs/>
    </w:rPr>
  </w:style>
  <w:style w:type="character" w:styleId="25">
    <w:name w:val="page number"/>
    <w:autoRedefine/>
    <w:qFormat/>
    <w:locked/>
    <w:uiPriority w:val="0"/>
  </w:style>
  <w:style w:type="character" w:styleId="26">
    <w:name w:val="FollowedHyperlink"/>
    <w:basedOn w:val="23"/>
    <w:autoRedefine/>
    <w:unhideWhenUsed/>
    <w:qFormat/>
    <w:locked/>
    <w:uiPriority w:val="99"/>
    <w:rPr>
      <w:color w:val="954F72"/>
      <w:u w:val="single"/>
    </w:rPr>
  </w:style>
  <w:style w:type="character" w:styleId="27">
    <w:name w:val="Hyperlink"/>
    <w:autoRedefine/>
    <w:qFormat/>
    <w:locked/>
    <w:uiPriority w:val="99"/>
    <w:rPr>
      <w:color w:val="0000FF"/>
      <w:u w:val="single"/>
    </w:rPr>
  </w:style>
  <w:style w:type="character" w:styleId="28">
    <w:name w:val="annotation reference"/>
    <w:basedOn w:val="23"/>
    <w:autoRedefine/>
    <w:qFormat/>
    <w:uiPriority w:val="0"/>
    <w:rPr>
      <w:sz w:val="21"/>
    </w:rPr>
  </w:style>
  <w:style w:type="character" w:customStyle="1" w:styleId="29">
    <w:name w:val="图表标题 字符"/>
    <w:link w:val="30"/>
    <w:autoRedefine/>
    <w:qFormat/>
    <w:locked/>
    <w:uiPriority w:val="0"/>
    <w:rPr>
      <w:b/>
      <w:sz w:val="24"/>
    </w:rPr>
  </w:style>
  <w:style w:type="paragraph" w:customStyle="1" w:styleId="30">
    <w:name w:val="图表标题"/>
    <w:basedOn w:val="17"/>
    <w:next w:val="31"/>
    <w:link w:val="29"/>
    <w:qFormat/>
    <w:uiPriority w:val="0"/>
    <w:pPr>
      <w:spacing w:line="360" w:lineRule="auto"/>
      <w:ind w:left="0" w:leftChars="0" w:firstLine="0" w:firstLineChars="0"/>
      <w:jc w:val="center"/>
      <w:outlineLvl w:val="5"/>
    </w:pPr>
    <w:rPr>
      <w:b/>
      <w:kern w:val="0"/>
      <w:sz w:val="24"/>
    </w:rPr>
  </w:style>
  <w:style w:type="paragraph" w:customStyle="1" w:styleId="31">
    <w:name w:val="+正文"/>
    <w:basedOn w:val="1"/>
    <w:qFormat/>
    <w:uiPriority w:val="0"/>
    <w:pPr>
      <w:spacing w:line="500" w:lineRule="exact"/>
      <w:ind w:firstLine="422" w:firstLineChars="200"/>
    </w:pPr>
    <w:rPr>
      <w:rFonts w:hAnsi="宋体"/>
      <w:sz w:val="24"/>
      <w:szCs w:val="28"/>
    </w:rPr>
  </w:style>
  <w:style w:type="character" w:customStyle="1" w:styleId="32">
    <w:name w:val="批注主题 字符"/>
    <w:link w:val="20"/>
    <w:autoRedefine/>
    <w:semiHidden/>
    <w:qFormat/>
    <w:locked/>
    <w:uiPriority w:val="0"/>
    <w:rPr>
      <w:rFonts w:ascii="Times New Roman" w:hAnsi="Times New Roman" w:eastAsia="宋体"/>
      <w:b/>
      <w:kern w:val="2"/>
      <w:sz w:val="24"/>
    </w:rPr>
  </w:style>
  <w:style w:type="character" w:customStyle="1" w:styleId="33">
    <w:name w:val="正文文本缩进 字符"/>
    <w:link w:val="8"/>
    <w:autoRedefine/>
    <w:semiHidden/>
    <w:qFormat/>
    <w:locked/>
    <w:uiPriority w:val="0"/>
    <w:rPr>
      <w:rFonts w:ascii="Times New Roman" w:hAnsi="Times New Roman" w:eastAsia="宋体"/>
      <w:sz w:val="24"/>
    </w:rPr>
  </w:style>
  <w:style w:type="character" w:customStyle="1" w:styleId="34">
    <w:name w:val="批注文字 字符"/>
    <w:autoRedefine/>
    <w:semiHidden/>
    <w:qFormat/>
    <w:uiPriority w:val="99"/>
    <w:rPr>
      <w:kern w:val="2"/>
      <w:sz w:val="21"/>
    </w:rPr>
  </w:style>
  <w:style w:type="character" w:customStyle="1" w:styleId="35">
    <w:name w:val="批注框文本 字符"/>
    <w:link w:val="12"/>
    <w:autoRedefine/>
    <w:qFormat/>
    <w:locked/>
    <w:uiPriority w:val="99"/>
    <w:rPr>
      <w:rFonts w:ascii="Times New Roman" w:hAnsi="Times New Roman" w:eastAsia="宋体"/>
      <w:sz w:val="18"/>
    </w:rPr>
  </w:style>
  <w:style w:type="character" w:customStyle="1" w:styleId="36">
    <w:name w:val="标题 2 字符"/>
    <w:link w:val="3"/>
    <w:autoRedefine/>
    <w:semiHidden/>
    <w:qFormat/>
    <w:uiPriority w:val="0"/>
    <w:rPr>
      <w:rFonts w:ascii="等线 Light" w:hAnsi="等线 Light" w:eastAsia="等线 Light" w:cs="Times New Roman"/>
      <w:b/>
      <w:bCs/>
      <w:kern w:val="2"/>
      <w:sz w:val="32"/>
      <w:szCs w:val="32"/>
    </w:rPr>
  </w:style>
  <w:style w:type="character" w:customStyle="1" w:styleId="37">
    <w:name w:val="报告表 文字 Char"/>
    <w:link w:val="38"/>
    <w:autoRedefine/>
    <w:qFormat/>
    <w:locked/>
    <w:uiPriority w:val="0"/>
    <w:rPr>
      <w:rFonts w:ascii="仿宋_GB2312" w:eastAsia="仿宋_GB2312"/>
      <w:kern w:val="2"/>
      <w:sz w:val="24"/>
      <w:szCs w:val="24"/>
    </w:rPr>
  </w:style>
  <w:style w:type="paragraph" w:customStyle="1" w:styleId="38">
    <w:name w:val="报告表 文字"/>
    <w:link w:val="37"/>
    <w:qFormat/>
    <w:uiPriority w:val="0"/>
    <w:pPr>
      <w:widowControl w:val="0"/>
      <w:snapToGrid w:val="0"/>
      <w:spacing w:line="400" w:lineRule="exact"/>
      <w:ind w:firstLine="200" w:firstLineChars="200"/>
      <w:jc w:val="both"/>
    </w:pPr>
    <w:rPr>
      <w:rFonts w:ascii="仿宋_GB2312" w:hAnsi="Times New Roman" w:eastAsia="仿宋_GB2312" w:cs="Times New Roman"/>
      <w:kern w:val="2"/>
      <w:sz w:val="24"/>
      <w:szCs w:val="24"/>
      <w:lang w:val="en-US" w:eastAsia="zh-CN" w:bidi="ar-SA"/>
    </w:rPr>
  </w:style>
  <w:style w:type="character" w:customStyle="1" w:styleId="39">
    <w:name w:val="报告表格 Char"/>
    <w:link w:val="40"/>
    <w:autoRedefine/>
    <w:qFormat/>
    <w:locked/>
    <w:uiPriority w:val="0"/>
  </w:style>
  <w:style w:type="paragraph" w:customStyle="1" w:styleId="40">
    <w:name w:val="报告表格"/>
    <w:basedOn w:val="1"/>
    <w:link w:val="39"/>
    <w:qFormat/>
    <w:uiPriority w:val="0"/>
    <w:pPr>
      <w:autoSpaceDE w:val="0"/>
      <w:autoSpaceDN w:val="0"/>
      <w:adjustRightInd w:val="0"/>
      <w:jc w:val="center"/>
    </w:pPr>
    <w:rPr>
      <w:kern w:val="0"/>
      <w:sz w:val="20"/>
      <w:szCs w:val="20"/>
    </w:rPr>
  </w:style>
  <w:style w:type="character" w:customStyle="1" w:styleId="41">
    <w:name w:val="页眉 字符"/>
    <w:link w:val="14"/>
    <w:autoRedefine/>
    <w:qFormat/>
    <w:locked/>
    <w:uiPriority w:val="0"/>
    <w:rPr>
      <w:sz w:val="18"/>
    </w:rPr>
  </w:style>
  <w:style w:type="character" w:customStyle="1" w:styleId="42">
    <w:name w:val="加粗（无缩进） Char"/>
    <w:link w:val="43"/>
    <w:autoRedefine/>
    <w:qFormat/>
    <w:uiPriority w:val="0"/>
    <w:rPr>
      <w:rFonts w:eastAsia="仿宋_GB2312"/>
      <w:b/>
      <w:bCs/>
      <w:kern w:val="2"/>
      <w:sz w:val="24"/>
      <w:szCs w:val="24"/>
    </w:rPr>
  </w:style>
  <w:style w:type="paragraph" w:customStyle="1" w:styleId="43">
    <w:name w:val="加粗（无缩进）"/>
    <w:basedOn w:val="1"/>
    <w:link w:val="42"/>
    <w:qFormat/>
    <w:uiPriority w:val="0"/>
    <w:pPr>
      <w:spacing w:line="400" w:lineRule="exact"/>
    </w:pPr>
    <w:rPr>
      <w:rFonts w:eastAsia="仿宋_GB2312"/>
      <w:b/>
      <w:bCs/>
      <w:sz w:val="24"/>
    </w:rPr>
  </w:style>
  <w:style w:type="character" w:customStyle="1" w:styleId="44">
    <w:name w:val="表格 Char"/>
    <w:link w:val="45"/>
    <w:autoRedefine/>
    <w:qFormat/>
    <w:locked/>
    <w:uiPriority w:val="0"/>
    <w:rPr>
      <w:rFonts w:ascii="宋体"/>
      <w:sz w:val="21"/>
    </w:rPr>
  </w:style>
  <w:style w:type="paragraph" w:customStyle="1" w:styleId="45">
    <w:name w:val="表格"/>
    <w:basedOn w:val="1"/>
    <w:link w:val="44"/>
    <w:qFormat/>
    <w:uiPriority w:val="0"/>
    <w:pPr>
      <w:adjustRightInd w:val="0"/>
      <w:snapToGrid w:val="0"/>
      <w:spacing w:beforeLines="10" w:afterLines="10" w:line="259" w:lineRule="auto"/>
      <w:jc w:val="center"/>
    </w:pPr>
    <w:rPr>
      <w:rFonts w:ascii="宋体"/>
      <w:kern w:val="0"/>
      <w:szCs w:val="20"/>
    </w:rPr>
  </w:style>
  <w:style w:type="character" w:customStyle="1" w:styleId="46">
    <w:name w:val="批注文字 字符2"/>
    <w:link w:val="6"/>
    <w:autoRedefine/>
    <w:qFormat/>
    <w:locked/>
    <w:uiPriority w:val="0"/>
    <w:rPr>
      <w:sz w:val="24"/>
    </w:rPr>
  </w:style>
  <w:style w:type="character" w:customStyle="1" w:styleId="47">
    <w:name w:val="标题 9 Char11"/>
    <w:autoRedefine/>
    <w:qFormat/>
    <w:uiPriority w:val="0"/>
    <w:rPr>
      <w:rFonts w:ascii="Arial" w:hAnsi="Arial" w:eastAsia="黑体"/>
      <w:kern w:val="2"/>
      <w:sz w:val="21"/>
      <w:szCs w:val="21"/>
      <w:lang w:val="en-US" w:eastAsia="zh-CN" w:bidi="ar-SA"/>
    </w:rPr>
  </w:style>
  <w:style w:type="character" w:customStyle="1" w:styleId="48">
    <w:name w:val="图表内容 字符"/>
    <w:link w:val="49"/>
    <w:autoRedefine/>
    <w:qFormat/>
    <w:locked/>
    <w:uiPriority w:val="0"/>
    <w:rPr>
      <w:bCs/>
      <w:szCs w:val="21"/>
    </w:rPr>
  </w:style>
  <w:style w:type="paragraph" w:customStyle="1" w:styleId="49">
    <w:name w:val="图表内容"/>
    <w:basedOn w:val="1"/>
    <w:link w:val="48"/>
    <w:qFormat/>
    <w:uiPriority w:val="0"/>
    <w:pPr>
      <w:topLinePunct/>
      <w:adjustRightInd w:val="0"/>
    </w:pPr>
    <w:rPr>
      <w:bCs/>
      <w:kern w:val="0"/>
      <w:sz w:val="20"/>
      <w:szCs w:val="21"/>
    </w:rPr>
  </w:style>
  <w:style w:type="character" w:customStyle="1" w:styleId="50">
    <w:name w:val="页脚 字符"/>
    <w:autoRedefine/>
    <w:qFormat/>
    <w:uiPriority w:val="99"/>
  </w:style>
  <w:style w:type="character" w:customStyle="1" w:styleId="51">
    <w:name w:val="正文缩进G 字符"/>
    <w:link w:val="52"/>
    <w:autoRedefine/>
    <w:qFormat/>
    <w:locked/>
    <w:uiPriority w:val="0"/>
    <w:rPr>
      <w:rFonts w:hAnsi="宋体"/>
      <w:color w:val="00B050"/>
      <w:sz w:val="24"/>
      <w:szCs w:val="24"/>
    </w:rPr>
  </w:style>
  <w:style w:type="paragraph" w:customStyle="1" w:styleId="52">
    <w:name w:val="正文缩进G"/>
    <w:basedOn w:val="5"/>
    <w:link w:val="51"/>
    <w:qFormat/>
    <w:uiPriority w:val="0"/>
    <w:pPr>
      <w:spacing w:line="500" w:lineRule="exact"/>
      <w:ind w:firstLine="480"/>
    </w:pPr>
    <w:rPr>
      <w:rFonts w:hAnsi="宋体"/>
      <w:color w:val="00B050"/>
      <w:kern w:val="0"/>
      <w:sz w:val="24"/>
    </w:rPr>
  </w:style>
  <w:style w:type="character" w:customStyle="1" w:styleId="53">
    <w:name w:val="日期 字符"/>
    <w:autoRedefine/>
    <w:semiHidden/>
    <w:qFormat/>
    <w:uiPriority w:val="0"/>
    <w:rPr>
      <w:rFonts w:ascii="Times New Roman" w:hAnsi="Times New Roman" w:eastAsia="宋体"/>
      <w:sz w:val="24"/>
    </w:rPr>
  </w:style>
  <w:style w:type="character" w:customStyle="1" w:styleId="54">
    <w:name w:val="页脚 字符1"/>
    <w:link w:val="13"/>
    <w:autoRedefine/>
    <w:qFormat/>
    <w:locked/>
    <w:uiPriority w:val="99"/>
    <w:rPr>
      <w:sz w:val="18"/>
    </w:rPr>
  </w:style>
  <w:style w:type="character" w:customStyle="1" w:styleId="55">
    <w:name w:val="正文文本 字符2"/>
    <w:link w:val="7"/>
    <w:autoRedefine/>
    <w:qFormat/>
    <w:locked/>
    <w:uiPriority w:val="0"/>
    <w:rPr>
      <w:sz w:val="18"/>
    </w:rPr>
  </w:style>
  <w:style w:type="character" w:customStyle="1" w:styleId="56">
    <w:name w:val="图表文字G 字符"/>
    <w:link w:val="57"/>
    <w:autoRedefine/>
    <w:qFormat/>
    <w:uiPriority w:val="0"/>
    <w:rPr>
      <w:kern w:val="2"/>
      <w:sz w:val="21"/>
      <w:szCs w:val="18"/>
    </w:rPr>
  </w:style>
  <w:style w:type="paragraph" w:customStyle="1" w:styleId="57">
    <w:name w:val="图表文字G"/>
    <w:basedOn w:val="5"/>
    <w:link w:val="56"/>
    <w:qFormat/>
    <w:uiPriority w:val="0"/>
    <w:pPr>
      <w:spacing w:line="500" w:lineRule="exact"/>
      <w:ind w:firstLine="0" w:firstLineChars="0"/>
      <w:jc w:val="center"/>
    </w:pPr>
    <w:rPr>
      <w:szCs w:val="18"/>
    </w:rPr>
  </w:style>
  <w:style w:type="character" w:customStyle="1" w:styleId="58">
    <w:name w:val="普通(网站) 字符"/>
    <w:link w:val="18"/>
    <w:autoRedefine/>
    <w:qFormat/>
    <w:locked/>
    <w:uiPriority w:val="0"/>
    <w:rPr>
      <w:rFonts w:ascii="宋体" w:hAnsi="宋体"/>
      <w:sz w:val="24"/>
    </w:rPr>
  </w:style>
  <w:style w:type="character" w:customStyle="1" w:styleId="59">
    <w:name w:val="批注文字 字符1"/>
    <w:autoRedefine/>
    <w:semiHidden/>
    <w:qFormat/>
    <w:uiPriority w:val="0"/>
    <w:rPr>
      <w:rFonts w:ascii="Times New Roman" w:hAnsi="Times New Roman" w:eastAsia="宋体"/>
      <w:sz w:val="24"/>
    </w:rPr>
  </w:style>
  <w:style w:type="character" w:customStyle="1" w:styleId="60">
    <w:name w:val="正文文本 字符1"/>
    <w:autoRedefine/>
    <w:semiHidden/>
    <w:qFormat/>
    <w:uiPriority w:val="0"/>
    <w:rPr>
      <w:rFonts w:ascii="Times New Roman" w:hAnsi="Times New Roman" w:eastAsia="宋体"/>
      <w:sz w:val="24"/>
    </w:rPr>
  </w:style>
  <w:style w:type="character" w:customStyle="1" w:styleId="61">
    <w:name w:val="日期 字符1"/>
    <w:link w:val="11"/>
    <w:autoRedefine/>
    <w:qFormat/>
    <w:locked/>
    <w:uiPriority w:val="0"/>
    <w:rPr>
      <w:rFonts w:ascii="Times New Roman" w:hAnsi="Times New Roman" w:eastAsia="宋体"/>
      <w:sz w:val="24"/>
    </w:rPr>
  </w:style>
  <w:style w:type="character" w:customStyle="1" w:styleId="62">
    <w:name w:val="正文文本 字符"/>
    <w:autoRedefine/>
    <w:qFormat/>
    <w:locked/>
    <w:uiPriority w:val="0"/>
    <w:rPr>
      <w:sz w:val="18"/>
    </w:rPr>
  </w:style>
  <w:style w:type="character" w:customStyle="1" w:styleId="63">
    <w:name w:val="电子邮件签名 字符"/>
    <w:link w:val="4"/>
    <w:autoRedefine/>
    <w:qFormat/>
    <w:uiPriority w:val="0"/>
    <w:rPr>
      <w:rFonts w:ascii="仿宋_GB2312" w:eastAsia="仿宋_GB2312"/>
      <w:kern w:val="2"/>
      <w:sz w:val="28"/>
    </w:rPr>
  </w:style>
  <w:style w:type="character" w:customStyle="1" w:styleId="64">
    <w:name w:val="标题2 Char12"/>
    <w:autoRedefine/>
    <w:qFormat/>
    <w:uiPriority w:val="0"/>
    <w:rPr>
      <w:rFonts w:ascii="宋体" w:hAnsi="宋体" w:eastAsia="宋体" w:cs="宋体"/>
      <w:color w:val="000000"/>
      <w:kern w:val="2"/>
      <w:sz w:val="24"/>
      <w:szCs w:val="24"/>
      <w:lang w:val="en-US" w:eastAsia="zh-CN" w:bidi="ar-SA"/>
    </w:rPr>
  </w:style>
  <w:style w:type="character" w:customStyle="1" w:styleId="65">
    <w:name w:val="表格 标题 Char"/>
    <w:link w:val="66"/>
    <w:autoRedefine/>
    <w:qFormat/>
    <w:uiPriority w:val="0"/>
    <w:rPr>
      <w:rFonts w:eastAsia="仿宋_GB2312"/>
      <w:b/>
      <w:sz w:val="24"/>
      <w:szCs w:val="24"/>
    </w:rPr>
  </w:style>
  <w:style w:type="paragraph" w:customStyle="1" w:styleId="66">
    <w:name w:val="表格 标题"/>
    <w:link w:val="65"/>
    <w:qFormat/>
    <w:uiPriority w:val="0"/>
    <w:pPr>
      <w:snapToGrid w:val="0"/>
      <w:spacing w:line="500" w:lineRule="exact"/>
      <w:jc w:val="center"/>
    </w:pPr>
    <w:rPr>
      <w:rFonts w:ascii="Times New Roman" w:hAnsi="Times New Roman" w:eastAsia="仿宋_GB2312" w:cs="Times New Roman"/>
      <w:b/>
      <w:sz w:val="24"/>
      <w:szCs w:val="24"/>
      <w:lang w:val="en-US" w:eastAsia="zh-CN" w:bidi="ar-SA"/>
    </w:rPr>
  </w:style>
  <w:style w:type="character" w:customStyle="1" w:styleId="67">
    <w:name w:val="图表标题G 字符"/>
    <w:link w:val="68"/>
    <w:autoRedefine/>
    <w:qFormat/>
    <w:uiPriority w:val="0"/>
    <w:rPr>
      <w:b/>
      <w:bCs/>
      <w:kern w:val="2"/>
      <w:sz w:val="24"/>
      <w:szCs w:val="21"/>
    </w:rPr>
  </w:style>
  <w:style w:type="paragraph" w:customStyle="1" w:styleId="68">
    <w:name w:val="图表标题G"/>
    <w:basedOn w:val="5"/>
    <w:link w:val="67"/>
    <w:qFormat/>
    <w:uiPriority w:val="0"/>
    <w:pPr>
      <w:ind w:firstLine="0" w:firstLineChars="0"/>
      <w:jc w:val="center"/>
    </w:pPr>
    <w:rPr>
      <w:b/>
      <w:bCs/>
      <w:sz w:val="24"/>
      <w:szCs w:val="21"/>
    </w:rPr>
  </w:style>
  <w:style w:type="character" w:customStyle="1" w:styleId="69">
    <w:name w:val="报告表正文 Char"/>
    <w:link w:val="70"/>
    <w:autoRedefine/>
    <w:qFormat/>
    <w:uiPriority w:val="0"/>
    <w:rPr>
      <w:rFonts w:eastAsia="仿宋_GB2312"/>
      <w:kern w:val="2"/>
      <w:sz w:val="24"/>
      <w:szCs w:val="24"/>
    </w:rPr>
  </w:style>
  <w:style w:type="paragraph" w:customStyle="1" w:styleId="70">
    <w:name w:val="报告表正文"/>
    <w:basedOn w:val="1"/>
    <w:link w:val="69"/>
    <w:qFormat/>
    <w:uiPriority w:val="0"/>
    <w:pPr>
      <w:spacing w:line="400" w:lineRule="exact"/>
      <w:ind w:firstLine="200" w:firstLineChars="200"/>
      <w:jc w:val="left"/>
    </w:pPr>
    <w:rPr>
      <w:rFonts w:eastAsia="仿宋_GB2312"/>
      <w:sz w:val="24"/>
    </w:rPr>
  </w:style>
  <w:style w:type="character" w:customStyle="1" w:styleId="71">
    <w:name w:val="表格普通 Char"/>
    <w:link w:val="72"/>
    <w:autoRedefine/>
    <w:qFormat/>
    <w:uiPriority w:val="0"/>
    <w:rPr>
      <w:rFonts w:eastAsia="仿宋_GB2312"/>
      <w:kern w:val="2"/>
      <w:sz w:val="21"/>
      <w:szCs w:val="21"/>
    </w:rPr>
  </w:style>
  <w:style w:type="paragraph" w:customStyle="1" w:styleId="72">
    <w:name w:val="表格普通"/>
    <w:basedOn w:val="1"/>
    <w:link w:val="71"/>
    <w:qFormat/>
    <w:uiPriority w:val="0"/>
    <w:pPr>
      <w:jc w:val="center"/>
    </w:pPr>
    <w:rPr>
      <w:rFonts w:eastAsia="仿宋_GB2312"/>
      <w:szCs w:val="21"/>
    </w:rPr>
  </w:style>
  <w:style w:type="character" w:customStyle="1" w:styleId="73">
    <w:name w:val="表格首行 Char"/>
    <w:link w:val="74"/>
    <w:autoRedefine/>
    <w:qFormat/>
    <w:uiPriority w:val="0"/>
    <w:rPr>
      <w:rFonts w:eastAsia="仿宋_GB2312"/>
      <w:b/>
      <w:kern w:val="2"/>
      <w:sz w:val="21"/>
      <w:szCs w:val="21"/>
    </w:rPr>
  </w:style>
  <w:style w:type="paragraph" w:customStyle="1" w:styleId="74">
    <w:name w:val="表格首行"/>
    <w:basedOn w:val="1"/>
    <w:link w:val="73"/>
    <w:qFormat/>
    <w:uiPriority w:val="0"/>
    <w:pPr>
      <w:jc w:val="center"/>
    </w:pPr>
    <w:rPr>
      <w:rFonts w:eastAsia="仿宋_GB2312"/>
      <w:b/>
      <w:szCs w:val="21"/>
    </w:rPr>
  </w:style>
  <w:style w:type="paragraph" w:customStyle="1" w:styleId="75">
    <w:name w:val="正文01"/>
    <w:basedOn w:val="1"/>
    <w:qFormat/>
    <w:uiPriority w:val="0"/>
    <w:pPr>
      <w:jc w:val="center"/>
    </w:pPr>
    <w:rPr>
      <w:szCs w:val="21"/>
    </w:rPr>
  </w:style>
  <w:style w:type="paragraph" w:customStyle="1" w:styleId="76">
    <w:name w:val="Table Paragraph"/>
    <w:basedOn w:val="1"/>
    <w:qFormat/>
    <w:uiPriority w:val="1"/>
    <w:pPr>
      <w:autoSpaceDE w:val="0"/>
      <w:autoSpaceDN w:val="0"/>
    </w:pPr>
    <w:rPr>
      <w:rFonts w:eastAsia="Times New Roman"/>
      <w:kern w:val="0"/>
      <w:sz w:val="22"/>
      <w:szCs w:val="22"/>
      <w:lang w:val="zh-CN" w:bidi="zh-CN"/>
    </w:rPr>
  </w:style>
  <w:style w:type="paragraph" w:customStyle="1" w:styleId="77">
    <w:name w:val="目录 11"/>
    <w:basedOn w:val="1"/>
    <w:next w:val="1"/>
    <w:qFormat/>
    <w:locked/>
    <w:uiPriority w:val="39"/>
  </w:style>
  <w:style w:type="paragraph" w:customStyle="1" w:styleId="78">
    <w:name w:val="TOC 标题1"/>
    <w:basedOn w:val="2"/>
    <w:next w:val="1"/>
    <w:qFormat/>
    <w:uiPriority w:val="39"/>
    <w:pPr>
      <w:keepLines/>
      <w:widowControl/>
      <w:overflowPunct/>
      <w:snapToGrid/>
      <w:spacing w:before="240" w:after="0"/>
      <w:ind w:left="0" w:firstLine="0"/>
      <w:jc w:val="left"/>
      <w:outlineLvl w:val="9"/>
    </w:pPr>
    <w:rPr>
      <w:rFonts w:ascii="等线 Light" w:hAnsi="等线 Light" w:eastAsia="等线 Light"/>
      <w:b w:val="0"/>
      <w:bCs w:val="0"/>
      <w:color w:val="2E74B5"/>
      <w:kern w:val="0"/>
      <w:sz w:val="32"/>
      <w:szCs w:val="32"/>
    </w:rPr>
  </w:style>
  <w:style w:type="paragraph" w:customStyle="1" w:styleId="79">
    <w:name w:val="修订1"/>
    <w:autoRedefine/>
    <w:semiHidden/>
    <w:qFormat/>
    <w:uiPriority w:val="99"/>
    <w:rPr>
      <w:rFonts w:ascii="Times New Roman" w:hAnsi="Times New Roman" w:eastAsia="宋体" w:cs="Times New Roman"/>
      <w:kern w:val="2"/>
      <w:sz w:val="21"/>
      <w:szCs w:val="24"/>
      <w:lang w:val="en-US" w:eastAsia="zh-CN" w:bidi="ar-SA"/>
    </w:rPr>
  </w:style>
  <w:style w:type="paragraph" w:customStyle="1" w:styleId="80">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81">
    <w:name w:val="普通(网站)2"/>
    <w:basedOn w:val="1"/>
    <w:qFormat/>
    <w:uiPriority w:val="0"/>
    <w:pPr>
      <w:widowControl/>
      <w:spacing w:before="100" w:beforeAutospacing="1" w:after="100" w:afterAutospacing="1"/>
      <w:jc w:val="left"/>
    </w:pPr>
    <w:rPr>
      <w:rFonts w:ascii="宋体" w:hAnsi="宋体"/>
      <w:sz w:val="24"/>
      <w:szCs w:val="20"/>
    </w:rPr>
  </w:style>
  <w:style w:type="paragraph" w:customStyle="1" w:styleId="82">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83">
    <w:name w:val="1  表"/>
    <w:basedOn w:val="1"/>
    <w:next w:val="10"/>
    <w:qFormat/>
    <w:uiPriority w:val="0"/>
    <w:pPr>
      <w:spacing w:line="276" w:lineRule="auto"/>
      <w:jc w:val="center"/>
    </w:pPr>
    <w:rPr>
      <w:kern w:val="24"/>
      <w:szCs w:val="20"/>
    </w:rPr>
  </w:style>
  <w:style w:type="table" w:customStyle="1" w:styleId="84">
    <w:name w:val="Table Normal"/>
    <w:autoRedefine/>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85">
    <w:name w:val="图表上下G1"/>
    <w:basedOn w:val="21"/>
    <w:autoRedefine/>
    <w:qFormat/>
    <w:uiPriority w:val="99"/>
    <w:pPr>
      <w:jc w:val="center"/>
    </w:pPr>
    <w:tblPr>
      <w:tblBorders>
        <w:top w:val="single" w:color="auto" w:sz="12" w:space="0"/>
        <w:bottom w:val="single" w:color="auto" w:sz="12" w:space="0"/>
        <w:insideH w:val="single" w:color="auto" w:sz="4" w:space="0"/>
        <w:insideV w:val="single" w:color="auto" w:sz="4" w:space="0"/>
      </w:tblBorders>
    </w:tblPr>
    <w:tcPr>
      <w:vAlign w:val="center"/>
    </w:tcPr>
  </w:style>
  <w:style w:type="paragraph" w:customStyle="1" w:styleId="86">
    <w:name w:val="000表头图头"/>
    <w:basedOn w:val="1"/>
    <w:link w:val="87"/>
    <w:qFormat/>
    <w:uiPriority w:val="0"/>
    <w:pPr>
      <w:spacing w:line="360" w:lineRule="auto"/>
      <w:jc w:val="center"/>
    </w:pPr>
    <w:rPr>
      <w:rFonts w:cstheme="minorBidi"/>
      <w:b/>
      <w:sz w:val="24"/>
    </w:rPr>
  </w:style>
  <w:style w:type="character" w:customStyle="1" w:styleId="87">
    <w:name w:val="000表头图头 字符"/>
    <w:basedOn w:val="23"/>
    <w:link w:val="86"/>
    <w:autoRedefine/>
    <w:qFormat/>
    <w:uiPriority w:val="0"/>
    <w:rPr>
      <w:rFonts w:cstheme="minorBidi"/>
      <w:b/>
      <w:kern w:val="2"/>
      <w:sz w:val="24"/>
      <w:szCs w:val="24"/>
    </w:rPr>
  </w:style>
  <w:style w:type="paragraph" w:styleId="88">
    <w:name w:val="List Paragraph"/>
    <w:basedOn w:val="1"/>
    <w:qFormat/>
    <w:uiPriority w:val="99"/>
    <w:pPr>
      <w:numPr>
        <w:ilvl w:val="0"/>
        <w:numId w:val="1"/>
      </w:numPr>
      <w:spacing w:line="500" w:lineRule="exact"/>
    </w:pPr>
  </w:style>
  <w:style w:type="paragraph" w:customStyle="1" w:styleId="89">
    <w:name w:val="font5"/>
    <w:basedOn w:val="1"/>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90">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91">
    <w:name w:val="xl66"/>
    <w:basedOn w:val="1"/>
    <w:qFormat/>
    <w:uiPriority w:val="0"/>
    <w:pPr>
      <w:widowControl/>
      <w:spacing w:before="100" w:beforeAutospacing="1" w:after="100" w:afterAutospacing="1"/>
      <w:jc w:val="center"/>
      <w:textAlignment w:val="center"/>
    </w:pPr>
    <w:rPr>
      <w:rFonts w:ascii="宋体" w:hAnsi="宋体" w:cs="宋体"/>
      <w:kern w:val="0"/>
      <w:sz w:val="24"/>
    </w:rPr>
  </w:style>
  <w:style w:type="paragraph" w:customStyle="1" w:styleId="92">
    <w:name w:val="xl6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93">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94">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95">
    <w:name w:val="xl70"/>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96">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97">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98">
    <w:name w:val="xl7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99">
    <w:name w:val="xl74"/>
    <w:basedOn w:val="1"/>
    <w:qFormat/>
    <w:uiPriority w:val="0"/>
    <w:pPr>
      <w:widowControl/>
      <w:spacing w:before="100" w:beforeAutospacing="1" w:after="100" w:afterAutospacing="1"/>
      <w:jc w:val="left"/>
      <w:textAlignment w:val="center"/>
    </w:pPr>
    <w:rPr>
      <w:rFonts w:ascii="宋体" w:hAnsi="宋体" w:cs="宋体"/>
      <w:kern w:val="0"/>
      <w:sz w:val="24"/>
    </w:rPr>
  </w:style>
  <w:style w:type="character" w:customStyle="1" w:styleId="100">
    <w:name w:val="font11"/>
    <w:basedOn w:val="23"/>
    <w:autoRedefine/>
    <w:qFormat/>
    <w:uiPriority w:val="0"/>
    <w:rPr>
      <w:rFonts w:hint="eastAsia" w:ascii="宋体" w:hAnsi="宋体" w:eastAsia="宋体"/>
      <w:color w:val="000000"/>
      <w:sz w:val="21"/>
      <w:szCs w:val="21"/>
      <w:u w:val="none"/>
    </w:rPr>
  </w:style>
  <w:style w:type="character" w:customStyle="1" w:styleId="101">
    <w:name w:val="font31"/>
    <w:basedOn w:val="23"/>
    <w:autoRedefine/>
    <w:qFormat/>
    <w:uiPriority w:val="0"/>
    <w:rPr>
      <w:rFonts w:hint="default" w:ascii="Times New Roman" w:hAnsi="Times New Roman" w:cs="Times New Roman"/>
      <w:color w:val="000000"/>
      <w:sz w:val="21"/>
      <w:szCs w:val="21"/>
      <w:u w:val="none"/>
    </w:rPr>
  </w:style>
  <w:style w:type="character" w:customStyle="1" w:styleId="102">
    <w:name w:val="font21"/>
    <w:basedOn w:val="23"/>
    <w:autoRedefine/>
    <w:qFormat/>
    <w:uiPriority w:val="0"/>
    <w:rPr>
      <w:rFonts w:hint="default" w:ascii="Times New Roman" w:hAnsi="Times New Roman" w:cs="Times New Roman"/>
      <w:color w:val="000000"/>
      <w:sz w:val="21"/>
      <w:szCs w:val="21"/>
      <w:u w:val="none"/>
    </w:rPr>
  </w:style>
  <w:style w:type="character" w:customStyle="1" w:styleId="103">
    <w:name w:val="font41"/>
    <w:basedOn w:val="23"/>
    <w:autoRedefine/>
    <w:qFormat/>
    <w:uiPriority w:val="0"/>
    <w:rPr>
      <w:rFonts w:hint="eastAsia" w:ascii="宋体" w:hAnsi="宋体" w:eastAsia="宋体"/>
      <w:color w:val="000000"/>
      <w:sz w:val="21"/>
      <w:szCs w:val="21"/>
      <w:u w:val="none"/>
    </w:rPr>
  </w:style>
  <w:style w:type="paragraph" w:customStyle="1" w:styleId="104">
    <w:name w:val="修订2"/>
    <w:autoRedefine/>
    <w:hidden/>
    <w:unhideWhenUsed/>
    <w:qFormat/>
    <w:uiPriority w:val="99"/>
    <w:rPr>
      <w:rFonts w:ascii="Times New Roman" w:hAnsi="Times New Roman" w:eastAsia="宋体" w:cs="Times New Roman"/>
      <w:kern w:val="2"/>
      <w:sz w:val="21"/>
      <w:szCs w:val="24"/>
      <w:lang w:val="en-US" w:eastAsia="zh-CN" w:bidi="ar-SA"/>
    </w:rPr>
  </w:style>
  <w:style w:type="paragraph" w:customStyle="1" w:styleId="105">
    <w:name w:val="修订3"/>
    <w:hidden/>
    <w:unhideWhenUsed/>
    <w:qFormat/>
    <w:uiPriority w:val="99"/>
    <w:rPr>
      <w:rFonts w:ascii="Times New Roman" w:hAnsi="Times New Roman" w:eastAsia="宋体" w:cs="Times New Roman"/>
      <w:kern w:val="2"/>
      <w:sz w:val="21"/>
      <w:szCs w:val="24"/>
      <w:lang w:val="en-US" w:eastAsia="zh-CN" w:bidi="ar-SA"/>
    </w:rPr>
  </w:style>
  <w:style w:type="character" w:customStyle="1" w:styleId="106">
    <w:name w:val="标题 字符"/>
    <w:basedOn w:val="23"/>
    <w:link w:val="19"/>
    <w:qFormat/>
    <w:uiPriority w:val="0"/>
    <w:rPr>
      <w:rFonts w:asciiTheme="majorHAnsi" w:hAnsiTheme="majorHAnsi" w:eastAsiaTheme="majorEastAsia" w:cstheme="majorBidi"/>
      <w:b/>
      <w:bCs/>
      <w:kern w:val="2"/>
      <w:sz w:val="32"/>
      <w:szCs w:val="32"/>
    </w:rPr>
  </w:style>
  <w:style w:type="paragraph" w:customStyle="1" w:styleId="107">
    <w:name w:val="表标题"/>
    <w:qFormat/>
    <w:uiPriority w:val="0"/>
    <w:pPr>
      <w:keepNext/>
      <w:spacing w:line="500" w:lineRule="exact"/>
      <w:jc w:val="center"/>
      <w:outlineLvl w:val="7"/>
    </w:pPr>
    <w:rPr>
      <w:rFonts w:ascii="Times New Roman" w:hAnsi="Times New Roman" w:eastAsia="宋体" w:cs="Times New Roman"/>
      <w:b/>
      <w:kern w:val="2"/>
      <w:sz w:val="24"/>
      <w:szCs w:val="24"/>
      <w:lang w:val="en-US" w:eastAsia="zh-CN" w:bidi="ar-SA"/>
    </w:rPr>
  </w:style>
  <w:style w:type="paragraph" w:customStyle="1" w:styleId="108">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109">
    <w:name w:val="font61"/>
    <w:basedOn w:val="23"/>
    <w:qFormat/>
    <w:uiPriority w:val="0"/>
    <w:rPr>
      <w:rFonts w:hint="default" w:ascii="Times New Roman" w:hAnsi="Times New Roman" w:cs="Times New Roman"/>
      <w:b/>
      <w:bCs/>
      <w:color w:val="000000"/>
      <w:sz w:val="18"/>
      <w:szCs w:val="18"/>
      <w:u w:val="none"/>
      <w:vertAlign w:val="superscript"/>
    </w:rPr>
  </w:style>
  <w:style w:type="character" w:customStyle="1" w:styleId="110">
    <w:name w:val="font81"/>
    <w:basedOn w:val="23"/>
    <w:qFormat/>
    <w:uiPriority w:val="0"/>
    <w:rPr>
      <w:rFonts w:hint="default" w:ascii="Times New Roman" w:hAnsi="Times New Roman" w:cs="Times New Roman"/>
      <w:b/>
      <w:bCs/>
      <w:color w:val="000000"/>
      <w:sz w:val="21"/>
      <w:szCs w:val="21"/>
      <w:u w:val="none"/>
    </w:rPr>
  </w:style>
  <w:style w:type="character" w:customStyle="1" w:styleId="111">
    <w:name w:val="font51"/>
    <w:basedOn w:val="23"/>
    <w:qFormat/>
    <w:uiPriority w:val="0"/>
    <w:rPr>
      <w:rFonts w:hint="eastAsia" w:ascii="宋体" w:hAnsi="宋体" w:eastAsia="宋体" w:cs="宋体"/>
      <w:color w:val="000000"/>
      <w:sz w:val="18"/>
      <w:szCs w:val="18"/>
      <w:u w:val="none"/>
    </w:rPr>
  </w:style>
  <w:style w:type="character" w:customStyle="1" w:styleId="112">
    <w:name w:val="font71"/>
    <w:basedOn w:val="23"/>
    <w:qFormat/>
    <w:uiPriority w:val="0"/>
    <w:rPr>
      <w:rFonts w:hint="eastAsia" w:ascii="宋体" w:hAnsi="宋体" w:eastAsia="宋体" w:cs="宋体"/>
      <w:color w:val="000000"/>
      <w:sz w:val="18"/>
      <w:szCs w:val="18"/>
      <w:u w:val="none"/>
    </w:rPr>
  </w:style>
  <w:style w:type="character" w:customStyle="1" w:styleId="113">
    <w:name w:val="font01"/>
    <w:basedOn w:val="23"/>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soa\wdzx97.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57D264-C0CE-44C9-A736-4371EA33F18E}">
  <ds:schemaRefs/>
</ds:datastoreItem>
</file>

<file path=docProps/app.xml><?xml version="1.0" encoding="utf-8"?>
<Properties xmlns="http://schemas.openxmlformats.org/officeDocument/2006/extended-properties" xmlns:vt="http://schemas.openxmlformats.org/officeDocument/2006/docPropsVTypes">
  <Template>wdzx97</Template>
  <Company>微软中国</Company>
  <Pages>82</Pages>
  <Words>27849</Words>
  <Characters>29489</Characters>
  <Lines>662</Lines>
  <Paragraphs>186</Paragraphs>
  <TotalTime>12</TotalTime>
  <ScaleCrop>false</ScaleCrop>
  <LinksUpToDate>false</LinksUpToDate>
  <CharactersWithSpaces>29711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2026-10-13T02:47:00Z</dcterms:created>
  <dc:creator>lhj</dc:creator>
  <cp:lastModifiedBy>yihang</cp:lastModifiedBy>
  <cp:lastPrinted>2024-04-08T02:54:00Z</cp:lastPrinted>
  <dcterms:modified xsi:type="dcterms:W3CDTF">2026-10-21T05:57:10Z</dcterms:modified>
  <dc:title>附件2</dc:title>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F64FEE6D06DD46488D1CB97B2E32A007_13</vt:lpwstr>
  </property>
  <property fmtid="{D5CDD505-2E9C-101B-9397-08002B2CF9AE}" pid="4" name="KSOTemplateDocerSaveRecord">
    <vt:lpwstr>eyJoZGlkIjoiZDI5MTFlZjk5N2M4YzRhMmVhZDQxOGM4OTA1MDM3NTYiLCJ1c2VySWQiOiI0NTU3Nzg4ODIifQ==</vt:lpwstr>
  </property>
</Properties>
</file>